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07" w:rsidRDefault="000C40AA" w:rsidP="000C40AA">
      <w:pPr>
        <w:jc w:val="center"/>
        <w:rPr>
          <w:b/>
          <w:sz w:val="24"/>
          <w:szCs w:val="24"/>
          <w:lang w:val="en-US"/>
        </w:rPr>
      </w:pPr>
      <w:r w:rsidRPr="000C40AA">
        <w:rPr>
          <w:b/>
          <w:sz w:val="24"/>
          <w:szCs w:val="24"/>
          <w:lang w:val="en-US"/>
        </w:rPr>
        <w:t>JURNAL PERKULIAH MATA KULIA METODOLOGI TAFSIR</w:t>
      </w: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1"/>
        <w:gridCol w:w="2544"/>
        <w:gridCol w:w="1726"/>
        <w:gridCol w:w="156"/>
        <w:gridCol w:w="1556"/>
        <w:gridCol w:w="1304"/>
        <w:gridCol w:w="2255"/>
        <w:gridCol w:w="3010"/>
        <w:gridCol w:w="902"/>
      </w:tblGrid>
      <w:tr w:rsidR="000C40AA" w:rsidRPr="00AE3184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Kemampuan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Akhir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tiap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Tahap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Pebelajaran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</w:p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544" w:type="dxa"/>
          </w:tcPr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Bahan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Kajian</w:t>
            </w:r>
            <w:proofErr w:type="spellEnd"/>
          </w:p>
        </w:tc>
        <w:tc>
          <w:tcPr>
            <w:tcW w:w="1882" w:type="dxa"/>
            <w:gridSpan w:val="2"/>
          </w:tcPr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Metode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556" w:type="dxa"/>
          </w:tcPr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Alokasi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Waktu</w:t>
            </w:r>
            <w:proofErr w:type="spellEnd"/>
          </w:p>
        </w:tc>
        <w:tc>
          <w:tcPr>
            <w:tcW w:w="1304" w:type="dxa"/>
          </w:tcPr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Deskripsi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Tugas</w:t>
            </w:r>
            <w:proofErr w:type="spellEnd"/>
          </w:p>
        </w:tc>
        <w:tc>
          <w:tcPr>
            <w:tcW w:w="2255" w:type="dxa"/>
          </w:tcPr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  <w:proofErr w:type="spellEnd"/>
          </w:p>
        </w:tc>
        <w:tc>
          <w:tcPr>
            <w:tcW w:w="3010" w:type="dxa"/>
          </w:tcPr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Bobot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Penilaian</w:t>
            </w:r>
            <w:proofErr w:type="spellEnd"/>
          </w:p>
        </w:tc>
      </w:tr>
      <w:tr w:rsidR="000C40AA" w:rsidRPr="00AE3184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772E45" w:rsidRDefault="000C40AA" w:rsidP="000C40AA">
            <w:pPr>
              <w:pStyle w:val="NoSpacing"/>
              <w:numPr>
                <w:ilvl w:val="0"/>
                <w:numId w:val="3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nganalisis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 xml:space="preserve"> arah dan orientasi perkuliahan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Metodologi Tafsir. </w:t>
            </w:r>
          </w:p>
          <w:p w:rsidR="000C40AA" w:rsidRPr="0084390D" w:rsidRDefault="000C40AA" w:rsidP="000C40AA">
            <w:pPr>
              <w:pStyle w:val="NoSpacing"/>
              <w:numPr>
                <w:ilvl w:val="0"/>
                <w:numId w:val="3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mendeskripsikan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pengertian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,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ruang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lingkup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kegunaan</w:t>
            </w:r>
            <w:proofErr w:type="spellEnd"/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Metodologi Tafsir.</w:t>
            </w:r>
            <w:r w:rsidRPr="0084390D">
              <w:rPr>
                <w:rFonts w:ascii="Gill Sans MT" w:hAnsi="Gill Sans MT" w:cs="Arial"/>
              </w:rPr>
              <w:tab/>
            </w:r>
          </w:p>
        </w:tc>
        <w:tc>
          <w:tcPr>
            <w:tcW w:w="2544" w:type="dxa"/>
          </w:tcPr>
          <w:p w:rsidR="000C40AA" w:rsidRPr="00316DD2" w:rsidRDefault="000C40AA" w:rsidP="000C4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sv-SE"/>
              </w:rPr>
            </w:pP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Deskripsi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deskripsi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mata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</w:t>
            </w:r>
            <w:r w:rsidRPr="00316DD2"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capaian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pembelajaran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bahan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kajian</w:t>
            </w:r>
            <w:proofErr w:type="spellEnd"/>
            <w:r w:rsidRPr="00316DD2">
              <w:rPr>
                <w:rFonts w:ascii="Gill Sans MT" w:hAnsi="Gill Sans MT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</w:t>
            </w:r>
            <w:r w:rsidRPr="00316DD2">
              <w:rPr>
                <w:rFonts w:ascii="Gill Sans MT" w:hAnsi="Gill Sans MT" w:cs="Arial"/>
                <w:sz w:val="24"/>
                <w:szCs w:val="24"/>
              </w:rPr>
              <w:t>)</w:t>
            </w:r>
            <w:r w:rsidRPr="00316DD2"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evaluasi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sumber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tugas-tugas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Pr="00316DD2">
              <w:rPr>
                <w:rFonts w:ascii="Gill Sans MT" w:hAnsi="Gill Sans MT"/>
                <w:color w:val="000000" w:themeColor="text1"/>
              </w:rPr>
              <w:t xml:space="preserve">Preview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pengertian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ruang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gramStart"/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>l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ingkup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316DD2">
              <w:rPr>
                <w:rFonts w:ascii="Gill Sans MT" w:hAnsi="Gill Sans MT" w:cstheme="minorHAnsi"/>
                <w:bCs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proofErr w:type="gramEnd"/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 </w:t>
            </w:r>
            <w:proofErr w:type="spellStart"/>
            <w:proofErr w:type="gramStart"/>
            <w:r w:rsidRPr="00316DD2">
              <w:rPr>
                <w:rFonts w:ascii="Gill Sans MT" w:hAnsi="Gill Sans MT" w:cstheme="minorHAnsi"/>
                <w:bCs/>
                <w:color w:val="000000" w:themeColor="text1"/>
              </w:rPr>
              <w:t>dan</w:t>
            </w:r>
            <w:proofErr w:type="spellEnd"/>
            <w:proofErr w:type="gramEnd"/>
            <w:r w:rsidRPr="00316DD2">
              <w:rPr>
                <w:rFonts w:ascii="Gill Sans MT" w:hAnsi="Gill Sans MT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 w:cstheme="minorHAnsi"/>
                <w:bCs/>
                <w:color w:val="000000" w:themeColor="text1"/>
              </w:rPr>
              <w:t>kegunaan</w:t>
            </w:r>
            <w:proofErr w:type="spellEnd"/>
            <w:r w:rsidRPr="00316DD2">
              <w:rPr>
                <w:rFonts w:ascii="Gill Sans MT" w:hAnsi="Gill Sans MT" w:cs="Arial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</w:t>
            </w:r>
          </w:p>
        </w:tc>
        <w:tc>
          <w:tcPr>
            <w:tcW w:w="1882" w:type="dxa"/>
            <w:gridSpan w:val="2"/>
          </w:tcPr>
          <w:p w:rsidR="000C40AA" w:rsidRPr="00AE3184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Kontrak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</w:p>
          <w:p w:rsidR="000C40AA" w:rsidRPr="00AE3184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Ceramah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interaktif</w:t>
            </w:r>
            <w:proofErr w:type="spellEnd"/>
          </w:p>
        </w:tc>
        <w:tc>
          <w:tcPr>
            <w:tcW w:w="1556" w:type="dxa"/>
          </w:tcPr>
          <w:p w:rsidR="000C40AA" w:rsidRPr="00316DD2" w:rsidRDefault="000C40AA" w:rsidP="00564A3A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lang w:val="id-ID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180 </w:t>
            </w:r>
            <w:r>
              <w:rPr>
                <w:rFonts w:ascii="Gill Sans MT" w:hAnsi="Gill Sans MT"/>
                <w:color w:val="000000" w:themeColor="text1"/>
                <w:lang w:val="fi-FI"/>
              </w:rPr>
              <w:t>meni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t</w:t>
            </w:r>
          </w:p>
        </w:tc>
        <w:tc>
          <w:tcPr>
            <w:tcW w:w="1304" w:type="dxa"/>
          </w:tcPr>
          <w:p w:rsidR="000C40AA" w:rsidRPr="00316DD2" w:rsidRDefault="000C40AA" w:rsidP="00564A3A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makalah dan presentasi </w:t>
            </w:r>
          </w:p>
        </w:tc>
        <w:tc>
          <w:tcPr>
            <w:tcW w:w="2255" w:type="dxa"/>
          </w:tcPr>
          <w:p w:rsidR="000C40AA" w:rsidRPr="00AE3184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31" w:right="-90" w:hanging="101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ringkasan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. </w:t>
            </w:r>
          </w:p>
          <w:p w:rsidR="000C40AA" w:rsidRPr="00AE3184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31" w:hanging="142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menyebutkan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contoh</w:t>
            </w:r>
            <w:proofErr w:type="spellEnd"/>
          </w:p>
        </w:tc>
        <w:tc>
          <w:tcPr>
            <w:tcW w:w="3010" w:type="dxa"/>
          </w:tcPr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Tugas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20 %</w:t>
            </w:r>
          </w:p>
          <w:p w:rsidR="000C40AA" w:rsidRPr="00AE3184" w:rsidRDefault="000C40AA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UTS 35 %,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UAS 45 %</w:t>
            </w:r>
          </w:p>
        </w:tc>
      </w:tr>
      <w:tr w:rsidR="000C40AA" w:rsidRPr="00AE3184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316DD2" w:rsidRDefault="000C40AA" w:rsidP="000C40AA">
            <w:pPr>
              <w:pStyle w:val="NoSpacing"/>
              <w:numPr>
                <w:ilvl w:val="0"/>
                <w:numId w:val="2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Mampu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mema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  <w:lang w:val="id-ID"/>
              </w:rPr>
              <w:t>h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ami</w:t>
            </w:r>
            <w:r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dan menguasai  konsep tentang Sejarah Metodologi Tafsir pada Masa Nabi. 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:rsidR="000C40AA" w:rsidRPr="00946842" w:rsidRDefault="000C40AA" w:rsidP="00564A3A">
            <w:pPr>
              <w:pStyle w:val="NoSpacing"/>
              <w:ind w:left="116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2544" w:type="dxa"/>
          </w:tcPr>
          <w:p w:rsidR="000C40AA" w:rsidRPr="00316DD2" w:rsidRDefault="000C40AA" w:rsidP="000C40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Memahami sejarah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 di Masa Nabi. </w:t>
            </w:r>
          </w:p>
        </w:tc>
        <w:tc>
          <w:tcPr>
            <w:tcW w:w="1882" w:type="dxa"/>
            <w:gridSpan w:val="2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0C40AA" w:rsidRPr="00AE3184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0C40AA" w:rsidRPr="00AE3184" w:rsidRDefault="000C40AA" w:rsidP="00564A3A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180</w:t>
            </w:r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AC42A4" w:rsidRDefault="000C40AA" w:rsidP="00564A3A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AE3184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81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menganalisis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diungkapkan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oleh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tiap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mahasiswa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tentang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dibahas</w:t>
            </w:r>
            <w:proofErr w:type="spellEnd"/>
          </w:p>
        </w:tc>
        <w:tc>
          <w:tcPr>
            <w:tcW w:w="3010" w:type="dxa"/>
          </w:tcPr>
          <w:p w:rsidR="000C40AA" w:rsidRPr="00AE3184" w:rsidRDefault="000C40AA" w:rsidP="00564A3A">
            <w:pPr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sda</w:t>
            </w:r>
            <w:proofErr w:type="spellEnd"/>
          </w:p>
        </w:tc>
      </w:tr>
      <w:tr w:rsidR="000C40AA" w:rsidRPr="00F70411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316DD2" w:rsidRDefault="000C40AA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Sejarah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lastRenderedPageBreak/>
              <w:t>Metodologi Tafsir pada masa Sahabat</w:t>
            </w:r>
          </w:p>
        </w:tc>
        <w:tc>
          <w:tcPr>
            <w:tcW w:w="2544" w:type="dxa"/>
          </w:tcPr>
          <w:p w:rsidR="000C40AA" w:rsidRPr="00AC42A4" w:rsidRDefault="000C40AA" w:rsidP="000C4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Memahami sejarah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 xml:space="preserve"> tafsir di M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asa Sahabat. </w:t>
            </w:r>
          </w:p>
        </w:tc>
        <w:tc>
          <w:tcPr>
            <w:tcW w:w="1882" w:type="dxa"/>
            <w:gridSpan w:val="2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Pr="00B76BDD">
              <w:rPr>
                <w:rFonts w:ascii="Gill Sans MT" w:hAnsi="Gill Sans MT"/>
              </w:rPr>
              <w:t xml:space="preserve">0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AC42A4" w:rsidRDefault="000C40AA" w:rsidP="00564A3A">
            <w:pPr>
              <w:spacing w:after="0" w:line="240" w:lineRule="auto"/>
              <w:rPr>
                <w:rFonts w:ascii="Gill Sans MT" w:hAnsi="Gill Sans MT" w:cs="Arial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lastRenderedPageBreak/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564A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3010" w:type="dxa"/>
          </w:tcPr>
          <w:p w:rsidR="000C40AA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proofErr w:type="spellStart"/>
            <w:r w:rsidRPr="00F70411">
              <w:rPr>
                <w:rFonts w:ascii="Gill Sans MT" w:hAnsi="Gill Sans MT"/>
              </w:rPr>
              <w:lastRenderedPageBreak/>
              <w:t>Sda</w:t>
            </w:r>
            <w:proofErr w:type="spellEnd"/>
          </w:p>
          <w:p w:rsidR="000C40AA" w:rsidRPr="00F70411" w:rsidRDefault="000C40AA" w:rsidP="00564A3A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</w:tr>
      <w:tr w:rsidR="000C40AA" w:rsidRPr="00B76BDD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FC7791" w:rsidRDefault="000C40AA" w:rsidP="00564A3A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Sejarah Metodologi Tafsir pada Masa Tabi’in. </w:t>
            </w:r>
          </w:p>
        </w:tc>
        <w:tc>
          <w:tcPr>
            <w:tcW w:w="2544" w:type="dxa"/>
          </w:tcPr>
          <w:p w:rsidR="000C40AA" w:rsidRPr="0061676F" w:rsidRDefault="000C40AA" w:rsidP="000C4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 xml:space="preserve">Memahami sejarah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 xml:space="preserve"> tafsir di M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asa Tabi’in .</w:t>
            </w:r>
          </w:p>
        </w:tc>
        <w:tc>
          <w:tcPr>
            <w:tcW w:w="1882" w:type="dxa"/>
            <w:gridSpan w:val="2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0C40AA" w:rsidRPr="00316DD2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  <w:lang w:val="id-ID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Pr="00B76BDD">
              <w:rPr>
                <w:rFonts w:ascii="Gill Sans MT" w:hAnsi="Gill Sans MT"/>
              </w:rPr>
              <w:t xml:space="preserve">0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B76BDD" w:rsidRDefault="000C40AA" w:rsidP="00564A3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564A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Pr="00B76BDD" w:rsidRDefault="000C40AA" w:rsidP="00564A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</w:tr>
      <w:tr w:rsidR="000C40AA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AC42A4" w:rsidRDefault="000C40AA" w:rsidP="00564A3A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Sejarah Metodologi Tafsir pada Masa Abad Pertengahan. 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sejarah Metodologi Tafsir pada Masa Abad Pertengahan</w:t>
            </w:r>
          </w:p>
          <w:p w:rsidR="000C40AA" w:rsidRPr="00AC42A4" w:rsidRDefault="000C40AA" w:rsidP="000C4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Memahmi dan mengetahui Tokoh tokoh dan karya- karya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Metodologi Tafsir Pada Masa Abad Pertengahan </w:t>
            </w:r>
          </w:p>
        </w:tc>
        <w:tc>
          <w:tcPr>
            <w:tcW w:w="1882" w:type="dxa"/>
            <w:gridSpan w:val="2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0C40AA" w:rsidRPr="0061676F" w:rsidRDefault="000C40AA" w:rsidP="00564A3A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0C40AA" w:rsidRPr="008B5525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lang w:val="id-ID"/>
              </w:rPr>
              <w:t xml:space="preserve">180 Menit </w:t>
            </w:r>
          </w:p>
        </w:tc>
        <w:tc>
          <w:tcPr>
            <w:tcW w:w="1304" w:type="dxa"/>
          </w:tcPr>
          <w:p w:rsidR="000C40AA" w:rsidRPr="00B76BDD" w:rsidRDefault="000C40AA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menyelesaikan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permasalahan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Default="000C40AA" w:rsidP="00564A3A">
            <w:pPr>
              <w:spacing w:after="0" w:line="240" w:lineRule="auto"/>
              <w:jc w:val="center"/>
            </w:pPr>
          </w:p>
        </w:tc>
      </w:tr>
      <w:tr w:rsidR="000C40AA" w:rsidTr="000C40AA">
        <w:trPr>
          <w:gridAfter w:val="1"/>
          <w:wAfter w:w="902" w:type="dxa"/>
          <w:trHeight w:val="4959"/>
        </w:trPr>
        <w:tc>
          <w:tcPr>
            <w:tcW w:w="2441" w:type="dxa"/>
          </w:tcPr>
          <w:p w:rsidR="000C40AA" w:rsidRPr="008B5525" w:rsidRDefault="000C40AA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Metodologi Tafsir Bil Al-Ra’yi. 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Metodologi tafsir bil ar-ra’yi.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tokoh- tokoh  Metodologi tafsir bil Ar-ra’yi.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Metodologi tafsir bil  Ar-ra’yi. </w:t>
            </w:r>
          </w:p>
          <w:p w:rsidR="000C40AA" w:rsidRPr="008B5525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kitab kitab tafsir yang termasuk kitab Metodologi tafsir bil ar-ra’yi. </w:t>
            </w:r>
          </w:p>
        </w:tc>
        <w:tc>
          <w:tcPr>
            <w:tcW w:w="1882" w:type="dxa"/>
            <w:gridSpan w:val="2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0C40AA" w:rsidRPr="00B76BDD" w:rsidRDefault="000C40AA" w:rsidP="00564A3A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Pr="00B76BDD">
              <w:rPr>
                <w:rFonts w:ascii="Gill Sans MT" w:hAnsi="Gill Sans MT"/>
              </w:rPr>
              <w:t xml:space="preserve">0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B76BDD" w:rsidRDefault="000C40AA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menyelesaikan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permasalahan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Default="000C40AA" w:rsidP="00564A3A">
            <w:pPr>
              <w:spacing w:after="0" w:line="240" w:lineRule="auto"/>
              <w:jc w:val="center"/>
            </w:pPr>
            <w:proofErr w:type="spellStart"/>
            <w:r w:rsidRPr="009F2E13">
              <w:rPr>
                <w:rFonts w:ascii="Gill Sans MT" w:hAnsi="Gill Sans MT"/>
              </w:rPr>
              <w:t>sda</w:t>
            </w:r>
            <w:proofErr w:type="spellEnd"/>
          </w:p>
        </w:tc>
      </w:tr>
      <w:tr w:rsidR="000C40AA" w:rsidRPr="00B76BDD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FC7791" w:rsidRDefault="000C40AA" w:rsidP="00564A3A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Metodologi Tafsir Bil matsur.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Metodologi tafsir bil Matsur. 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Metodologi tafsir bil matsur. 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Metodologi tafsir bil  Matsur.</w:t>
            </w:r>
          </w:p>
          <w:p w:rsidR="000C40AA" w:rsidRPr="00F86AD3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F86AD3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itab Metodologi tafsir bil Matsur</w:t>
            </w:r>
            <w:r w:rsidRPr="00F86AD3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882" w:type="dxa"/>
            <w:gridSpan w:val="2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0C40AA" w:rsidRPr="00AC42A4" w:rsidRDefault="000C40AA" w:rsidP="00564A3A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id-ID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Pr="00B76BDD">
              <w:rPr>
                <w:rFonts w:ascii="Gill Sans MT" w:hAnsi="Gill Sans MT"/>
              </w:rPr>
              <w:t xml:space="preserve">0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B76BDD" w:rsidRDefault="000C40AA" w:rsidP="00564A3A">
            <w:pPr>
              <w:spacing w:after="0" w:line="240" w:lineRule="auto"/>
              <w:rPr>
                <w:rFonts w:ascii="Gill Sans MT" w:hAnsi="Gill Sans MT" w:cs="Arial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lastRenderedPageBreak/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B76BDD" w:rsidRDefault="000C40AA" w:rsidP="00564A3A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3010" w:type="dxa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</w:tr>
      <w:tr w:rsidR="000C40AA" w:rsidTr="000C40AA">
        <w:tc>
          <w:tcPr>
            <w:tcW w:w="15894" w:type="dxa"/>
            <w:gridSpan w:val="9"/>
          </w:tcPr>
          <w:p w:rsidR="000C40AA" w:rsidRDefault="000C40AA" w:rsidP="00564A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8D5068">
              <w:rPr>
                <w:rFonts w:ascii="Gill Sans MT" w:hAnsi="Gill Sans MT"/>
                <w:b/>
                <w:bCs/>
                <w:lang w:val="en-GB"/>
              </w:rPr>
              <w:lastRenderedPageBreak/>
              <w:t>UTS</w:t>
            </w:r>
          </w:p>
        </w:tc>
      </w:tr>
      <w:tr w:rsidR="000C40AA" w:rsidRPr="00B76BDD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FC7791" w:rsidRDefault="000C40AA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Metodologi Tafsir </w:t>
            </w:r>
            <w:proofErr w:type="gramStart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Ilmi .</w:t>
            </w:r>
            <w:proofErr w:type="gramEnd"/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Metodologi tafsir Ilmi.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Metodologi tafsir Ilmi. 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Metodologi tafsir Ilmi.</w:t>
            </w:r>
          </w:p>
          <w:p w:rsidR="000C40AA" w:rsidRPr="00184F00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tab Metodologi tafsir  Ilmi.</w:t>
            </w:r>
          </w:p>
        </w:tc>
        <w:tc>
          <w:tcPr>
            <w:tcW w:w="1726" w:type="dxa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1C646E" w:rsidRDefault="000C40AA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Pr="00B76BDD" w:rsidRDefault="000C40AA" w:rsidP="00564A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</w:tr>
      <w:tr w:rsidR="000C40AA" w:rsidRPr="00B76BDD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FC7791" w:rsidRDefault="000C40AA" w:rsidP="00564A3A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Metodologi Tafsir Fiqh.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Metodologi tafsir Fiqhi.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Metodologi tafsir Fiqhi. 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Mengetahui kelebihan dan kekurangan serta ciri ciri Metodologi tafsir Fiqhi.</w:t>
            </w:r>
          </w:p>
          <w:p w:rsidR="000C40AA" w:rsidRPr="00184F00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itab Metodologi tafsir Fiqhi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726" w:type="dxa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1C646E" w:rsidRDefault="000C40AA" w:rsidP="00564A3A">
            <w:pPr>
              <w:spacing w:after="0" w:line="240" w:lineRule="auto"/>
              <w:rPr>
                <w:rFonts w:ascii="Gill Sans MT" w:hAnsi="Gill Sans MT"/>
                <w:b/>
                <w:bCs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lastRenderedPageBreak/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Pr="00B76BDD" w:rsidRDefault="000C40AA" w:rsidP="00564A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</w:tr>
      <w:tr w:rsidR="000C40AA" w:rsidRPr="00B76BDD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FC7791" w:rsidRDefault="000C40AA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Metodologi Tafsir Falsafi. 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Metodologi tafsir Falsafi.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Metodologi tafsir Falsafi. 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Metodologi tafsir Falsafi.</w:t>
            </w:r>
          </w:p>
          <w:p w:rsidR="000C40AA" w:rsidRPr="00184F00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itab Metodologi tafsir Falsafi.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726" w:type="dxa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1C646E" w:rsidRDefault="000C40AA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Pr="00B76BDD" w:rsidRDefault="000C40AA" w:rsidP="00564A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</w:tr>
      <w:tr w:rsidR="000C40AA" w:rsidRPr="00B76BDD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F86AD3" w:rsidRDefault="000C40AA" w:rsidP="00564A3A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lastRenderedPageBreak/>
              <w:t>Metodologi Tafsir Sufi.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Memahami latar belakang sejarah Metodologi tafsir Sufi.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tokoh- tokoh  Metodologi tafsir Sufi. 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Metodologi tafsir Sufi.</w:t>
            </w:r>
          </w:p>
          <w:p w:rsidR="000C40AA" w:rsidRPr="00184F00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itab Metodologi tafsir Sufi.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726" w:type="dxa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0C40AA" w:rsidRPr="001C646E" w:rsidRDefault="000C40AA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lastRenderedPageBreak/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Pr="00B76BDD" w:rsidRDefault="000C40AA" w:rsidP="00564A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</w:tr>
      <w:tr w:rsidR="000C40AA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FC7791" w:rsidRDefault="000C40AA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Metodologi Tafsir Hermeneutika. 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Metodologi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 tafsir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Hermeneutika.</w:t>
            </w:r>
          </w:p>
          <w:p w:rsidR="000C40AA" w:rsidRPr="00184F00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oh  Metodologi tafsir Hermeneutika. 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Metodologi tafsir Hermeneutika. </w:t>
            </w:r>
          </w:p>
          <w:p w:rsidR="000C40AA" w:rsidRPr="00184F00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tab Metodologi tafsir  Hermeneutika.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Pr="00184F00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726" w:type="dxa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0C40AA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304" w:type="dxa"/>
          </w:tcPr>
          <w:p w:rsidR="000C40AA" w:rsidRPr="001C646E" w:rsidRDefault="000C40AA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Default="000C40AA" w:rsidP="00564A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</w:tr>
      <w:tr w:rsidR="000C40AA" w:rsidTr="000C40AA">
        <w:trPr>
          <w:gridAfter w:val="1"/>
          <w:wAfter w:w="902" w:type="dxa"/>
        </w:trPr>
        <w:tc>
          <w:tcPr>
            <w:tcW w:w="2441" w:type="dxa"/>
          </w:tcPr>
          <w:p w:rsidR="000C40AA" w:rsidRDefault="000C40AA" w:rsidP="00564A3A">
            <w:pPr>
              <w:spacing w:after="0" w:line="240" w:lineRule="auto"/>
              <w:jc w:val="both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lastRenderedPageBreak/>
              <w:t xml:space="preserve">menguasai konsep teoritis tentang Metodologi Tafsir Adab ijtima’i. 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78AE"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Memahami latar belakang sejarah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Metodologi</w:t>
            </w:r>
            <w:r w:rsidRPr="001878AE">
              <w:rPr>
                <w:rFonts w:ascii="Gill Sans MT" w:hAnsi="Gill Sans MT"/>
                <w:color w:val="000000" w:themeColor="text1"/>
                <w:lang w:val="id-ID"/>
              </w:rPr>
              <w:t xml:space="preserve"> tafsir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Adab ijtima’i.</w:t>
            </w:r>
          </w:p>
          <w:p w:rsidR="000C40AA" w:rsidRPr="001878AE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78AE"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oh  Metodologi tafsir Adab Ijtima’i.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Metodologi tafsir Adab Ijtima’i. </w:t>
            </w:r>
          </w:p>
          <w:p w:rsidR="000C40AA" w:rsidRPr="00184F00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itab Metodologi tafsir Adab Ijtima’i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. </w:t>
            </w:r>
            <w:r w:rsidRPr="00184F00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726" w:type="dxa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0C40AA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lastRenderedPageBreak/>
              <w:t>Presentasi</w:t>
            </w:r>
          </w:p>
        </w:tc>
        <w:tc>
          <w:tcPr>
            <w:tcW w:w="1712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lastRenderedPageBreak/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304" w:type="dxa"/>
          </w:tcPr>
          <w:p w:rsidR="000C40AA" w:rsidRPr="001C646E" w:rsidRDefault="000C40AA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makalah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lastRenderedPageBreak/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r w:rsidRPr="00B76BDD">
              <w:rPr>
                <w:rFonts w:ascii="Gill Sans MT" w:hAnsi="Gill Sans MT"/>
              </w:rPr>
              <w:lastRenderedPageBreak/>
              <w:t xml:space="preserve">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Default="000C40AA" w:rsidP="00564A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</w:tr>
      <w:tr w:rsidR="000C40AA" w:rsidTr="000C40AA">
        <w:trPr>
          <w:gridAfter w:val="1"/>
          <w:wAfter w:w="902" w:type="dxa"/>
        </w:trPr>
        <w:tc>
          <w:tcPr>
            <w:tcW w:w="2441" w:type="dxa"/>
          </w:tcPr>
          <w:p w:rsidR="000C40AA" w:rsidRPr="00CC6A91" w:rsidRDefault="000C40AA" w:rsidP="00564A3A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Metodologi </w:t>
            </w:r>
            <w:proofErr w:type="gramStart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Tafsir  Maudhui</w:t>
            </w:r>
            <w:proofErr w:type="gramEnd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. </w:t>
            </w:r>
          </w:p>
        </w:tc>
        <w:tc>
          <w:tcPr>
            <w:tcW w:w="2544" w:type="dxa"/>
          </w:tcPr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Metodologi tafsir Maudhu’i.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tokoh- tokoh  Metodologi tafsir Maudhu’i.</w:t>
            </w:r>
          </w:p>
          <w:p w:rsidR="000C40AA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Metodologi tafsir Maudhu’i.</w:t>
            </w:r>
          </w:p>
          <w:p w:rsidR="000C40AA" w:rsidRPr="00184F00" w:rsidRDefault="000C40AA" w:rsidP="000C4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itab Metodologi tafsir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Maudhu’i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726" w:type="dxa"/>
          </w:tcPr>
          <w:p w:rsidR="000C40AA" w:rsidRPr="0061676F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0C40AA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304" w:type="dxa"/>
          </w:tcPr>
          <w:p w:rsidR="000C40AA" w:rsidRPr="001C646E" w:rsidRDefault="000C40AA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255" w:type="dxa"/>
          </w:tcPr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0C40AA" w:rsidRPr="00B76BD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22434D" w:rsidRDefault="000C40AA" w:rsidP="000C40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0C40AA" w:rsidRPr="00B76BDD" w:rsidRDefault="000C40AA" w:rsidP="00564A3A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3010" w:type="dxa"/>
          </w:tcPr>
          <w:p w:rsidR="000C40AA" w:rsidRDefault="000C40AA" w:rsidP="00564A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</w:tr>
      <w:tr w:rsidR="000C40AA" w:rsidRPr="00B76BDD" w:rsidTr="000C40AA">
        <w:trPr>
          <w:gridAfter w:val="1"/>
          <w:wAfter w:w="902" w:type="dxa"/>
        </w:trPr>
        <w:tc>
          <w:tcPr>
            <w:tcW w:w="4985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BB255B">
              <w:rPr>
                <w:rFonts w:ascii="Gill Sans MT" w:hAnsi="Gill Sans MT"/>
                <w:b/>
                <w:bCs/>
              </w:rPr>
              <w:lastRenderedPageBreak/>
              <w:t>SEMESTERAN</w:t>
            </w:r>
          </w:p>
        </w:tc>
        <w:tc>
          <w:tcPr>
            <w:tcW w:w="1726" w:type="dxa"/>
          </w:tcPr>
          <w:p w:rsidR="000C40AA" w:rsidRPr="00B76BDD" w:rsidRDefault="000C40AA" w:rsidP="00564A3A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712" w:type="dxa"/>
            <w:gridSpan w:val="2"/>
          </w:tcPr>
          <w:p w:rsidR="000C40AA" w:rsidRPr="00B76BDD" w:rsidRDefault="000C40AA" w:rsidP="00564A3A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304" w:type="dxa"/>
          </w:tcPr>
          <w:p w:rsidR="000C40AA" w:rsidRPr="00B76BDD" w:rsidRDefault="000C40AA" w:rsidP="00564A3A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255" w:type="dxa"/>
          </w:tcPr>
          <w:p w:rsidR="000C40AA" w:rsidRPr="00B76BDD" w:rsidRDefault="000C40AA" w:rsidP="00564A3A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3010" w:type="dxa"/>
          </w:tcPr>
          <w:p w:rsidR="000C40AA" w:rsidRPr="00B76BDD" w:rsidRDefault="000C40AA" w:rsidP="00564A3A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0C40AA" w:rsidRPr="000C40AA" w:rsidRDefault="000C40AA" w:rsidP="000C40AA">
      <w:pPr>
        <w:rPr>
          <w:b/>
          <w:sz w:val="24"/>
          <w:szCs w:val="24"/>
          <w:lang w:val="en-US"/>
        </w:rPr>
      </w:pPr>
    </w:p>
    <w:sectPr w:rsidR="000C40AA" w:rsidRPr="000C40AA" w:rsidSect="000C40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3FB"/>
    <w:multiLevelType w:val="hybridMultilevel"/>
    <w:tmpl w:val="4A90C4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2531"/>
    <w:multiLevelType w:val="hybridMultilevel"/>
    <w:tmpl w:val="6F10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A1F45"/>
    <w:multiLevelType w:val="hybridMultilevel"/>
    <w:tmpl w:val="7FB482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41037"/>
    <w:multiLevelType w:val="hybridMultilevel"/>
    <w:tmpl w:val="243EBFA8"/>
    <w:lvl w:ilvl="0" w:tplc="07FEDC6E">
      <w:start w:val="9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4B6E0A95"/>
    <w:multiLevelType w:val="hybridMultilevel"/>
    <w:tmpl w:val="88B62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40AA"/>
    <w:rsid w:val="000C40AA"/>
    <w:rsid w:val="008B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AA"/>
    <w:pPr>
      <w:ind w:left="720"/>
      <w:contextualSpacing/>
    </w:pPr>
    <w:rPr>
      <w:rFonts w:eastAsiaTheme="minorEastAsia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C40AA"/>
    <w:pPr>
      <w:spacing w:after="120"/>
      <w:ind w:left="283"/>
    </w:pPr>
    <w:rPr>
      <w:rFonts w:eastAsiaTheme="minorEastAsia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C40AA"/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0C40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C40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0C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C40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1208</Words>
  <Characters>6886</Characters>
  <Application>Microsoft Office Word</Application>
  <DocSecurity>0</DocSecurity>
  <Lines>57</Lines>
  <Paragraphs>16</Paragraphs>
  <ScaleCrop>false</ScaleCrop>
  <Company>HP Inc.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1</cp:revision>
  <dcterms:created xsi:type="dcterms:W3CDTF">2023-08-01T12:50:00Z</dcterms:created>
  <dcterms:modified xsi:type="dcterms:W3CDTF">2023-08-01T12:51:00Z</dcterms:modified>
</cp:coreProperties>
</file>