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D8660">
      <w:pPr>
        <w:pStyle w:val="18"/>
        <w:spacing w:line="360" w:lineRule="auto"/>
        <w:jc w:val="both"/>
      </w:pPr>
      <w:r>
        <mc:AlternateContent>
          <mc:Choice Requires="wps">
            <w:drawing>
              <wp:anchor distT="0" distB="0" distL="114300" distR="114300" simplePos="0" relativeHeight="251659264" behindDoc="0" locked="0" layoutInCell="1" allowOverlap="1">
                <wp:simplePos x="0" y="0"/>
                <wp:positionH relativeFrom="column">
                  <wp:posOffset>3239770</wp:posOffset>
                </wp:positionH>
                <wp:positionV relativeFrom="paragraph">
                  <wp:posOffset>-5080</wp:posOffset>
                </wp:positionV>
                <wp:extent cx="2080260" cy="447675"/>
                <wp:effectExtent l="0" t="0" r="15240" b="28575"/>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2080260" cy="447675"/>
                        </a:xfrm>
                        <a:prstGeom prst="rect">
                          <a:avLst/>
                        </a:prstGeom>
                        <a:solidFill>
                          <a:srgbClr val="FFFFFF"/>
                        </a:solidFill>
                        <a:ln w="9525">
                          <a:solidFill>
                            <a:srgbClr val="000000"/>
                          </a:solidFill>
                          <a:miter lim="800000"/>
                        </a:ln>
                      </wps:spPr>
                      <wps:txbx>
                        <w:txbxContent>
                          <w:p w14:paraId="696B3713">
                            <w:pPr>
                              <w:spacing w:after="0" w:line="240" w:lineRule="auto"/>
                              <w:jc w:val="center"/>
                              <w:rPr>
                                <w:rFonts w:asciiTheme="majorBidi" w:hAnsiTheme="majorBidi" w:cstheme="majorBidi"/>
                                <w:b/>
                                <w:bCs/>
                              </w:rPr>
                            </w:pPr>
                            <w:r>
                              <w:rPr>
                                <w:rFonts w:asciiTheme="majorBidi" w:hAnsiTheme="majorBidi" w:cstheme="majorBidi"/>
                                <w:b/>
                                <w:bCs/>
                              </w:rPr>
                              <w:t>Penelitian Dasar</w:t>
                            </w:r>
                          </w:p>
                          <w:p w14:paraId="512CB5C2">
                            <w:pPr>
                              <w:spacing w:after="0" w:line="240" w:lineRule="auto"/>
                              <w:jc w:val="center"/>
                              <w:rPr>
                                <w:rFonts w:asciiTheme="majorBidi" w:hAnsiTheme="majorBidi" w:cstheme="majorBidi"/>
                                <w:b/>
                                <w:bCs/>
                                <w:lang w:val="id-ID"/>
                              </w:rPr>
                            </w:pPr>
                            <w:r>
                              <w:rPr>
                                <w:rFonts w:asciiTheme="majorBidi" w:hAnsiTheme="majorBidi" w:cstheme="majorBidi"/>
                                <w:b/>
                                <w:bCs/>
                              </w:rPr>
                              <w:t xml:space="preserve">Pengembangan </w:t>
                            </w:r>
                            <w:r>
                              <w:rPr>
                                <w:rFonts w:asciiTheme="majorBidi" w:hAnsiTheme="majorBidi" w:cstheme="majorBidi"/>
                                <w:b/>
                                <w:bCs/>
                                <w:lang w:val="id-ID"/>
                              </w:rPr>
                              <w:t>Program Studi</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5.1pt;margin-top:-0.4pt;height:35.25pt;width:163.8pt;z-index:251659264;mso-width-relative:page;mso-height-relative:page;" fillcolor="#FFFFFF" filled="t" stroked="t" coordsize="21600,21600" o:gfxdata="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BWYLdgAAAAIAQAADwAAAAAAAAABACAAAAAiAAAAZHJzL2Rvd25yZXYueG1s&#10;UEsBAhQAFAAAAAgAh07iQAVmxeUxAgAAhgQAAA4AAAAAAAAAAQAgAAAAJwEAAGRycy9lMm9Eb2Mu&#10;eG1sUEsFBgAAAAAGAAYAWQEAAMoFAAAAAA==&#10;">
                <v:fill on="t" focussize="0,0"/>
                <v:stroke color="#000000" miterlimit="8" joinstyle="miter"/>
                <v:imagedata o:title=""/>
                <o:lock v:ext="edit" aspectratio="f"/>
                <v:textbox>
                  <w:txbxContent>
                    <w:p w14:paraId="696B3713">
                      <w:pPr>
                        <w:spacing w:after="0" w:line="240" w:lineRule="auto"/>
                        <w:jc w:val="center"/>
                        <w:rPr>
                          <w:rFonts w:asciiTheme="majorBidi" w:hAnsiTheme="majorBidi" w:cstheme="majorBidi"/>
                          <w:b/>
                          <w:bCs/>
                        </w:rPr>
                      </w:pPr>
                      <w:r>
                        <w:rPr>
                          <w:rFonts w:asciiTheme="majorBidi" w:hAnsiTheme="majorBidi" w:cstheme="majorBidi"/>
                          <w:b/>
                          <w:bCs/>
                        </w:rPr>
                        <w:t>Penelitian Dasar</w:t>
                      </w:r>
                    </w:p>
                    <w:p w14:paraId="512CB5C2">
                      <w:pPr>
                        <w:spacing w:after="0" w:line="240" w:lineRule="auto"/>
                        <w:jc w:val="center"/>
                        <w:rPr>
                          <w:rFonts w:asciiTheme="majorBidi" w:hAnsiTheme="majorBidi" w:cstheme="majorBidi"/>
                          <w:b/>
                          <w:bCs/>
                          <w:lang w:val="id-ID"/>
                        </w:rPr>
                      </w:pPr>
                      <w:r>
                        <w:rPr>
                          <w:rFonts w:asciiTheme="majorBidi" w:hAnsiTheme="majorBidi" w:cstheme="majorBidi"/>
                          <w:b/>
                          <w:bCs/>
                        </w:rPr>
                        <w:t xml:space="preserve">Pengembangan </w:t>
                      </w:r>
                      <w:r>
                        <w:rPr>
                          <w:rFonts w:asciiTheme="majorBidi" w:hAnsiTheme="majorBidi" w:cstheme="majorBidi"/>
                          <w:b/>
                          <w:bCs/>
                          <w:lang w:val="id-ID"/>
                        </w:rPr>
                        <w:t>Program Studi</w:t>
                      </w:r>
                    </w:p>
                  </w:txbxContent>
                </v:textbox>
              </v:shape>
            </w:pict>
          </mc:Fallback>
        </mc:AlternateContent>
      </w:r>
    </w:p>
    <w:p w14:paraId="0F38E506">
      <w:pPr>
        <w:tabs>
          <w:tab w:val="left" w:pos="567"/>
        </w:tabs>
        <w:spacing w:line="360" w:lineRule="auto"/>
        <w:jc w:val="both"/>
      </w:pPr>
    </w:p>
    <w:p w14:paraId="14B6C9FC">
      <w:pPr>
        <w:tabs>
          <w:tab w:val="left" w:pos="1708"/>
        </w:tabs>
        <w:spacing w:line="360" w:lineRule="auto"/>
        <w:ind w:firstLine="567"/>
        <w:jc w:val="center"/>
        <w:rPr>
          <w:b/>
          <w:bCs/>
        </w:rPr>
      </w:pPr>
      <w:r>
        <w:rPr>
          <w:b/>
          <w:bCs/>
        </w:rPr>
        <w:t xml:space="preserve">PROPOSAL PENELITIAN </w:t>
      </w:r>
    </w:p>
    <w:p w14:paraId="27D5F9C4">
      <w:pPr>
        <w:spacing w:after="0" w:line="240" w:lineRule="auto"/>
        <w:jc w:val="center"/>
        <w:rPr>
          <w:b/>
        </w:rPr>
      </w:pPr>
      <w:bookmarkStart w:id="2" w:name="_GoBack"/>
      <w:r>
        <w:rPr>
          <w:b/>
        </w:rPr>
        <w:t xml:space="preserve">MODEL LAYANAN BK HOLISTIK INTEGRATIF BAGI </w:t>
      </w:r>
      <w:r>
        <w:rPr>
          <w:b/>
          <w:i/>
          <w:iCs/>
        </w:rPr>
        <w:t>SHADOW TEACHER</w:t>
      </w:r>
      <w:r>
        <w:rPr>
          <w:b/>
        </w:rPr>
        <w:t xml:space="preserve"> UNTUK PENDAMPINGAN ANAK BERKEBUTUHAN KHUSUS DI SEKOLAH INKLUSI KOTA BENGKULU</w:t>
      </w:r>
    </w:p>
    <w:bookmarkEnd w:id="2"/>
    <w:p w14:paraId="75ECDD1C">
      <w:pPr>
        <w:spacing w:after="0" w:line="240" w:lineRule="auto"/>
        <w:jc w:val="center"/>
        <w:rPr>
          <w:b/>
        </w:rPr>
      </w:pPr>
    </w:p>
    <w:p w14:paraId="54791FC2">
      <w:pPr>
        <w:spacing w:after="0" w:line="240" w:lineRule="auto"/>
        <w:jc w:val="center"/>
        <w:rPr>
          <w:b/>
        </w:rPr>
      </w:pPr>
    </w:p>
    <w:p w14:paraId="16267C42">
      <w:pPr>
        <w:spacing w:after="0" w:line="240" w:lineRule="auto"/>
        <w:jc w:val="center"/>
        <w:rPr>
          <w:b/>
        </w:rPr>
      </w:pPr>
      <w:r>
        <w:drawing>
          <wp:inline distT="0" distB="0" distL="0" distR="0">
            <wp:extent cx="1374140" cy="1276350"/>
            <wp:effectExtent l="0" t="0" r="0" b="0"/>
            <wp:docPr id="1065890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0687"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79130" cy="1280621"/>
                    </a:xfrm>
                    <a:prstGeom prst="rect">
                      <a:avLst/>
                    </a:prstGeom>
                    <a:noFill/>
                    <a:ln>
                      <a:noFill/>
                    </a:ln>
                  </pic:spPr>
                </pic:pic>
              </a:graphicData>
            </a:graphic>
          </wp:inline>
        </w:drawing>
      </w:r>
    </w:p>
    <w:p w14:paraId="1338E11F">
      <w:pPr>
        <w:spacing w:after="0" w:line="360" w:lineRule="auto"/>
        <w:jc w:val="both"/>
        <w:rPr>
          <w:b/>
        </w:rPr>
      </w:pPr>
    </w:p>
    <w:p w14:paraId="56DB9F0E">
      <w:pPr>
        <w:tabs>
          <w:tab w:val="left" w:pos="1708"/>
        </w:tabs>
        <w:spacing w:line="240" w:lineRule="auto"/>
        <w:jc w:val="center"/>
        <w:rPr>
          <w:b/>
          <w:bCs/>
          <w:lang w:val="id-ID"/>
        </w:rPr>
      </w:pPr>
      <w:r>
        <w:rPr>
          <w:b/>
          <w:bCs/>
        </w:rPr>
        <w:t>DISUSUN OLEH:</w:t>
      </w:r>
    </w:p>
    <w:p w14:paraId="4271C789">
      <w:pPr>
        <w:tabs>
          <w:tab w:val="left" w:pos="1708"/>
        </w:tabs>
        <w:spacing w:line="240" w:lineRule="auto"/>
        <w:jc w:val="center"/>
        <w:rPr>
          <w:b/>
          <w:bCs/>
        </w:rPr>
      </w:pPr>
      <w:r>
        <w:rPr>
          <w:b/>
          <w:bCs/>
        </w:rPr>
        <w:t>KETUA PENELITI</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4536"/>
      </w:tblGrid>
      <w:tr w14:paraId="0DEB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Pr>
          <w:p w14:paraId="22009861">
            <w:pPr>
              <w:spacing w:after="0" w:line="240" w:lineRule="auto"/>
            </w:pPr>
            <w:r>
              <w:t>NAMA LENGKAP</w:t>
            </w:r>
          </w:p>
        </w:tc>
        <w:tc>
          <w:tcPr>
            <w:tcW w:w="4536" w:type="dxa"/>
          </w:tcPr>
          <w:p w14:paraId="0BE29144">
            <w:pPr>
              <w:spacing w:after="0" w:line="240" w:lineRule="auto"/>
            </w:pPr>
            <w:r>
              <w:t>H</w:t>
            </w:r>
            <w:r>
              <w:rPr>
                <w:lang w:val="id-ID"/>
              </w:rPr>
              <w:t>ermi Pasmawati</w:t>
            </w:r>
            <w:r>
              <w:t>, M.Pd., Kons</w:t>
            </w:r>
          </w:p>
        </w:tc>
      </w:tr>
      <w:tr w14:paraId="68EB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Pr>
          <w:p w14:paraId="2121E3E7">
            <w:pPr>
              <w:spacing w:after="0" w:line="240" w:lineRule="auto"/>
            </w:pPr>
            <w:r>
              <w:t>NIP/NIDN</w:t>
            </w:r>
          </w:p>
        </w:tc>
        <w:tc>
          <w:tcPr>
            <w:tcW w:w="4536" w:type="dxa"/>
          </w:tcPr>
          <w:p w14:paraId="2C30D86E">
            <w:pPr>
              <w:spacing w:after="0" w:line="240" w:lineRule="auto"/>
            </w:pPr>
            <w:r>
              <w:t>198705312015032005/2031058701</w:t>
            </w:r>
          </w:p>
        </w:tc>
      </w:tr>
      <w:tr w14:paraId="165C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Pr>
          <w:p w14:paraId="374BF9C7">
            <w:pPr>
              <w:spacing w:after="0" w:line="240" w:lineRule="auto"/>
            </w:pPr>
            <w:r>
              <w:t>ID LITAPDIMAS</w:t>
            </w:r>
          </w:p>
        </w:tc>
        <w:tc>
          <w:tcPr>
            <w:tcW w:w="4536" w:type="dxa"/>
          </w:tcPr>
          <w:p w14:paraId="78BA18F6">
            <w:pPr>
              <w:tabs>
                <w:tab w:val="left" w:pos="900"/>
              </w:tabs>
              <w:spacing w:after="0" w:line="240" w:lineRule="auto"/>
              <w:jc w:val="both"/>
              <w:rPr>
                <w:bCs/>
                <w:lang w:val="id-ID"/>
              </w:rPr>
            </w:pPr>
            <w:r>
              <w:rPr>
                <w:bCs/>
              </w:rPr>
              <w:t>203105870112037</w:t>
            </w:r>
          </w:p>
        </w:tc>
      </w:tr>
      <w:tr w14:paraId="14A8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Pr>
          <w:p w14:paraId="78D1948F">
            <w:pPr>
              <w:spacing w:after="0" w:line="240" w:lineRule="auto"/>
            </w:pPr>
            <w:r>
              <w:t>JABATAN FUNGSIONAL</w:t>
            </w:r>
          </w:p>
        </w:tc>
        <w:tc>
          <w:tcPr>
            <w:tcW w:w="4536" w:type="dxa"/>
          </w:tcPr>
          <w:p w14:paraId="1B3D2B09">
            <w:pPr>
              <w:spacing w:after="0" w:line="240" w:lineRule="auto"/>
            </w:pPr>
            <w:r>
              <w:t>Penata</w:t>
            </w:r>
            <w:r>
              <w:rPr>
                <w:lang w:val="id-ID"/>
              </w:rPr>
              <w:t xml:space="preserve"> (III.</w:t>
            </w:r>
            <w:r>
              <w:t>d</w:t>
            </w:r>
            <w:r>
              <w:rPr>
                <w:lang w:val="id-ID"/>
              </w:rPr>
              <w:t>)</w:t>
            </w:r>
            <w:r>
              <w:t>/ Lektor</w:t>
            </w:r>
          </w:p>
        </w:tc>
      </w:tr>
      <w:tr w14:paraId="0728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Pr>
          <w:p w14:paraId="28DF6CE2">
            <w:pPr>
              <w:spacing w:after="0" w:line="240" w:lineRule="auto"/>
              <w:rPr>
                <w:lang w:val="id-ID"/>
              </w:rPr>
            </w:pPr>
            <w:r>
              <w:t>FAKULTAS/PRODI</w:t>
            </w:r>
          </w:p>
        </w:tc>
        <w:tc>
          <w:tcPr>
            <w:tcW w:w="4536" w:type="dxa"/>
          </w:tcPr>
          <w:p w14:paraId="1E60EB1A">
            <w:pPr>
              <w:spacing w:after="0" w:line="240" w:lineRule="auto"/>
            </w:pPr>
            <w:r>
              <w:t>FUAD/BKI</w:t>
            </w:r>
          </w:p>
        </w:tc>
      </w:tr>
    </w:tbl>
    <w:p w14:paraId="25673300">
      <w:pPr>
        <w:tabs>
          <w:tab w:val="left" w:pos="1708"/>
        </w:tabs>
        <w:spacing w:line="240" w:lineRule="auto"/>
        <w:ind w:firstLine="567"/>
        <w:jc w:val="center"/>
        <w:rPr>
          <w:b/>
          <w:lang w:val="id-ID"/>
        </w:rPr>
      </w:pPr>
    </w:p>
    <w:p w14:paraId="031C4F63">
      <w:pPr>
        <w:tabs>
          <w:tab w:val="left" w:pos="1708"/>
        </w:tabs>
        <w:spacing w:line="240" w:lineRule="auto"/>
        <w:ind w:firstLine="90"/>
        <w:jc w:val="center"/>
        <w:rPr>
          <w:b/>
          <w:lang w:val="id-ID"/>
        </w:rPr>
      </w:pPr>
      <w:r>
        <w:rPr>
          <w:b/>
        </w:rPr>
        <w:t>ANGGOTA</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4536"/>
      </w:tblGrid>
      <w:tr w14:paraId="7623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Borders>
              <w:top w:val="single" w:color="auto" w:sz="4" w:space="0"/>
              <w:left w:val="single" w:color="auto" w:sz="4" w:space="0"/>
              <w:bottom w:val="single" w:color="auto" w:sz="4" w:space="0"/>
              <w:right w:val="single" w:color="auto" w:sz="4" w:space="0"/>
            </w:tcBorders>
          </w:tcPr>
          <w:p w14:paraId="701E27E8">
            <w:pPr>
              <w:spacing w:after="0" w:line="240" w:lineRule="auto"/>
            </w:pPr>
            <w:r>
              <w:t>NAMA LENGKAP</w:t>
            </w:r>
          </w:p>
        </w:tc>
        <w:tc>
          <w:tcPr>
            <w:tcW w:w="4536" w:type="dxa"/>
            <w:tcBorders>
              <w:top w:val="single" w:color="auto" w:sz="4" w:space="0"/>
              <w:left w:val="single" w:color="auto" w:sz="4" w:space="0"/>
              <w:bottom w:val="single" w:color="auto" w:sz="4" w:space="0"/>
              <w:right w:val="single" w:color="auto" w:sz="4" w:space="0"/>
            </w:tcBorders>
          </w:tcPr>
          <w:p w14:paraId="4FEDF029">
            <w:pPr>
              <w:spacing w:after="0" w:line="240" w:lineRule="auto"/>
            </w:pPr>
            <w:r>
              <w:t>Dilla Astarini, M.Pd</w:t>
            </w:r>
          </w:p>
        </w:tc>
      </w:tr>
      <w:tr w14:paraId="1DED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Borders>
              <w:top w:val="single" w:color="auto" w:sz="4" w:space="0"/>
              <w:left w:val="single" w:color="auto" w:sz="4" w:space="0"/>
              <w:bottom w:val="single" w:color="auto" w:sz="4" w:space="0"/>
              <w:right w:val="single" w:color="auto" w:sz="4" w:space="0"/>
            </w:tcBorders>
          </w:tcPr>
          <w:p w14:paraId="3EE7326B">
            <w:pPr>
              <w:spacing w:after="0" w:line="240" w:lineRule="auto"/>
            </w:pPr>
            <w:r>
              <w:t>NIP/NIDN</w:t>
            </w:r>
          </w:p>
        </w:tc>
        <w:tc>
          <w:tcPr>
            <w:tcW w:w="4536" w:type="dxa"/>
            <w:tcBorders>
              <w:top w:val="single" w:color="auto" w:sz="4" w:space="0"/>
              <w:left w:val="single" w:color="auto" w:sz="4" w:space="0"/>
              <w:bottom w:val="single" w:color="auto" w:sz="4" w:space="0"/>
              <w:right w:val="single" w:color="auto" w:sz="4" w:space="0"/>
            </w:tcBorders>
          </w:tcPr>
          <w:p w14:paraId="46860152">
            <w:pPr>
              <w:spacing w:after="0" w:line="240" w:lineRule="auto"/>
            </w:pPr>
            <w:r>
              <w:t>199001212019032008/202101199003</w:t>
            </w:r>
          </w:p>
        </w:tc>
      </w:tr>
      <w:tr w14:paraId="3522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Borders>
              <w:top w:val="single" w:color="auto" w:sz="4" w:space="0"/>
              <w:left w:val="single" w:color="auto" w:sz="4" w:space="0"/>
              <w:bottom w:val="single" w:color="auto" w:sz="4" w:space="0"/>
              <w:right w:val="single" w:color="auto" w:sz="4" w:space="0"/>
            </w:tcBorders>
          </w:tcPr>
          <w:p w14:paraId="3C720664">
            <w:pPr>
              <w:spacing w:after="0" w:line="240" w:lineRule="auto"/>
            </w:pPr>
            <w:r>
              <w:t>ID LITAPDIMAS</w:t>
            </w:r>
          </w:p>
        </w:tc>
        <w:tc>
          <w:tcPr>
            <w:tcW w:w="4536" w:type="dxa"/>
            <w:tcBorders>
              <w:top w:val="single" w:color="auto" w:sz="4" w:space="0"/>
              <w:left w:val="single" w:color="auto" w:sz="4" w:space="0"/>
              <w:bottom w:val="single" w:color="auto" w:sz="4" w:space="0"/>
              <w:right w:val="single" w:color="auto" w:sz="4" w:space="0"/>
            </w:tcBorders>
          </w:tcPr>
          <w:p w14:paraId="7D6C0C55">
            <w:pPr>
              <w:spacing w:after="0" w:line="240" w:lineRule="auto"/>
            </w:pPr>
            <w:r>
              <w:rPr>
                <w:bCs/>
                <w:lang w:val="id-ID"/>
              </w:rPr>
              <w:t>20201626110453</w:t>
            </w:r>
          </w:p>
        </w:tc>
      </w:tr>
      <w:tr w14:paraId="5ED3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Borders>
              <w:top w:val="single" w:color="auto" w:sz="4" w:space="0"/>
              <w:left w:val="single" w:color="auto" w:sz="4" w:space="0"/>
              <w:bottom w:val="single" w:color="auto" w:sz="4" w:space="0"/>
              <w:right w:val="single" w:color="auto" w:sz="4" w:space="0"/>
            </w:tcBorders>
          </w:tcPr>
          <w:p w14:paraId="75C7A7CA">
            <w:pPr>
              <w:spacing w:after="0" w:line="240" w:lineRule="auto"/>
            </w:pPr>
            <w:r>
              <w:t>JABATAN FUNGSIONAL</w:t>
            </w:r>
          </w:p>
        </w:tc>
        <w:tc>
          <w:tcPr>
            <w:tcW w:w="4536" w:type="dxa"/>
            <w:tcBorders>
              <w:top w:val="single" w:color="auto" w:sz="4" w:space="0"/>
              <w:left w:val="single" w:color="auto" w:sz="4" w:space="0"/>
              <w:bottom w:val="single" w:color="auto" w:sz="4" w:space="0"/>
              <w:right w:val="single" w:color="auto" w:sz="4" w:space="0"/>
            </w:tcBorders>
          </w:tcPr>
          <w:p w14:paraId="077CEE6A">
            <w:pPr>
              <w:spacing w:after="0" w:line="240" w:lineRule="auto"/>
              <w:rPr>
                <w:lang w:val="sv-SE"/>
              </w:rPr>
            </w:pPr>
            <w:r>
              <w:rPr>
                <w:lang w:val="sv-SE"/>
              </w:rPr>
              <w:t xml:space="preserve">Penata Muda </w:t>
            </w:r>
            <w:r>
              <w:rPr>
                <w:lang w:val="id-ID"/>
              </w:rPr>
              <w:t>(III.</w:t>
            </w:r>
            <w:r>
              <w:rPr>
                <w:lang w:val="sv-SE"/>
              </w:rPr>
              <w:t>c</w:t>
            </w:r>
            <w:r>
              <w:rPr>
                <w:lang w:val="id-ID"/>
              </w:rPr>
              <w:t>)</w:t>
            </w:r>
            <w:r>
              <w:rPr>
                <w:lang w:val="sv-SE"/>
              </w:rPr>
              <w:t>/Lektor</w:t>
            </w:r>
          </w:p>
        </w:tc>
      </w:tr>
      <w:tr w14:paraId="3641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8" w:type="dxa"/>
            <w:tcBorders>
              <w:top w:val="single" w:color="auto" w:sz="4" w:space="0"/>
              <w:left w:val="single" w:color="auto" w:sz="4" w:space="0"/>
              <w:bottom w:val="single" w:color="auto" w:sz="4" w:space="0"/>
              <w:right w:val="single" w:color="auto" w:sz="4" w:space="0"/>
            </w:tcBorders>
          </w:tcPr>
          <w:p w14:paraId="6481F18F">
            <w:pPr>
              <w:spacing w:after="0" w:line="240" w:lineRule="auto"/>
              <w:rPr>
                <w:lang w:val="id-ID"/>
              </w:rPr>
            </w:pPr>
            <w:r>
              <w:t>FAKULTAS/PRODI</w:t>
            </w:r>
          </w:p>
        </w:tc>
        <w:tc>
          <w:tcPr>
            <w:tcW w:w="4536" w:type="dxa"/>
            <w:tcBorders>
              <w:top w:val="single" w:color="auto" w:sz="4" w:space="0"/>
              <w:left w:val="single" w:color="auto" w:sz="4" w:space="0"/>
              <w:bottom w:val="single" w:color="auto" w:sz="4" w:space="0"/>
              <w:right w:val="single" w:color="auto" w:sz="4" w:space="0"/>
            </w:tcBorders>
          </w:tcPr>
          <w:p w14:paraId="681CDC6E">
            <w:pPr>
              <w:spacing w:after="0" w:line="240" w:lineRule="auto"/>
            </w:pPr>
            <w:r>
              <w:t>FUAD/BKI</w:t>
            </w:r>
          </w:p>
        </w:tc>
      </w:tr>
    </w:tbl>
    <w:p w14:paraId="0254F254">
      <w:pPr>
        <w:tabs>
          <w:tab w:val="left" w:pos="1708"/>
          <w:tab w:val="left" w:pos="1785"/>
        </w:tabs>
        <w:spacing w:line="240" w:lineRule="auto"/>
        <w:ind w:firstLine="567"/>
        <w:rPr>
          <w:b/>
        </w:rPr>
      </w:pPr>
    </w:p>
    <w:p w14:paraId="4BD11D40">
      <w:pPr>
        <w:tabs>
          <w:tab w:val="left" w:pos="1708"/>
          <w:tab w:val="left" w:pos="1785"/>
        </w:tabs>
        <w:spacing w:line="240" w:lineRule="auto"/>
        <w:ind w:firstLine="567"/>
        <w:jc w:val="center"/>
        <w:rPr>
          <w:b/>
        </w:rPr>
      </w:pPr>
    </w:p>
    <w:p w14:paraId="305C0B79">
      <w:pPr>
        <w:tabs>
          <w:tab w:val="left" w:pos="1708"/>
        </w:tabs>
        <w:spacing w:after="0" w:line="240" w:lineRule="auto"/>
        <w:ind w:firstLine="567"/>
        <w:jc w:val="center"/>
        <w:rPr>
          <w:b/>
          <w:bCs/>
        </w:rPr>
      </w:pPr>
      <w:r>
        <w:rPr>
          <w:b/>
          <w:bCs/>
        </w:rPr>
        <w:t>LEMBAGA PENELITIAN DAN PENGABDIAN MASYARAKAT</w:t>
      </w:r>
    </w:p>
    <w:p w14:paraId="5630F806">
      <w:pPr>
        <w:tabs>
          <w:tab w:val="left" w:pos="1708"/>
        </w:tabs>
        <w:spacing w:after="0" w:line="240" w:lineRule="auto"/>
        <w:jc w:val="center"/>
        <w:rPr>
          <w:b/>
          <w:bCs/>
          <w:lang w:val="sv-SE"/>
        </w:rPr>
      </w:pPr>
      <w:r>
        <w:rPr>
          <w:b/>
          <w:bCs/>
          <w:lang w:val="sv-SE"/>
        </w:rPr>
        <w:t>UNIVERSITAS NEGERI ISLAM FATMAWATI SUKARNO BENGKULU</w:t>
      </w:r>
    </w:p>
    <w:p w14:paraId="2FA7DA91">
      <w:pPr>
        <w:tabs>
          <w:tab w:val="left" w:pos="1708"/>
        </w:tabs>
        <w:spacing w:after="0" w:line="240" w:lineRule="auto"/>
        <w:jc w:val="center"/>
        <w:rPr>
          <w:b/>
          <w:bCs/>
          <w:lang w:val="sv-SE"/>
        </w:rPr>
      </w:pPr>
      <w:r>
        <w:rPr>
          <w:b/>
          <w:bCs/>
          <w:lang w:val="sv-SE"/>
        </w:rPr>
        <w:t>TAHUN 2025</w:t>
      </w:r>
    </w:p>
    <w:p w14:paraId="5578C517">
      <w:pPr>
        <w:spacing w:after="0" w:line="240" w:lineRule="auto"/>
        <w:jc w:val="center"/>
        <w:rPr>
          <w:b/>
          <w:lang w:val="sv-SE"/>
        </w:rPr>
      </w:pPr>
    </w:p>
    <w:p w14:paraId="152DEA16">
      <w:pPr>
        <w:spacing w:after="0" w:line="240" w:lineRule="auto"/>
        <w:jc w:val="center"/>
        <w:rPr>
          <w:b/>
          <w:lang w:val="sv-SE"/>
        </w:rPr>
      </w:pPr>
    </w:p>
    <w:p w14:paraId="1D7A0298">
      <w:pPr>
        <w:spacing w:after="0" w:line="240" w:lineRule="auto"/>
        <w:jc w:val="center"/>
        <w:rPr>
          <w:b/>
          <w:lang w:val="sv-SE"/>
        </w:rPr>
      </w:pPr>
    </w:p>
    <w:p w14:paraId="6CC24853">
      <w:pPr>
        <w:spacing w:after="0" w:line="240" w:lineRule="auto"/>
        <w:jc w:val="center"/>
        <w:rPr>
          <w:b/>
          <w:lang w:val="sv-SE"/>
        </w:rPr>
      </w:pPr>
    </w:p>
    <w:p w14:paraId="745D8073">
      <w:pPr>
        <w:spacing w:after="0" w:line="240" w:lineRule="auto"/>
        <w:jc w:val="center"/>
        <w:rPr>
          <w:b/>
          <w:lang w:val="sv-SE"/>
        </w:rPr>
      </w:pPr>
    </w:p>
    <w:p w14:paraId="4715C1A9">
      <w:pPr>
        <w:pStyle w:val="18"/>
        <w:spacing w:after="0" w:line="240" w:lineRule="auto"/>
        <w:ind w:left="-90"/>
        <w:jc w:val="center"/>
        <w:rPr>
          <w:b/>
          <w:lang w:val="sv-SE"/>
        </w:rPr>
      </w:pPr>
      <w:r>
        <w:rPr>
          <w:b/>
          <w:lang w:val="sv-SE"/>
        </w:rPr>
        <w:t xml:space="preserve">MODEL LAYANAN BK HOLISTIK INTEGRATIF BAGI </w:t>
      </w:r>
      <w:r>
        <w:rPr>
          <w:b/>
          <w:i/>
          <w:iCs/>
          <w:lang w:val="sv-SE"/>
        </w:rPr>
        <w:t>SHADOW TEACHER</w:t>
      </w:r>
      <w:r>
        <w:rPr>
          <w:b/>
          <w:lang w:val="sv-SE"/>
        </w:rPr>
        <w:t xml:space="preserve"> UNTUK PENDAMPINGAN ANAK BERKEBUTUHAN KHUSUS DI SEKOLAH DASAR INKLUSI kOTA BENGKULU</w:t>
      </w:r>
    </w:p>
    <w:p w14:paraId="58FC7357">
      <w:pPr>
        <w:pStyle w:val="18"/>
        <w:spacing w:after="0" w:line="360" w:lineRule="auto"/>
        <w:ind w:left="-90"/>
        <w:jc w:val="both"/>
        <w:rPr>
          <w:b/>
          <w:lang w:val="sv-SE"/>
        </w:rPr>
      </w:pPr>
    </w:p>
    <w:p w14:paraId="34B61481">
      <w:pPr>
        <w:pStyle w:val="18"/>
        <w:numPr>
          <w:ilvl w:val="0"/>
          <w:numId w:val="1"/>
        </w:numPr>
        <w:spacing w:before="240" w:line="240" w:lineRule="auto"/>
        <w:ind w:left="284" w:hanging="284"/>
        <w:jc w:val="both"/>
        <w:rPr>
          <w:b/>
        </w:rPr>
      </w:pPr>
      <w:r>
        <w:rPr>
          <w:b/>
        </w:rPr>
        <w:t>Latar Belakang</w:t>
      </w:r>
    </w:p>
    <w:p w14:paraId="3904F8EE">
      <w:pPr>
        <w:pStyle w:val="18"/>
        <w:spacing w:before="240" w:line="240" w:lineRule="auto"/>
        <w:ind w:left="284"/>
        <w:jc w:val="both"/>
        <w:rPr>
          <w:b/>
        </w:rPr>
      </w:pPr>
    </w:p>
    <w:p w14:paraId="3D87525D">
      <w:pPr>
        <w:pStyle w:val="18"/>
        <w:spacing w:before="240" w:after="0" w:line="360" w:lineRule="auto"/>
        <w:ind w:left="270" w:firstLine="540"/>
        <w:jc w:val="both"/>
      </w:pPr>
      <w:r>
        <w:t xml:space="preserve">Pendidikan inklusi merupakan pendekatan yang bertujuan untuk memastikan bahwa semua siswa, termasuk anak berkebutuhan khusus (ABK), memiliki akses yang sama ke pendidikan dalam sistem pendidikan yang sama. Tujuan dari pendidikan inklusi adalah untuk menciptakan lingkungan pendidikan yang toleran terhadap keragaman, di mana setiap siswa memiliki kesempatan yang sama untuk berkembang secara optimal. Di Indonesia, kebijakan pendidikan inklusi telah diatur dalam Peraturan Menteri Pendidikan dan Kebudayaan Nomor 70 Tahun 2009, yang mewajibkan sekolah inklusi untuk menyediakan layanan khusus bagi ABK. Namun, implementasi kebijakan ini masih menghadapi berbagai kendala, termasuk kurangnya sumber daya manusia yang kompeten, keterbatasan infrastruktur, dan minimnya dukungan layanan pendampingan untuk ABK. Kondisi ini menempatkan shadow teacher sebagai aktor penting dalam mendukung keberhasilan pendidikan inklusi, terutama dalam membantu ABK menyesuaikan diri dengan lingkungan sekolah </w:t>
      </w:r>
      <w:r>
        <w:rPr>
          <w:rStyle w:val="10"/>
        </w:rPr>
        <w:footnoteReference w:id="0"/>
      </w:r>
      <w:r>
        <w:t>.</w:t>
      </w:r>
    </w:p>
    <w:p w14:paraId="0B6F925B">
      <w:pPr>
        <w:pStyle w:val="18"/>
        <w:spacing w:after="0" w:line="360" w:lineRule="auto"/>
        <w:ind w:left="270" w:firstLine="630"/>
        <w:jc w:val="both"/>
      </w:pPr>
      <w:r>
        <w:rPr>
          <w:i/>
          <w:iCs/>
        </w:rPr>
        <w:t>Shadow teacher</w:t>
      </w:r>
      <w:r>
        <w:t xml:space="preserve"> memiliki peran strategis sebagai pendamping yang membantu ABK mengatasi berbagai hambatan, baik secara akademik, sosial, maupun emosional. Mereka bertindak sebagai fasilitator yang menjembatani kebutuhan ABK dengan tuntutan lingkungan sekolah inklusi. Namun, di lapangan, shadow teacher sering kali menghadapi tantangan besar, seperti kurangnya pelatihan profesional yang memadai, beban kerja yang tinggi, dan minimnya dukungan psikologis. Studi </w:t>
      </w:r>
      <w:bookmarkStart w:id="0" w:name="_Hlk188794759"/>
      <w:r>
        <w:t>Sharma et al</w:t>
      </w:r>
      <w:bookmarkEnd w:id="0"/>
      <w:r>
        <w:t xml:space="preserve"> menunjukkan bahwa shadow teacher di banyak negara berkembang, termasuk Indonesia, sering kali bekerja tanpa panduan sistematis dan pelatihan khusus yang mendukung tugas mereka</w:t>
      </w:r>
      <w:r>
        <w:rPr>
          <w:rStyle w:val="10"/>
        </w:rPr>
        <w:footnoteReference w:id="1"/>
      </w:r>
      <w:r>
        <w:t>. Akibatnya, efektivitas pendampingan yang diberikan kepada ABK sering tidak maksimal, sehingga berdampak pada perkembangan dan keberhasilan akademik ABK.</w:t>
      </w:r>
    </w:p>
    <w:p w14:paraId="524E54FF">
      <w:pPr>
        <w:pStyle w:val="18"/>
        <w:spacing w:after="0" w:line="360" w:lineRule="auto"/>
        <w:ind w:left="270" w:firstLine="630"/>
        <w:jc w:val="both"/>
      </w:pPr>
      <w:r>
        <w:t>Layanan bimbingan dan konseling (BK) menjadi instrumen penting yang dapat membantu shadow teacher menghadapi berbagai tantangan dalam mendampingi ABK. Layanan BK tidak hanya berfungsi untuk memberikan dukungan emosional, tetapi juga untuk meningkatkan pemahaman shadow teacher terhadap kebutuhan spesifik ABK dan keterampilan komunikasi yang efektif. Penelitian oleh Saloviita menemukan bahwa shadow teacher yang mendapatkan layanan konseling secara rutin mampu menunjukkan peningkatan resiliensi dan performa kerja yang lebih baik</w:t>
      </w:r>
      <w:r>
        <w:rPr>
          <w:rStyle w:val="10"/>
        </w:rPr>
        <w:footnoteReference w:id="2"/>
      </w:r>
      <w:r>
        <w:t xml:space="preserve">. Namun, di Indonesia, layanan BK yang dirancang khusus untuk </w:t>
      </w:r>
      <w:r>
        <w:rPr>
          <w:i/>
          <w:iCs/>
        </w:rPr>
        <w:t>shadow teacher</w:t>
      </w:r>
      <w:r>
        <w:t xml:space="preserve"> di sekolah inklusi masih belum menjadi prioritas. Hal ini menciptakan kesenjangan yang signifikan dalam mendukung kesejahteraan dan kompetensi shadow teacher.</w:t>
      </w:r>
    </w:p>
    <w:p w14:paraId="221F8D5C">
      <w:pPr>
        <w:pStyle w:val="18"/>
        <w:spacing w:after="0" w:line="360" w:lineRule="auto"/>
        <w:ind w:left="270" w:firstLine="630"/>
        <w:jc w:val="both"/>
      </w:pPr>
      <w:r>
        <w:t xml:space="preserve">Keterbatasan dukungan yang diberikan kepada shadow teacher merupakan salah satu isu krusial yang mencolok dalam implementasi pendidikan inklusi di Indonesia. Sekolah inklusi umumnya lebih fokus pada pemenuhan kebutuhan langsung ABK tanpa memberikan perhatian yang cukup terhadap kesejahteraan dan kapasitas </w:t>
      </w:r>
      <w:r>
        <w:rPr>
          <w:i/>
          <w:iCs/>
        </w:rPr>
        <w:t>shadow teacher</w:t>
      </w:r>
      <w:r>
        <w:t xml:space="preserve">. Studi Anderson et al.  menunjukkan bahwa </w:t>
      </w:r>
      <w:r>
        <w:rPr>
          <w:i/>
          <w:iCs/>
        </w:rPr>
        <w:t>shadow teacher</w:t>
      </w:r>
      <w:r>
        <w:t xml:space="preserve"> yang tidak mendapatkan dukungan profesional dan emosional cenderung mengalami kelelahan kerja (</w:t>
      </w:r>
      <w:r>
        <w:rPr>
          <w:i/>
          <w:iCs/>
        </w:rPr>
        <w:t>burnout</w:t>
      </w:r>
      <w:r>
        <w:t>), yang pada akhirnya memengaruhi kualitas pendampingan mereka</w:t>
      </w:r>
      <w:r>
        <w:rPr>
          <w:rStyle w:val="10"/>
        </w:rPr>
        <w:footnoteReference w:id="3"/>
      </w:r>
      <w:r>
        <w:t xml:space="preserve">. Fenomena ini menunjukkan perlunya pengembangan layanan pendukung yang terintegrasi, yang tidak hanya berorientasi pada kebutuhan ABK, tetapi juga pada shadow teacher sebagai pelaku utama dalam implementasi pendidikan inklusi. </w:t>
      </w:r>
    </w:p>
    <w:p w14:paraId="173DC73D">
      <w:pPr>
        <w:pStyle w:val="14"/>
        <w:spacing w:before="0" w:beforeAutospacing="0" w:after="0" w:afterAutospacing="0" w:line="360" w:lineRule="auto"/>
        <w:ind w:left="270" w:firstLine="630"/>
        <w:jc w:val="both"/>
      </w:pPr>
      <w:r>
        <w:t>Di Indonesia, data menunjukkan peningkatan jumlah sekolah inklusi dalam dekade terakhir, termasuk di Kota Bengkulu. Namun, keberadaan shadow teacher yang kompeten masih menjadi kendala besar. Menurut laporan Kementerian Pendidikan, Kebudayaan, Riset, dan Teknologi lebih dari 60% sekolah inklusi di wilayah Indonesia kekurangan shadow teacher yang memiliki kompetensi sesuai standar</w:t>
      </w:r>
      <w:r>
        <w:rPr>
          <w:rStyle w:val="10"/>
        </w:rPr>
        <w:footnoteReference w:id="4"/>
      </w:r>
      <w:r>
        <w:t>. Kondisi ini semakin tereskalasi oleh terbatasnya pelatihan dan layanan Bimbingan dan Konseling (BK) yang secara khusus dirancang untuk mendukung shadow teacher dalam menghadapi berbagai tantangan yang ada. Berbagai permasalahan di lapangan menunjukkan bahwa shadow teacher sering kali menghadapi beban psikologis yang berat, seperti stres, kelelahan emosional, dan kebingungan dalam menangani perilaku ABK yang kompleks. Studi empiris oleh Putri dan Hidayat menunjukkan bahwa 78% shadow teacher di sekolah inklusi mengalami kesulitan dalam memahami kebutuhan individu ABK, terutama pada aspek sosial-emosional</w:t>
      </w:r>
      <w:r>
        <w:rPr>
          <w:rStyle w:val="10"/>
        </w:rPr>
        <w:footnoteReference w:id="5"/>
      </w:r>
      <w:r>
        <w:t>. Selain itu, riset oleh Rahmawati et al juga mengungkapkan bahwa kurangnya dukungan sistematis dari sekolah dan minimnya pelatihan berbasis kebutuhan praktis menambah tekanan kerja shadow teacher</w:t>
      </w:r>
      <w:r>
        <w:rPr>
          <w:rStyle w:val="10"/>
        </w:rPr>
        <w:footnoteReference w:id="6"/>
      </w:r>
      <w:r>
        <w:t>.</w:t>
      </w:r>
    </w:p>
    <w:p w14:paraId="3811233C">
      <w:pPr>
        <w:pStyle w:val="14"/>
        <w:spacing w:before="0" w:beforeAutospacing="0" w:after="0" w:afterAutospacing="0" w:line="360" w:lineRule="auto"/>
        <w:ind w:left="270" w:firstLine="630"/>
        <w:jc w:val="both"/>
      </w:pPr>
      <w:r>
        <w:t>Masalah tersebut diperkuat oleh temuan-temuan sebelumnya yang menunjukkan adanya kesenjangan dalam sistem pelatihan dan layanan pendukung bagi shadow teacher. Penelitian oleh Farrell et al. mengidentifikasi bahwa sebagian besar program pelatihan shadow teacher hanya berfokus pada aspek pedagogis, sementara kebutuhan pada aspek psikologis, emosional, dan adaptasi lingkungan sering kali terabaikan</w:t>
      </w:r>
      <w:r>
        <w:rPr>
          <w:rStyle w:val="10"/>
        </w:rPr>
        <w:footnoteReference w:id="7"/>
      </w:r>
      <w:r>
        <w:t>. Hal ini menimbulkan implikasi serius terhadap keberhasilan pendidikan inklusif, mengingat ABK memerlukan pendekatan holistik yang melibatkan dukungan multidimensi.</w:t>
      </w:r>
    </w:p>
    <w:p w14:paraId="32CF8193">
      <w:pPr>
        <w:spacing w:after="0" w:line="360" w:lineRule="auto"/>
        <w:ind w:left="270" w:firstLine="720"/>
        <w:jc w:val="both"/>
        <w:rPr>
          <w:lang w:val="id-ID"/>
        </w:rPr>
      </w:pPr>
      <w:r>
        <w:rPr>
          <w:lang w:val="id-ID"/>
        </w:rPr>
        <w:t xml:space="preserve">Selain itu, </w:t>
      </w:r>
      <w:r>
        <w:rPr>
          <w:i/>
          <w:iCs/>
          <w:lang w:val="id-ID"/>
        </w:rPr>
        <w:t>shadow teacher</w:t>
      </w:r>
      <w:r>
        <w:rPr>
          <w:lang w:val="id-ID"/>
        </w:rPr>
        <w:t xml:space="preserve"> di sekolah inklusi juga menghadapi beban kerja yang berat dan sering kali tidak seimbang dengan dukungan yang mereka terima. Banyak shadow teacher bekerja dengan tanggung jawab yang kompleks, mulai dari membantu ABK memahami pelajaran hingga mendukung mereka dalam aspek sosial dan emosional, tanpa adanya supervisi atau panduan yang memadai. Anderson et al. mencatat bahwa shadow teacher di Indonesia sering kali harus bekerja dalam kondisi yang penuh tekanan akibat minimnya struktur pendukung dari sekolah atau pemerintah</w:t>
      </w:r>
      <w:r>
        <w:rPr>
          <w:rStyle w:val="10"/>
          <w:lang w:val="id-ID"/>
        </w:rPr>
        <w:footnoteReference w:id="8"/>
      </w:r>
      <w:r>
        <w:rPr>
          <w:lang w:val="id-ID"/>
        </w:rPr>
        <w:t>. Tekanan ini dapat menyebabkan kelelahan kerja (</w:t>
      </w:r>
      <w:r>
        <w:rPr>
          <w:i/>
          <w:iCs/>
          <w:lang w:val="id-ID"/>
        </w:rPr>
        <w:t>burnout</w:t>
      </w:r>
      <w:r>
        <w:rPr>
          <w:lang w:val="id-ID"/>
        </w:rPr>
        <w:t>), yang selanjutnya memengaruhi kualitas pendampingan yang diberikan.</w:t>
      </w:r>
    </w:p>
    <w:p w14:paraId="4ECF99A3">
      <w:pPr>
        <w:spacing w:after="0" w:line="360" w:lineRule="auto"/>
        <w:ind w:left="270" w:firstLine="720"/>
        <w:jc w:val="both"/>
        <w:rPr>
          <w:lang w:val="id-ID"/>
        </w:rPr>
      </w:pPr>
      <w:r>
        <w:rPr>
          <w:lang w:val="id-ID"/>
        </w:rPr>
        <w:t xml:space="preserve">Permasalahan </w:t>
      </w:r>
      <w:r>
        <w:rPr>
          <w:i/>
          <w:iCs/>
          <w:lang w:val="id-ID"/>
        </w:rPr>
        <w:t>shadow teacher</w:t>
      </w:r>
      <w:r>
        <w:rPr>
          <w:lang w:val="id-ID"/>
        </w:rPr>
        <w:t xml:space="preserve"> di Bengkulu memiliki tantangan yang serupa dengan wilayah lain di Indonesia, tetapi dengan keterbatasan sumber daya yang lebih dominan. Sebagian besar sekolah inklusi di Kota Bengkulu belum memiliki sistem yang memadai untuk merekrut dan melatih shadow teacher secara profesional. Berdasarkan survei awal yang dilakukan pada lima orang shadow teacher dari tiga sekolah iklusi di Bengkulu, didapatkan Hasil wawancara dengan shadow teacher mengungkapkan sejumlah tantangan yang mereka hadapi dalam menjalankan tugas sebagai pendamping anak berkebutuhan khusus (ABK). Salah satu masalah utama adalah minimnya pelatihan dan workshop yang dirancang untuk meningkatkan keterampilan mereka, sehingga berdampak pada keterbatasan dalam memberikan dukungan yang optimal. Selain itu, banyak shadow teacher yang merasa pemahaman mereka terhadap konsep dan praktik pendidikan inklusi masih dangkal, terutama karena kurangnya materi yang relevan yang diajarkan selama masa kuliah. Kurangnya wawasan dan pengalaman dalam mendampingi ABK dengan berbagai macam ketunaan juga menjadi kendala signifikan, karena banyak </w:t>
      </w:r>
      <w:r>
        <w:rPr>
          <w:i/>
          <w:iCs/>
          <w:lang w:val="id-ID"/>
        </w:rPr>
        <w:t>shadow teacher</w:t>
      </w:r>
      <w:r>
        <w:rPr>
          <w:lang w:val="id-ID"/>
        </w:rPr>
        <w:t xml:space="preserve"> yang belum memiliki pengalaman yang cukup untuk mengatasi berbagai tantangan spesifik yang muncul dalam mendampingi ABK. Tidak kalah penting, latar belakang pendidikan yang beragam di antara </w:t>
      </w:r>
      <w:r>
        <w:rPr>
          <w:i/>
          <w:iCs/>
          <w:lang w:val="id-ID"/>
        </w:rPr>
        <w:t>shadow teacher</w:t>
      </w:r>
      <w:r>
        <w:rPr>
          <w:lang w:val="id-ID"/>
        </w:rPr>
        <w:t xml:space="preserve"> juga berkontribusi pada kesulitan dalam proses pendampingan, mengingat perbedaan pengetahuan dasar dan keahlian yang dimiliki oleh masing-masing individu.</w:t>
      </w:r>
    </w:p>
    <w:p w14:paraId="78A1F597">
      <w:pPr>
        <w:spacing w:after="0" w:line="360" w:lineRule="auto"/>
        <w:ind w:left="270" w:firstLine="720"/>
        <w:jc w:val="both"/>
        <w:rPr>
          <w:lang w:val="id-ID"/>
        </w:rPr>
      </w:pPr>
      <w:r>
        <w:rPr>
          <w:lang w:val="id-ID"/>
        </w:rPr>
        <w:t xml:space="preserve">Permasalahan lainnya adalah minimnya dukungan psikologis bagi </w:t>
      </w:r>
      <w:r>
        <w:rPr>
          <w:i/>
          <w:iCs/>
          <w:lang w:val="id-ID"/>
        </w:rPr>
        <w:t>shadow teacher</w:t>
      </w:r>
      <w:r>
        <w:rPr>
          <w:lang w:val="id-ID"/>
        </w:rPr>
        <w:t xml:space="preserve"> dalam menjalankan tugas mereka. Shadow teacher sering kali menghadapi tekanan emosional yang tinggi akibat interaksi intens dengan ABK yang memiliki kebutuhan kompleks, seperti gangguan perilaku atau hambatan komunikasi. Saloviita (2020) menyoroti bahwa shadow teacher yang tidak mendapatkan dukungan konseling secara rutin cenderung mengalami stres yang berkepanjangan, yang dapat berdampak negatif pada hubungan mereka dengan ABK maupun dengan guru lain di sekolah. Di Bengkulu, layanan bimbingan dan konseling yang dirancang khusus untuk </w:t>
      </w:r>
      <w:r>
        <w:rPr>
          <w:i/>
          <w:iCs/>
          <w:lang w:val="id-ID"/>
        </w:rPr>
        <w:t>shadow teacher</w:t>
      </w:r>
      <w:r>
        <w:rPr>
          <w:lang w:val="id-ID"/>
        </w:rPr>
        <w:t xml:space="preserve"> hampir tidak tersedia, yang membuat </w:t>
      </w:r>
      <w:r>
        <w:rPr>
          <w:i/>
          <w:iCs/>
          <w:lang w:val="id-ID"/>
        </w:rPr>
        <w:t>shadow teacher</w:t>
      </w:r>
      <w:r>
        <w:rPr>
          <w:lang w:val="id-ID"/>
        </w:rPr>
        <w:t xml:space="preserve"> harus mengandalkan kemampuan pribadi mereka untuk mengelola tekanan kerja.</w:t>
      </w:r>
    </w:p>
    <w:p w14:paraId="7857A5F3">
      <w:pPr>
        <w:spacing w:after="0" w:line="360" w:lineRule="auto"/>
        <w:ind w:left="270" w:firstLine="720"/>
        <w:jc w:val="both"/>
        <w:rPr>
          <w:lang w:val="id-ID"/>
        </w:rPr>
      </w:pPr>
      <w:r>
        <w:rPr>
          <w:lang w:val="id-ID"/>
        </w:rPr>
        <w:t xml:space="preserve">Belum adanya model layanan yang terintegrasi menjadi akar masalah yang memperburuk kondisi </w:t>
      </w:r>
      <w:r>
        <w:rPr>
          <w:i/>
          <w:iCs/>
          <w:lang w:val="id-ID"/>
        </w:rPr>
        <w:t>shadow teacher</w:t>
      </w:r>
      <w:r>
        <w:rPr>
          <w:lang w:val="id-ID"/>
        </w:rPr>
        <w:t xml:space="preserve"> di Indonesia, termasuk di Bengkulu. Sebagian besar upaya yang ada saat ini bersifat parsial, seperti pelatihan teknis tanpa pendampingan emosional atau konseling tanpa penguatan keterampilan teknis. McLeskey et al.</w:t>
      </w:r>
      <w:r>
        <w:rPr>
          <w:rStyle w:val="10"/>
          <w:lang w:val="id-ID"/>
        </w:rPr>
        <w:footnoteReference w:id="9"/>
      </w:r>
      <w:r>
        <w:rPr>
          <w:lang w:val="id-ID"/>
        </w:rPr>
        <w:t xml:space="preserve"> menegaskan bahwa pendekatan yang terpisah-pisah ini tidak cukup untuk mendukung shadow teacher dalam menghadapi tantangan kompleks di sekolah inklusi. Di Bengkulu, hal ini tercermin dari kurangnya koordinasi antara pemerintah daerah, sekolah, dan lembaga pelatihan dalam menyediakan dukungan yang menyeluruh bagi shadow teacher. Dengan demikian, diperlukan model layanan yang holistik dan integratif untuk menjawab permasalahan ini secara komprehensif dan berkelanjutan.</w:t>
      </w:r>
    </w:p>
    <w:p w14:paraId="26BEB63B">
      <w:pPr>
        <w:spacing w:after="0" w:line="360" w:lineRule="auto"/>
        <w:ind w:left="270" w:firstLine="630"/>
        <w:jc w:val="both"/>
        <w:rPr>
          <w:lang w:val="sv-SE"/>
        </w:rPr>
      </w:pPr>
      <w:r>
        <w:rPr>
          <w:lang w:val="id-ID"/>
        </w:rPr>
        <w:t xml:space="preserve">Penelitian terdahulu menunjukkan bahwa pendidikan inklusi telah menjadi fokus perhatian dalam beberapa dekade terakhir, terutama terkait dengan upaya menciptakan lingkungan belajar yang mendukung untuk anak berkebutuhan khusus (ABK). </w:t>
      </w:r>
      <w:r>
        <w:rPr>
          <w:lang w:val="sv-SE"/>
        </w:rPr>
        <w:t>Anderson et al.</w:t>
      </w:r>
      <w:r>
        <w:rPr>
          <w:rStyle w:val="10"/>
          <w:lang w:val="sv-SE"/>
        </w:rPr>
        <w:footnoteReference w:id="10"/>
      </w:r>
      <w:r>
        <w:rPr>
          <w:lang w:val="sv-SE"/>
        </w:rPr>
        <w:t xml:space="preserve"> dalam studinya menyoroti pentingnya pelatihan bagi guru dalam meningkatkan efektivitas pendidikan inklusi. Temuan mereka menunjukkan bahwa pelatihan inklusif dapat meningkatkan pemahaman guru terhadap kebutuhan ABK dan membantu menciptakan pendekatan pengajaran yang lebih adaptif. Namun, penelitian ini cenderung berfokus pada guru kelas utama dan belum memberikan perhatian yang cukup terhadap peran shadow teacher sebagai aktor kunci dalam pendidikan inklusi, khususnya dalam mendampingi ABK dengan kebutuhan kompleks.</w:t>
      </w:r>
    </w:p>
    <w:p w14:paraId="7D61C2FB">
      <w:pPr>
        <w:spacing w:after="0" w:line="360" w:lineRule="auto"/>
        <w:ind w:left="270" w:firstLine="630"/>
        <w:jc w:val="both"/>
        <w:rPr>
          <w:lang w:val="sv-SE"/>
        </w:rPr>
      </w:pPr>
      <w:r>
        <w:rPr>
          <w:lang w:val="sv-SE"/>
        </w:rPr>
        <w:t>Studi Sharma et al.</w:t>
      </w:r>
      <w:r>
        <w:rPr>
          <w:rStyle w:val="10"/>
          <w:lang w:val="sv-SE"/>
        </w:rPr>
        <w:footnoteReference w:id="11"/>
      </w:r>
      <w:r>
        <w:rPr>
          <w:lang w:val="sv-SE"/>
        </w:rPr>
        <w:t xml:space="preserve"> juga menyoroti efektivitas pelatihan inklusif dalam meningkatkan keterampilan tenaga pendidik. Mereka menemukan bahwa pendekatan berbasis pelatihan intensif dapat meningkatkan kepercayaan diri dan kompetensi guru dalam menghadapi keragaman kebutuhan siswa. Namun, studi ini memiliki keterbatasan dalam menjangkau konteks lokal, terutama di negara berkembang seperti Indonesia. Sharma et al. tidak secara eksplisit membahas integrasi layanan pendukung holistik untuk shadow teacher, yang menjadi pendukung penting dalam keberhasilan pendidikan inklusi di berbagai wilayah dengan sumber daya terbatas.</w:t>
      </w:r>
    </w:p>
    <w:p w14:paraId="2A821750">
      <w:pPr>
        <w:spacing w:after="0" w:line="360" w:lineRule="auto"/>
        <w:ind w:left="270" w:firstLine="630"/>
        <w:jc w:val="both"/>
        <w:rPr>
          <w:lang w:val="sv-SE"/>
        </w:rPr>
      </w:pPr>
      <w:r>
        <w:rPr>
          <w:lang w:val="sv-SE"/>
        </w:rPr>
        <w:t>Penelitian McLeskey et al.</w:t>
      </w:r>
      <w:r>
        <w:rPr>
          <w:rStyle w:val="10"/>
          <w:lang w:val="sv-SE"/>
        </w:rPr>
        <w:footnoteReference w:id="12"/>
      </w:r>
      <w:r>
        <w:rPr>
          <w:lang w:val="sv-SE"/>
        </w:rPr>
        <w:t xml:space="preserve"> yang mengkaji praktik terbaik dalam pendidikan inklusi, termasuk kebutuhan akan dukungan psikososial bagi tenaga pendidik. Mereka menekankan pentingnya pendekatan holistik yang mencakup pelatihan teknis, dukungan emosional, dan kolaborasi antara semua pihak terkait, seperti guru, shadow teacher, dan konselor sekolah. Meskipun demikian, studi ini lebih berfokus pada praktik di negara maju, sehingga kurang adaptif terhadap kondisi di negara berkembang. Selain itu, penelitian ini belum mengintegrasikan layanan bimbingan dan konseling (BK) secara khusus untuk shadow teacher, yang sering kali menghadapi tekanan emosional dan tuntutan kerja yang tinggi.</w:t>
      </w:r>
    </w:p>
    <w:p w14:paraId="5BC522EA">
      <w:pPr>
        <w:spacing w:after="0" w:line="360" w:lineRule="auto"/>
        <w:ind w:left="180" w:firstLine="720"/>
        <w:jc w:val="both"/>
        <w:rPr>
          <w:lang w:val="sv-SE"/>
        </w:rPr>
      </w:pPr>
      <w:r>
        <w:rPr>
          <w:lang w:val="sv-SE"/>
        </w:rPr>
        <w:t>Penelitian tentang pendidikan inklusi dan peran shadow teacher di Indonesia relatif masih terbatas. Beberapa studi kontekstual lokal seperti yang dilakukan oleh Wijayanti et al.</w:t>
      </w:r>
      <w:r>
        <w:rPr>
          <w:rStyle w:val="10"/>
          <w:lang w:val="sv-SE"/>
        </w:rPr>
        <w:footnoteReference w:id="13"/>
      </w:r>
      <w:r>
        <w:rPr>
          <w:lang w:val="sv-SE"/>
        </w:rPr>
        <w:t>, memfokuskan pada shadow teacher memiliki peran penting dalam mendampingi ABK di sekolah inklusi. Namun, studi ini juga menunjukkan bahwa dukungan bagi shadow teacher masih sangat minim, terutama dalam bentuk layanan BK yang terintegrasi. Penelitian ini mengidentifikasi adanya kebutuhan mendesak untuk mengembangkan model layanan yang lebih holistik dan adaptif terhadap konteks lokal, yang berfokus pada ABK dan juga pada kesejahteraan serta kapasitas shadow teacher. Keterbatasan dalam penelitian ini menjadi celah yang perlu dijembatani melalui pendekatan penelitian yang lebih komprehensif.</w:t>
      </w:r>
    </w:p>
    <w:p w14:paraId="6306E31C">
      <w:pPr>
        <w:spacing w:after="0" w:line="360" w:lineRule="auto"/>
        <w:ind w:left="180" w:firstLine="810"/>
        <w:jc w:val="both"/>
        <w:rPr>
          <w:lang w:val="sv-SE"/>
        </w:rPr>
      </w:pPr>
      <w:r>
        <w:rPr>
          <w:lang w:val="sv-SE"/>
        </w:rPr>
        <w:t>Banyak penelitian tentang pendidikan inklusi dan peran shadow teacher lebih fokus pada pelatihan teknis dan pengembangan kompetensi guru. Penelitian Sharma et al. dan McLeskey et al. fokus pada pentingnya pelatihan inklusif dan dukungan psikososial bagi tenaga pendidik, namun pendekatannya masih bersifat parsial dan kurang memperhatikan integrasi layanan yang holistik. Selain itu, konteks lokal wisdom di negara berkembang, termasuk Indonesia, sering kali diabaikan, sehingga model layanan yang diusulkan dalam penelitian-penelitian tersebut tidak sepenuhnya relevan untuk menghadapi tantangan unik yang dihadapi shadow teacher di sekolah inklusi di Indonesia.</w:t>
      </w:r>
    </w:p>
    <w:p w14:paraId="72F3A9C8">
      <w:pPr>
        <w:spacing w:after="0" w:line="360" w:lineRule="auto"/>
        <w:ind w:left="180" w:firstLine="720"/>
        <w:jc w:val="both"/>
        <w:rPr>
          <w:lang w:val="sv-SE"/>
        </w:rPr>
      </w:pPr>
      <w:r>
        <w:rPr>
          <w:lang w:val="sv-SE"/>
        </w:rPr>
        <w:t>Fenomena ini diperkuat oleh temuan penelitian Wijayanti et al. mengidentifikasi bahwa shadow teacher di Indonesia sering kali bekerja tanpa pelatihan yang memadai dan tanpa dukungan emosional yang terstruktur. Penelitian lain oleh Anderson et al. menunjukkan bahwa tenaga pendidik dalam konteks inklusi membutuhkan integrasi layanan teknis dan psikososial untuk meningkatkan efektivitas mereka, tetapi penelitian ini belum menjangkau shadow teacher secara spesifik. Selain itu, studi lokal seperti yang dilakukan oleh Sari et al.</w:t>
      </w:r>
      <w:r>
        <w:rPr>
          <w:rStyle w:val="10"/>
          <w:lang w:val="sv-SE"/>
        </w:rPr>
        <w:footnoteReference w:id="14"/>
      </w:r>
      <w:r>
        <w:rPr>
          <w:lang w:val="sv-SE"/>
        </w:rPr>
        <w:t xml:space="preserve"> mengungkapkan kurangnya koordinasi antara sekolah, pemerintah, dan komunitas dalam mendukung shadow teacher, yang menegaskan pentingnya pendekatan yang lebih terintegrasi. </w:t>
      </w:r>
    </w:p>
    <w:p w14:paraId="1E2E11D4">
      <w:pPr>
        <w:spacing w:after="0" w:line="360" w:lineRule="auto"/>
        <w:ind w:left="180" w:firstLine="720"/>
        <w:jc w:val="both"/>
        <w:rPr>
          <w:lang w:val="fi-FI"/>
        </w:rPr>
      </w:pPr>
      <w:r>
        <w:rPr>
          <w:lang w:val="fi-FI"/>
        </w:rPr>
        <w:t>Pengembangan model layanan bimbingan dan konseling (BK) yang bersifat holistik dan integratif, yang secara khusus dirancang untuk mendukung shadow teacher dalam konteks pendidikan inklusi menjadi novelty dalam penelitia ini. Model ini menggabungkan pendekatan psikologis, sosial, dan teknis untuk memberikan pendampingan yang menyeluruh bagi shadow teacher. Tidak hanya berfokus pada peningkatan kapasitas teknis shadow teacher dalam mendampingi ABK, model ini juga mencakup intervensi psikososial untuk memperkuat kesejahteraan emosional mereka. Pendekatan seperti ini sangat diperlukan, mengingat shadow teacher sering menghadapi tekanan emosional yang tinggi dan tuntutan pekerjaan yang kompleks</w:t>
      </w:r>
      <w:r>
        <w:rPr>
          <w:rStyle w:val="10"/>
          <w:lang w:val="fi-FI"/>
        </w:rPr>
        <w:footnoteReference w:id="15"/>
      </w:r>
      <w:r>
        <w:rPr>
          <w:lang w:val="fi-FI"/>
        </w:rPr>
        <w:t>.</w:t>
      </w:r>
    </w:p>
    <w:p w14:paraId="686EA6B0">
      <w:pPr>
        <w:spacing w:after="0" w:line="360" w:lineRule="auto"/>
        <w:ind w:left="180" w:firstLine="540"/>
        <w:jc w:val="both"/>
        <w:rPr>
          <w:lang w:val="fi-FI"/>
        </w:rPr>
      </w:pPr>
      <w:r>
        <w:rPr>
          <w:lang w:val="fi-FI"/>
        </w:rPr>
        <w:t xml:space="preserve">Selain itu, model ini dirancang </w:t>
      </w:r>
      <w:r>
        <w:rPr>
          <w:rFonts w:eastAsia="Times New Roman"/>
        </w:rPr>
        <w:t>untuk membuat lingkungan pendidikan yang lebih inklusif</w:t>
      </w:r>
      <w:r>
        <w:rPr>
          <w:lang w:val="fi-FI"/>
        </w:rPr>
        <w:t xml:space="preserve"> dan mendukung kebutuhan ABK secara menyeluruh. Dengan mengintegrasikan layanan yang berpusat pada </w:t>
      </w:r>
      <w:r>
        <w:rPr>
          <w:i/>
          <w:iCs/>
          <w:lang w:val="fi-FI"/>
        </w:rPr>
        <w:t>shadow teacher</w:t>
      </w:r>
      <w:r>
        <w:rPr>
          <w:lang w:val="fi-FI"/>
        </w:rPr>
        <w:t xml:space="preserve"> dan kolaborasi dengan berbagai pihak, model ini berpotensi mengisi kesenjangan yang ada dalam penelitian sebelumnya, yang umumnya hanya berfokus pada satu aspek tertentu, seperti pelatihan teknis atau dukungan psikologis secara terpisah </w:t>
      </w:r>
      <w:r>
        <w:rPr>
          <w:rStyle w:val="10"/>
          <w:lang w:val="fi-FI"/>
        </w:rPr>
        <w:footnoteReference w:id="16"/>
      </w:r>
      <w:r>
        <w:rPr>
          <w:lang w:val="fi-FI"/>
        </w:rPr>
        <w:t>. Pendekatan holistik ini diharapkan tidak hanya meningkatkan kinerja shadow teacher, tetapi juga memperkuat sinergi antara guru, orang tua, dan komunitas untuk mendukung keberhasilan pendidikan inklusi, khususnya di Kota Bengkulu.</w:t>
      </w:r>
    </w:p>
    <w:p w14:paraId="14489E30">
      <w:pPr>
        <w:spacing w:after="0" w:line="360" w:lineRule="auto"/>
        <w:ind w:left="180" w:firstLine="630"/>
        <w:jc w:val="both"/>
        <w:rPr>
          <w:lang w:val="fi-FI"/>
        </w:rPr>
      </w:pPr>
      <w:r>
        <w:rPr>
          <w:lang w:val="fi-FI"/>
        </w:rPr>
        <w:t>Penelitian ini memiliki urgensi yang signifikan karena pengembangan model layanan bimbingan dan konseling (BK) holistik dan integratif yang dirancang khusus untuk mendukung shadow teacher di sekolah inklusi di Kota Bengkulu dapat menjadi solusi praktis dalam mengatasi tantangan yang dihadapi dalam pendampingan Anak Berkebutuhan Khusus (ABK). Pendekatan yang menggabungkan dimensi psikologis, sosial, dan emosional ini bertujuan untuk memperkuat kapasitas shadow teacher dalam memberikan dukungan yang efektif sekaligus menjaga kesejahteraan psikologis mereka, mengingat beban emosional yang mereka hadapi dalam pekerjaan sehari-hari. Hal ini sejalan dengan teori ekologi perkembangan manusia Bronfenbrenner yang menekankan pentingnya interaksi individu dengan lingkungan sosial yang mendukung perkembangan mereka dalam konteks pendidikan (Bronfenbrenner, 1994). Model ini juga relevan dengan kebijakan nasional yang tertuang dalam Permendikbud Nomor 70 Tahun 2009 tentang Pendidikan Inklusif, yang mengharuskan adanya penguatan dukungan profesional bagi tenaga pendidik dalam menciptakan lingkungan belajar yang inklusif dan responsif terhadap kebutuhan semua peserta didik, termasuk ABK.</w:t>
      </w:r>
    </w:p>
    <w:p w14:paraId="40E95AF3">
      <w:pPr>
        <w:spacing w:after="0" w:line="360" w:lineRule="auto"/>
        <w:ind w:left="180" w:firstLine="540"/>
        <w:jc w:val="both"/>
        <w:rPr>
          <w:lang w:val="fi-FI"/>
        </w:rPr>
      </w:pPr>
      <w:r>
        <w:rPr>
          <w:lang w:val="fi-FI"/>
        </w:rPr>
        <w:t xml:space="preserve">Secara Berkelanjutan, implementasi model layanan ini diharapkan tidak hanya meningkatkan kualitas pendidikan inklusi di Kota Bengkulu, tetapi juga membuka peluang untuk replikasi di wilayah lain dengan kondisi serupa, yang masih menghadapi tantangan dalam pendampingan ABK. Penelitian ini berkontribusi pada pengembangan teori dan praktik pendidikan inklusi, khususnya dengan memperkenalkan pendekatan layanan BK yang lebih komprehensif dan kolaboratif. Dengan demikian, penelitian ini diharapkan dapat memperkaya landasan teoritis dalam bidang pendidikan inklusi, serta memberikan arahan bagi kebijakan pendidikan yang lebih responsif dan adaptif terhadap kebutuhan ABK. Ke depan, hasil penelitian ini dapat memberikan kontribusi yang lebih luas terhadap peningkatan kualitas sistem pendidikan inklusi di Indonesia, sebagaimana yang diamanatkan dalam kebijakan nasional, dengan fokus pada keberlanjutan dan kesejahteraan seluruh pihak yang terlibat dalam pendidikan inklusi, termasuk shadow teacher, guru reguler, orang tua, dan komunitas. </w:t>
      </w:r>
    </w:p>
    <w:p w14:paraId="0073612B">
      <w:pPr>
        <w:spacing w:after="0" w:line="360" w:lineRule="auto"/>
        <w:ind w:left="270" w:firstLine="720"/>
        <w:jc w:val="both"/>
        <w:rPr>
          <w:lang w:val="fi-FI"/>
        </w:rPr>
      </w:pPr>
    </w:p>
    <w:p w14:paraId="2D64EE51">
      <w:pPr>
        <w:pStyle w:val="18"/>
        <w:numPr>
          <w:ilvl w:val="0"/>
          <w:numId w:val="1"/>
        </w:numPr>
        <w:tabs>
          <w:tab w:val="left" w:pos="360"/>
        </w:tabs>
        <w:spacing w:after="0" w:line="360" w:lineRule="auto"/>
        <w:ind w:left="180" w:hanging="90"/>
        <w:jc w:val="both"/>
        <w:rPr>
          <w:b/>
          <w:bCs/>
        </w:rPr>
      </w:pPr>
      <w:r>
        <w:rPr>
          <w:b/>
          <w:bCs/>
        </w:rPr>
        <w:t>Identifikasi Masalah</w:t>
      </w:r>
    </w:p>
    <w:p w14:paraId="14642E57">
      <w:pPr>
        <w:spacing w:after="0" w:line="360" w:lineRule="auto"/>
        <w:ind w:left="450" w:firstLine="540"/>
        <w:jc w:val="both"/>
      </w:pPr>
      <w:r>
        <w:t>Berdasarkan penejlasan latar belakang di atas maka dapat diidentifikasi permasalahan sebagai berikut:</w:t>
      </w:r>
    </w:p>
    <w:p w14:paraId="705AA915">
      <w:pPr>
        <w:numPr>
          <w:ilvl w:val="0"/>
          <w:numId w:val="2"/>
        </w:numPr>
        <w:spacing w:after="0" w:line="360" w:lineRule="auto"/>
        <w:jc w:val="both"/>
      </w:pPr>
      <w:r>
        <w:t xml:space="preserve">Keterbatasan Dukungan bagi </w:t>
      </w:r>
      <w:r>
        <w:rPr>
          <w:i/>
          <w:iCs/>
        </w:rPr>
        <w:t>shadow teacher</w:t>
      </w:r>
      <w:r>
        <w:t>: Banyak sekolah inklusi di Kota Bengkulu yang belum memiliki sistem pendukung yang memadai untuk shadow teacher, terutama dalam aspek bimbingan dan konseling yang holistik. Hal ini menyebabkan shadow teacher kesulitan dalam menangani berbagai tantangan psikologis dan emosional yang mereka hadapi dalam pendampingan ABK.</w:t>
      </w:r>
    </w:p>
    <w:p w14:paraId="61157D58">
      <w:pPr>
        <w:numPr>
          <w:ilvl w:val="0"/>
          <w:numId w:val="2"/>
        </w:numPr>
        <w:spacing w:after="0" w:line="360" w:lineRule="auto"/>
        <w:jc w:val="both"/>
      </w:pPr>
      <w:r>
        <w:t>Kekurangan Model Layanan BK yang Holistik dan Integratif: Meskipun sudah ada layanan BK di sekolah inklusi, sebagian besar fokus pada aspek akademik dan kurang memperhatikan integrasi aspek psikologis, sosial, dan teknis yang diperlukan untuk mendukung shadow teacher dalam tugas pendampingannya.</w:t>
      </w:r>
    </w:p>
    <w:p w14:paraId="10767668">
      <w:pPr>
        <w:numPr>
          <w:ilvl w:val="0"/>
          <w:numId w:val="2"/>
        </w:numPr>
        <w:spacing w:after="0" w:line="360" w:lineRule="auto"/>
        <w:jc w:val="both"/>
        <w:rPr>
          <w:lang w:val="sv-SE"/>
        </w:rPr>
      </w:pPr>
      <w:r>
        <w:t xml:space="preserve">Beban Psikologis dan Emosional Shadow Teacher: Shadow teacher seringkali mengalami stres dan kelelahan akibat tuntutan tugas yang tinggi, tanpa adanya dukungan psikologis yang memadai. </w:t>
      </w:r>
      <w:r>
        <w:rPr>
          <w:lang w:val="sv-SE"/>
        </w:rPr>
        <w:t>Hal ini mempengaruhi kinerja mereka dalam mendampingi ABK secara optimal.</w:t>
      </w:r>
    </w:p>
    <w:p w14:paraId="2BA93AAA">
      <w:pPr>
        <w:numPr>
          <w:ilvl w:val="0"/>
          <w:numId w:val="2"/>
        </w:numPr>
        <w:spacing w:after="0" w:line="360" w:lineRule="auto"/>
        <w:jc w:val="both"/>
        <w:rPr>
          <w:lang w:val="sv-SE"/>
        </w:rPr>
      </w:pPr>
      <w:r>
        <w:rPr>
          <w:lang w:val="sv-SE"/>
        </w:rPr>
        <w:t xml:space="preserve">Tantangan dalam Penerapan Pendidikan Inklusif: Meskipun kebijakan pendidikan inklusi sudah diterapkan, pelaksanaannya di lapangan masih menghadapi banyak tantangan, terutama dalam penyediaan dukungan yang tepat bagi tenaga pendidik seperti </w:t>
      </w:r>
      <w:r>
        <w:rPr>
          <w:i/>
          <w:iCs/>
          <w:lang w:val="sv-SE"/>
        </w:rPr>
        <w:t>shadow teacher</w:t>
      </w:r>
      <w:r>
        <w:rPr>
          <w:lang w:val="sv-SE"/>
        </w:rPr>
        <w:t xml:space="preserve"> yang bekerja langsung dengan ABK.</w:t>
      </w:r>
    </w:p>
    <w:p w14:paraId="163C5F28">
      <w:pPr>
        <w:numPr>
          <w:ilvl w:val="0"/>
          <w:numId w:val="2"/>
        </w:numPr>
        <w:spacing w:after="0" w:line="360" w:lineRule="auto"/>
        <w:jc w:val="both"/>
        <w:rPr>
          <w:lang w:val="sv-SE"/>
        </w:rPr>
      </w:pPr>
      <w:r>
        <w:rPr>
          <w:lang w:val="sv-SE"/>
        </w:rPr>
        <w:t xml:space="preserve">Kurangnya Penelitian yang Relevan di Konteks Lokal: Penelitian yang ada lebih banyak membahas pendidikan inklusi secara umum dan belum banyak yang mengkaji secara mendalam tentang kebutuhan spesifik </w:t>
      </w:r>
      <w:r>
        <w:rPr>
          <w:i/>
          <w:iCs/>
          <w:lang w:val="sv-SE"/>
        </w:rPr>
        <w:t>shadow teacher</w:t>
      </w:r>
      <w:r>
        <w:rPr>
          <w:lang w:val="sv-SE"/>
        </w:rPr>
        <w:t xml:space="preserve"> di sekolah inklusi di Indonesia, terutama di Kota Bengkulu.</w:t>
      </w:r>
    </w:p>
    <w:p w14:paraId="251B3B61">
      <w:pPr>
        <w:numPr>
          <w:ilvl w:val="0"/>
          <w:numId w:val="2"/>
        </w:numPr>
        <w:spacing w:after="0" w:line="360" w:lineRule="auto"/>
        <w:jc w:val="both"/>
        <w:rPr>
          <w:lang w:val="sv-SE"/>
        </w:rPr>
      </w:pPr>
      <w:r>
        <w:rPr>
          <w:lang w:val="sv-SE"/>
        </w:rPr>
        <w:t xml:space="preserve">Keterbatasan Akses terhadap Pelatihan Inklusif: </w:t>
      </w:r>
      <w:r>
        <w:rPr>
          <w:i/>
          <w:iCs/>
          <w:lang w:val="sv-SE"/>
        </w:rPr>
        <w:t>Shadow teacher</w:t>
      </w:r>
      <w:r>
        <w:rPr>
          <w:lang w:val="sv-SE"/>
        </w:rPr>
        <w:t xml:space="preserve"> di banyak sekolah inklusi di Kota Bengkulu seringkali tidak mendapatkan pelatihan khusus yang komprehensif untuk mengembangkan keterampilan mereka dalam mendukung ABK secara efektif, baik dalam aspek akademik maupun sosial-emosional.</w:t>
      </w:r>
    </w:p>
    <w:p w14:paraId="1278EEDE">
      <w:pPr>
        <w:pStyle w:val="18"/>
        <w:tabs>
          <w:tab w:val="left" w:pos="450"/>
        </w:tabs>
        <w:spacing w:after="0" w:line="360" w:lineRule="auto"/>
        <w:ind w:left="270"/>
        <w:jc w:val="both"/>
        <w:rPr>
          <w:b/>
          <w:bCs/>
          <w:lang w:val="sv-SE"/>
        </w:rPr>
      </w:pPr>
    </w:p>
    <w:p w14:paraId="6044E050">
      <w:pPr>
        <w:pStyle w:val="18"/>
        <w:numPr>
          <w:ilvl w:val="0"/>
          <w:numId w:val="1"/>
        </w:numPr>
        <w:tabs>
          <w:tab w:val="left" w:pos="450"/>
        </w:tabs>
        <w:spacing w:after="0" w:line="360" w:lineRule="auto"/>
        <w:ind w:left="270" w:hanging="180"/>
        <w:jc w:val="both"/>
        <w:rPr>
          <w:b/>
          <w:bCs/>
        </w:rPr>
      </w:pPr>
      <w:r>
        <w:rPr>
          <w:b/>
          <w:bCs/>
        </w:rPr>
        <w:t>Batasan Masalah</w:t>
      </w:r>
    </w:p>
    <w:p w14:paraId="6727BC5E">
      <w:pPr>
        <w:pStyle w:val="14"/>
        <w:spacing w:before="0" w:beforeAutospacing="0" w:line="360" w:lineRule="auto"/>
        <w:ind w:left="450" w:firstLine="630"/>
        <w:jc w:val="both"/>
        <w:rPr>
          <w:lang w:val="en-US"/>
        </w:rPr>
      </w:pPr>
      <w:r>
        <w:rPr>
          <w:lang w:val="en-US"/>
        </w:rPr>
        <w:t xml:space="preserve">Berdasarkan identifikasi masalah yang ada, batasan masalah dalam penelitian ini adalah sebagai berikut: Penelitian ini akan fokus pada pengembangan model layanan bimbingan dan konseling (BK) holistik dan integratif yang dirancang untuk mendukung shadow teacher di sekolah inklusi di Kota Bengkulu. Model layanan BK yang dikembangkan akan mengintegrasikan pendekatan psikologis, sosial, dan teknis untuk meningkatkan kapasitas </w:t>
      </w:r>
      <w:r>
        <w:rPr>
          <w:i/>
          <w:iCs/>
          <w:lang w:val="en-US"/>
        </w:rPr>
        <w:t>shadow teacher</w:t>
      </w:r>
      <w:r>
        <w:rPr>
          <w:lang w:val="en-US"/>
        </w:rPr>
        <w:t xml:space="preserve"> dalam mendampingi Anak Berkebutuhan Khusus (ABK). Penelitian ini tidak akan membahas aspek lain dari pendidikan inklusi secara keseluruhan atau pengembangan pelatihan untuk guru reguler. Fokus penelitian hanya pada pengembangan dan perancangan model layanan BK yang relevan dengan kebutuhan shadow teacher di sekolah inklusi, dengan batasan pada penerapan di Kota Bengkulu dan tidak mencakup implementasi di wilayah lain.</w:t>
      </w:r>
    </w:p>
    <w:p w14:paraId="0EEEE905">
      <w:pPr>
        <w:pStyle w:val="14"/>
        <w:spacing w:before="0" w:beforeAutospacing="0" w:line="360" w:lineRule="auto"/>
        <w:ind w:left="450" w:firstLine="630"/>
        <w:jc w:val="both"/>
        <w:rPr>
          <w:lang w:val="en-US"/>
        </w:rPr>
      </w:pPr>
    </w:p>
    <w:p w14:paraId="60564A8A">
      <w:pPr>
        <w:pStyle w:val="14"/>
        <w:spacing w:before="0" w:beforeAutospacing="0" w:line="360" w:lineRule="auto"/>
        <w:ind w:left="450" w:firstLine="630"/>
        <w:jc w:val="both"/>
        <w:rPr>
          <w:lang w:val="en-US"/>
        </w:rPr>
      </w:pPr>
    </w:p>
    <w:p w14:paraId="18432910">
      <w:pPr>
        <w:pStyle w:val="18"/>
        <w:numPr>
          <w:ilvl w:val="0"/>
          <w:numId w:val="1"/>
        </w:numPr>
        <w:tabs>
          <w:tab w:val="left" w:pos="360"/>
        </w:tabs>
        <w:spacing w:after="0" w:line="360" w:lineRule="auto"/>
        <w:ind w:left="270" w:hanging="180"/>
        <w:jc w:val="both"/>
        <w:rPr>
          <w:b/>
          <w:bCs/>
        </w:rPr>
      </w:pPr>
      <w:r>
        <w:rPr>
          <w:b/>
          <w:bCs/>
        </w:rPr>
        <w:t>Rumusan Masalah</w:t>
      </w:r>
    </w:p>
    <w:p w14:paraId="2E2AD8FF">
      <w:pPr>
        <w:pStyle w:val="18"/>
        <w:spacing w:after="0" w:line="360" w:lineRule="auto"/>
        <w:ind w:left="284" w:firstLine="567"/>
        <w:jc w:val="both"/>
      </w:pPr>
      <w:r>
        <w:t>Rumusan masalah dalam penelitian adalah sebagai berikut;</w:t>
      </w:r>
    </w:p>
    <w:p w14:paraId="79B9CDDD">
      <w:pPr>
        <w:pStyle w:val="14"/>
        <w:numPr>
          <w:ilvl w:val="0"/>
          <w:numId w:val="3"/>
        </w:numPr>
        <w:tabs>
          <w:tab w:val="clear" w:pos="720"/>
        </w:tabs>
        <w:spacing w:before="0" w:beforeAutospacing="0" w:line="360" w:lineRule="auto"/>
        <w:jc w:val="both"/>
        <w:rPr>
          <w:lang w:val="en-US"/>
        </w:rPr>
      </w:pPr>
      <w:r>
        <w:rPr>
          <w:lang w:val="en-US"/>
        </w:rPr>
        <w:t xml:space="preserve">Bagaimana kebutuhan </w:t>
      </w:r>
      <w:r>
        <w:rPr>
          <w:i/>
          <w:iCs/>
          <w:lang w:val="en-US"/>
        </w:rPr>
        <w:t>shadow teacher</w:t>
      </w:r>
      <w:r>
        <w:rPr>
          <w:lang w:val="en-US"/>
        </w:rPr>
        <w:t xml:space="preserve"> dalam mendampingi Anak Berkebutuhan Khusus (ABK) di sekolah inklusi Kota Bengkulu?</w:t>
      </w:r>
    </w:p>
    <w:p w14:paraId="681B9709">
      <w:pPr>
        <w:pStyle w:val="14"/>
        <w:numPr>
          <w:ilvl w:val="0"/>
          <w:numId w:val="3"/>
        </w:numPr>
        <w:tabs>
          <w:tab w:val="clear" w:pos="720"/>
        </w:tabs>
        <w:spacing w:line="360" w:lineRule="auto"/>
        <w:jc w:val="both"/>
        <w:rPr>
          <w:lang w:val="en-US"/>
        </w:rPr>
      </w:pPr>
      <w:r>
        <w:rPr>
          <w:lang w:val="en-US"/>
        </w:rPr>
        <w:t xml:space="preserve">Apa saja tantangan yang dihadapi oleh </w:t>
      </w:r>
      <w:r>
        <w:rPr>
          <w:i/>
          <w:iCs/>
          <w:lang w:val="en-US"/>
        </w:rPr>
        <w:t>shadow teacher</w:t>
      </w:r>
      <w:r>
        <w:rPr>
          <w:lang w:val="en-US"/>
        </w:rPr>
        <w:t xml:space="preserve"> dalam memberikan layanan bimbingan dan konseling kepada ABK di sekolah inklusi?</w:t>
      </w:r>
    </w:p>
    <w:p w14:paraId="3E320533">
      <w:pPr>
        <w:pStyle w:val="14"/>
        <w:numPr>
          <w:ilvl w:val="0"/>
          <w:numId w:val="3"/>
        </w:numPr>
        <w:spacing w:before="0" w:beforeAutospacing="0" w:line="360" w:lineRule="auto"/>
        <w:jc w:val="both"/>
        <w:rPr>
          <w:b/>
          <w:bCs/>
        </w:rPr>
      </w:pPr>
      <w:r>
        <w:rPr>
          <w:lang w:val="en-US"/>
        </w:rPr>
        <w:t xml:space="preserve">Bagaimana model layanan BK holistik integratif yang efektif dapat dikembangkan untuk mendukung </w:t>
      </w:r>
      <w:r>
        <w:rPr>
          <w:i/>
          <w:iCs/>
          <w:lang w:val="en-US"/>
        </w:rPr>
        <w:t>shadow teacher</w:t>
      </w:r>
      <w:r>
        <w:rPr>
          <w:lang w:val="en-US"/>
        </w:rPr>
        <w:t xml:space="preserve"> dalam pendampingan ABK di sekolah inklusi?</w:t>
      </w:r>
    </w:p>
    <w:p w14:paraId="5C31FAFF">
      <w:pPr>
        <w:pStyle w:val="14"/>
        <w:numPr>
          <w:ilvl w:val="0"/>
          <w:numId w:val="1"/>
        </w:numPr>
        <w:spacing w:before="0" w:beforeAutospacing="0" w:after="0" w:afterAutospacing="0" w:line="360" w:lineRule="auto"/>
        <w:ind w:left="360" w:hanging="270"/>
        <w:jc w:val="both"/>
        <w:rPr>
          <w:b/>
          <w:bCs/>
        </w:rPr>
      </w:pPr>
      <w:r>
        <w:rPr>
          <w:b/>
          <w:bCs/>
        </w:rPr>
        <w:t>Tujuan Penelitian`</w:t>
      </w:r>
    </w:p>
    <w:p w14:paraId="66E9F64D">
      <w:pPr>
        <w:pStyle w:val="18"/>
        <w:spacing w:after="0" w:line="360" w:lineRule="auto"/>
        <w:ind w:left="630" w:firstLine="630"/>
        <w:jc w:val="both"/>
        <w:rPr>
          <w:lang w:val="id-ID"/>
        </w:rPr>
      </w:pPr>
      <w:r>
        <w:rPr>
          <w:lang w:val="id-ID"/>
        </w:rPr>
        <w:t>Merujuk pada Latar belakang dan Rumusan masalah di atas, maka tujuan penelitian ini adalah sebagai berikut;</w:t>
      </w:r>
    </w:p>
    <w:p w14:paraId="3CFAE3EB">
      <w:pPr>
        <w:pStyle w:val="14"/>
        <w:numPr>
          <w:ilvl w:val="2"/>
          <w:numId w:val="4"/>
        </w:numPr>
        <w:spacing w:before="0" w:beforeAutospacing="0" w:line="360" w:lineRule="auto"/>
        <w:ind w:hanging="270"/>
        <w:jc w:val="both"/>
      </w:pPr>
      <w:r>
        <w:t xml:space="preserve">Menganalisis kebutuhan </w:t>
      </w:r>
      <w:r>
        <w:rPr>
          <w:i/>
          <w:iCs/>
        </w:rPr>
        <w:t>shadow teacher</w:t>
      </w:r>
      <w:r>
        <w:t xml:space="preserve"> dalam mendampingi Anak Berkebutuhan Khusus (ABK) di sekolah inklusi Kota Bengkulu.</w:t>
      </w:r>
    </w:p>
    <w:p w14:paraId="00067508">
      <w:pPr>
        <w:pStyle w:val="14"/>
        <w:numPr>
          <w:ilvl w:val="2"/>
          <w:numId w:val="4"/>
        </w:numPr>
        <w:spacing w:line="360" w:lineRule="auto"/>
        <w:ind w:hanging="270"/>
        <w:jc w:val="both"/>
      </w:pPr>
      <w:r>
        <w:t xml:space="preserve">Mengidentifikasi tantangan yang dihadapi oleh </w:t>
      </w:r>
      <w:r>
        <w:rPr>
          <w:i/>
          <w:iCs/>
        </w:rPr>
        <w:t>shadow teacher</w:t>
      </w:r>
      <w:r>
        <w:t xml:space="preserve"> dalam memberikan layanan bimbingan dan konseling kepada ABK di sekolah inklusi.</w:t>
      </w:r>
    </w:p>
    <w:p w14:paraId="0D591594">
      <w:pPr>
        <w:pStyle w:val="14"/>
        <w:numPr>
          <w:ilvl w:val="2"/>
          <w:numId w:val="4"/>
        </w:numPr>
        <w:spacing w:line="360" w:lineRule="auto"/>
        <w:ind w:hanging="270"/>
        <w:jc w:val="both"/>
      </w:pPr>
      <w:r>
        <w:t xml:space="preserve">Mengembangkan dan memvalidasi model layanan BK holistik integratif yang efektif untuk mendukung </w:t>
      </w:r>
      <w:r>
        <w:rPr>
          <w:i/>
          <w:iCs/>
        </w:rPr>
        <w:t>shadow teacher</w:t>
      </w:r>
      <w:r>
        <w:t xml:space="preserve"> dalam pendampingan ABK di sekolah inklusi.</w:t>
      </w:r>
    </w:p>
    <w:p w14:paraId="105E3FB6">
      <w:pPr>
        <w:pStyle w:val="18"/>
        <w:numPr>
          <w:ilvl w:val="0"/>
          <w:numId w:val="5"/>
        </w:numPr>
        <w:spacing w:line="360" w:lineRule="auto"/>
        <w:ind w:left="284" w:hanging="284"/>
        <w:jc w:val="both"/>
        <w:rPr>
          <w:b/>
        </w:rPr>
      </w:pPr>
      <w:r>
        <w:rPr>
          <w:b/>
        </w:rPr>
        <w:t>Urgensi Penelitian</w:t>
      </w:r>
    </w:p>
    <w:p w14:paraId="5F94F32E">
      <w:pPr>
        <w:pStyle w:val="18"/>
        <w:spacing w:after="0" w:line="360" w:lineRule="auto"/>
        <w:ind w:left="284" w:firstLine="567"/>
        <w:jc w:val="both"/>
      </w:pPr>
      <w:r>
        <w:t xml:space="preserve">Penelitian ini menjadi penting untuk dilakukan sebagai wujud kontribusi Program studi Bimbingan dan Konseling Islam dalam menginesiasi gagasan, ide sebagai implikasi dari hasil penelitian dalam bentuk model layanan BK holistik Integratif bagi </w:t>
      </w:r>
      <w:r>
        <w:rPr>
          <w:i/>
          <w:iCs/>
        </w:rPr>
        <w:t>shadow teacher</w:t>
      </w:r>
      <w:r>
        <w:t xml:space="preserve"> dalam melakukan pendampingan ABK di sekolah inklusi. Modifikasi Layanan BK diharapkan dapat menjadi salah kontribusi dan acuan bagi Program Studi BKI UIN FAS Bengkulu dalam menelaah beberapa mata kuliah keprodian yang ada dalam kurikulum prodi BKI yang berkaitan dengan pendampingan Anak Berkebutuhan Khusus, seperti mata kuliah Dasar-Dasar BK, BK Anak Berkebutuhan Khusus, Konseling Perorangan, Teori dan Teknik BK. </w:t>
      </w:r>
    </w:p>
    <w:p w14:paraId="386DF833">
      <w:pPr>
        <w:pStyle w:val="14"/>
        <w:spacing w:before="0" w:beforeAutospacing="0" w:after="0" w:afterAutospacing="0" w:line="360" w:lineRule="auto"/>
        <w:ind w:left="270" w:firstLine="720"/>
        <w:jc w:val="both"/>
        <w:rPr>
          <w:lang w:val="en-US"/>
        </w:rPr>
      </w:pPr>
      <w:r>
        <w:rPr>
          <w:lang w:val="en-US"/>
        </w:rPr>
        <w:t xml:space="preserve">Selain itu, penelitian ini memiliki urgensi yang signifikan, baik di tingkat lokal maupun nasional, karena pengembangan model layanan BK holistik dan integratif yang diusulkan dapat memberikan kontribusi substansial terhadap peningkatan kualitas pendidikan inklusi di Kota Bengkulu. Model ini dirancang untuk menciptakan lingkungan belajar yang lebih responsif dan adaptif terhadap kebutuhan Anak Berkebutuhan Khusus (ABK), serta mendukung penguatan kapasitas </w:t>
      </w:r>
      <w:r>
        <w:rPr>
          <w:i/>
          <w:iCs/>
          <w:lang w:val="en-US"/>
        </w:rPr>
        <w:t>shadow teacher</w:t>
      </w:r>
      <w:r>
        <w:rPr>
          <w:lang w:val="en-US"/>
        </w:rPr>
        <w:t xml:space="preserve"> dalam menghadapi berbagai tantangan di lapangan.</w:t>
      </w:r>
    </w:p>
    <w:p w14:paraId="70421E20">
      <w:pPr>
        <w:pStyle w:val="14"/>
        <w:spacing w:before="0" w:beforeAutospacing="0" w:after="0" w:afterAutospacing="0" w:line="360" w:lineRule="auto"/>
        <w:ind w:left="270" w:firstLine="720"/>
        <w:jc w:val="both"/>
        <w:rPr>
          <w:lang w:val="en-US"/>
        </w:rPr>
      </w:pPr>
      <w:r>
        <w:rPr>
          <w:lang w:val="en-US"/>
        </w:rPr>
        <w:t xml:space="preserve"> Penelitian ini sejalan dengan kluster penelitian kami yang berfokus pada pengembangan program studi, khususnya dalam peningkatan kompetensi alumni dan pengembangan mata kuliah yang relevan, seperti Dasar-dasar BK, BK Berkebutuhan Khusus, Konseling Mikro, dan Konseling Sosial/Komunitas, konseling perorangan Dengan demikian, hasil penelitian ini diharapkan dapat memperkaya kurikulum program studi terkait pendidikan inklusi, sekaligus memberikan kesiapan yang lebih baik bagi alumni untuk menghadapi dinamika dunia pendidikan inklusi. Selain itu, penelitian ini memberikan kontribusi terhadap pemahaman yang lebih mendalam mengenai tantangan pendidikan inklusi, serta berpotensi untuk memperkaya perspektif pembelajaran melalui pendekatan yang holistik dan integratif. </w:t>
      </w:r>
    </w:p>
    <w:p w14:paraId="338A997A">
      <w:pPr>
        <w:pStyle w:val="14"/>
        <w:spacing w:before="0" w:beforeAutospacing="0" w:line="360" w:lineRule="auto"/>
        <w:ind w:left="270" w:firstLine="810"/>
        <w:jc w:val="both"/>
        <w:rPr>
          <w:lang w:val="en-US"/>
        </w:rPr>
      </w:pPr>
      <w:r>
        <w:rPr>
          <w:lang w:val="en-US"/>
        </w:rPr>
        <w:t>Pendidikan inklusi sendiri merupakan isu global yang mendapat perhatian besar di tingkat nasional dan internasional, dengan fokus pada penerapan kesetaraan akses pendidikan bagi semua anak, termasuk mereka yang memiliki kebutuhan khusus. Dalam konteks ini, penelitian ini juga relevan dengan kajian gender, yang semakin menjadi perhatian dalam diskursus pendidikan inklusi, karena pentingnya keberagaman dan kesetaraan dalam pendidikan. Oleh karena itu, dalam pengembangan program studi BK, melibatkan alumni yang memiliki pengalaman di bidang pendidikan inklusi dan mempertimbangkan isu-isu gender dalam kurikulum akan sangat penting. Pendekatan ini tidak hanya akan memperkaya program studi, tetapi juga memastikan bahwa para lulusan memiliki keterampilan dan pengetahuan yang dibutuhkan untuk mendukung keberhasilan pendidikan inklusi, baik di tingkat lokal maupun dalam skala yang lebih luas, serta berkontribusi pada pengembangan teori dan praktik pendidikan inklusi yang lebih inklusif dan berkelanjutan.</w:t>
      </w:r>
    </w:p>
    <w:p w14:paraId="4DAD8E54">
      <w:pPr>
        <w:pStyle w:val="18"/>
        <w:numPr>
          <w:ilvl w:val="0"/>
          <w:numId w:val="5"/>
        </w:numPr>
        <w:spacing w:line="360" w:lineRule="auto"/>
        <w:ind w:left="284" w:hanging="284"/>
        <w:jc w:val="both"/>
      </w:pPr>
      <w:r>
        <w:rPr>
          <w:b/>
        </w:rPr>
        <w:t>Kontribusi</w:t>
      </w:r>
      <w:r>
        <w:t xml:space="preserve"> </w:t>
      </w:r>
      <w:r>
        <w:rPr>
          <w:b/>
        </w:rPr>
        <w:t>Penelitian</w:t>
      </w:r>
    </w:p>
    <w:p w14:paraId="1639FA5E">
      <w:pPr>
        <w:pStyle w:val="18"/>
        <w:numPr>
          <w:ilvl w:val="0"/>
          <w:numId w:val="6"/>
        </w:numPr>
        <w:spacing w:after="0" w:line="360" w:lineRule="auto"/>
        <w:ind w:left="540" w:hanging="270"/>
        <w:jc w:val="both"/>
        <w:rPr>
          <w:b/>
        </w:rPr>
      </w:pPr>
      <w:r>
        <w:rPr>
          <w:b/>
        </w:rPr>
        <w:t>Kontribusi Teoritis</w:t>
      </w:r>
    </w:p>
    <w:p w14:paraId="4E01B852">
      <w:pPr>
        <w:pStyle w:val="14"/>
        <w:spacing w:before="0" w:beforeAutospacing="0" w:line="360" w:lineRule="auto"/>
        <w:ind w:left="540" w:firstLine="630"/>
        <w:jc w:val="both"/>
        <w:rPr>
          <w:lang w:val="en-US"/>
        </w:rPr>
      </w:pPr>
      <w:r>
        <w:rPr>
          <w:lang w:val="en-US"/>
        </w:rPr>
        <w:t>Penelitian ini diharapkan dapat memberikan kontribusi signifikan dalam pengembangan teori dalam bidang Bimbingan dan Konseling Islam, khususnya yang berkaitan dengan pendidikan inklusi dan pendampingan Anak Berkebutuhan Khusus (ABK). Model layanan BK holistik dan integratif yang dikembangkan dalam penelitian ini akan memperkaya pemahaman mengenai hubungan antara pendekatan psikologis, sosial, dan teknis dalam mendukung shadow teacher. Teori yang dihasilkan dari penelitian ini diharapkan dapat memberikan landasan konseptual yang lebih kuat untuk pengembangan lebih lanjut dalam praktik konseling di lingkungan pendidikan inklusi. Selain itu, penelitian ini akan memperluas pemahaman terkait konsep pendidikan inklusi dan layanan konseling yang lebih adaptif terhadap kebutuhan ABK. Hasil dari penelitian ini diharapkan menjadi referensi teoritis bagi penelitian selanjutnya yang berkaitan dengan implementasi dan pengembangan pendidikan inklusi di Indonesia, serta memberikan kontribusi terhadap kajian gender dalam konteks layanan konseling bagi ABK.</w:t>
      </w:r>
    </w:p>
    <w:p w14:paraId="7A9B80F3">
      <w:pPr>
        <w:pStyle w:val="18"/>
        <w:numPr>
          <w:ilvl w:val="0"/>
          <w:numId w:val="6"/>
        </w:numPr>
        <w:spacing w:after="0" w:line="360" w:lineRule="auto"/>
        <w:ind w:left="540" w:hanging="270"/>
        <w:jc w:val="both"/>
        <w:rPr>
          <w:b/>
        </w:rPr>
      </w:pPr>
      <w:r>
        <w:rPr>
          <w:b/>
        </w:rPr>
        <w:t>Kontribusi Praktis</w:t>
      </w:r>
    </w:p>
    <w:p w14:paraId="787BE1D3">
      <w:pPr>
        <w:pStyle w:val="14"/>
        <w:numPr>
          <w:ilvl w:val="1"/>
          <w:numId w:val="6"/>
        </w:numPr>
        <w:spacing w:after="0" w:afterAutospacing="0" w:line="360" w:lineRule="auto"/>
        <w:ind w:left="720" w:hanging="180"/>
        <w:jc w:val="both"/>
        <w:rPr>
          <w:b/>
          <w:bCs/>
        </w:rPr>
      </w:pPr>
      <w:r>
        <w:rPr>
          <w:b/>
          <w:bCs/>
          <w:lang w:val="en-US"/>
        </w:rPr>
        <w:t xml:space="preserve"> Bagi Program Studi Bimbingan Konseling Islam (BKI)</w:t>
      </w:r>
    </w:p>
    <w:p w14:paraId="43935376">
      <w:pPr>
        <w:pStyle w:val="14"/>
        <w:spacing w:before="0" w:beforeAutospacing="0" w:after="0" w:afterAutospacing="0" w:line="360" w:lineRule="auto"/>
        <w:ind w:left="810" w:hanging="90"/>
        <w:jc w:val="both"/>
      </w:pPr>
      <w:r>
        <w:t xml:space="preserve">  Penelitian ini memberikan kontribusi signifikan bagi pengembangan kurikulum dan program studi Bimbingan Konseling Islam, khususnya dalam konteks pendidikan inklusi. Dengan mengembangkan model layanan BK holistik integratif, penelitian ini memperkaya pemahaman tentang integrasi prinsip-prinsip konseling Islam dengan pendekatan modern dalam mendukung pendidikan inklusi. Hal ini akan memperkaya mata kuliah yang ada, seperti Dasar-dasar BK, BK untuk ABK dan Konseling Sosial/komunitas, Konseling Perorangan serta membuka peluang bagi pengembangan mata kuliah baru yang lebih sesuai dengan kebutuhan dunia pendidikan inklusi. Selain itu, model layanan ini dapat dijadikan referensi dalam pengembangan kompetensi para lulusan Program Studi BKI, sehingga mereka lebih siap menghadapi tantangan dunia pendidikan yang inklusif, baik dari segi keterampilan profesional maupun pemahaman mendalam terhadap kebutuhan ABK.</w:t>
      </w:r>
    </w:p>
    <w:p w14:paraId="05F5C0CB">
      <w:pPr>
        <w:pStyle w:val="14"/>
        <w:numPr>
          <w:ilvl w:val="1"/>
          <w:numId w:val="6"/>
        </w:numPr>
        <w:spacing w:before="0" w:beforeAutospacing="0" w:after="0" w:afterAutospacing="0" w:line="360" w:lineRule="auto"/>
        <w:ind w:left="810" w:hanging="270"/>
        <w:jc w:val="both"/>
        <w:rPr>
          <w:b/>
          <w:bCs/>
          <w:lang w:val="sv-SE"/>
        </w:rPr>
      </w:pPr>
      <w:r>
        <w:rPr>
          <w:b/>
          <w:bCs/>
          <w:lang w:val="sv-SE"/>
        </w:rPr>
        <w:t>Bagi Sekolah Inklusi di Kota Bengkulu</w:t>
      </w:r>
    </w:p>
    <w:p w14:paraId="3FF1E6F1">
      <w:pPr>
        <w:pStyle w:val="14"/>
        <w:spacing w:before="0" w:beforeAutospacing="0" w:after="0" w:afterAutospacing="0" w:line="360" w:lineRule="auto"/>
        <w:ind w:left="810"/>
        <w:jc w:val="both"/>
        <w:rPr>
          <w:lang w:val="sv-SE"/>
        </w:rPr>
      </w:pPr>
      <w:r>
        <w:rPr>
          <w:lang w:val="sv-SE"/>
        </w:rPr>
        <w:t>Penelitian ini memberikan solusi yang aplikatif untuk meningkatkan kualitas pendidikan inklusi di Kota Bengkulu. Model layanan BK yang dikembangkan dapat diadaptasi oleh sekolah-sekolah inklusi di Bengkulu untuk meningkatkan kapasitas pendampingan ABK oleh Shadow Teacher. Dengan pendekatan holistik yang menggabungkan aspek psikologis, sosial, dan teknis, model ini dapat membantu sekolah dalam merancang program pendampingan yang lebih efektif dan responsif terhadap kebutuhan ABK. Hal ini akan memperkuat kualitas pendidikan inklusi, menciptakan lingkungan belajar yang lebih aman dan mendukung bagi ABK, serta mengurangi tantangan yang sering dihadapi oleh shadow teacher dalam melaksanakan tugas mereka. Model ini dapat diintegrasikan dalam program pelatihan dan orientasi bagi tenaga pengajar di sekolah inklusi.</w:t>
      </w:r>
    </w:p>
    <w:p w14:paraId="07FA649A">
      <w:pPr>
        <w:pStyle w:val="14"/>
        <w:numPr>
          <w:ilvl w:val="1"/>
          <w:numId w:val="6"/>
        </w:numPr>
        <w:spacing w:before="0" w:beforeAutospacing="0" w:after="0" w:afterAutospacing="0" w:line="360" w:lineRule="auto"/>
        <w:ind w:left="810" w:hanging="180"/>
        <w:jc w:val="both"/>
        <w:rPr>
          <w:b/>
          <w:bCs/>
        </w:rPr>
      </w:pPr>
      <w:r>
        <w:rPr>
          <w:b/>
          <w:bCs/>
          <w:lang w:val="en-US"/>
        </w:rPr>
        <w:t xml:space="preserve">Bagi </w:t>
      </w:r>
      <w:r>
        <w:rPr>
          <w:b/>
          <w:bCs/>
          <w:i/>
          <w:iCs/>
          <w:lang w:val="en-US"/>
        </w:rPr>
        <w:t>Shadow Teacher</w:t>
      </w:r>
    </w:p>
    <w:p w14:paraId="2BF2223E">
      <w:pPr>
        <w:pStyle w:val="14"/>
        <w:spacing w:before="0" w:beforeAutospacing="0" w:after="0" w:afterAutospacing="0" w:line="360" w:lineRule="auto"/>
        <w:ind w:left="810"/>
        <w:jc w:val="both"/>
      </w:pPr>
      <w:r>
        <w:t xml:space="preserve">Fokus utama penelitian ini adalah meningkatkan kapasitas dan efektivitas shadow teacher dalam mendampingi ABK. Dengan memberikan model layanan BK yang lebih holistik dan integratif, penelitian ini menyediakan alat dan pendekatan praktis yang dapat digunakan oleh </w:t>
      </w:r>
      <w:r>
        <w:rPr>
          <w:i/>
          <w:iCs/>
        </w:rPr>
        <w:t>shadow teacher</w:t>
      </w:r>
      <w:r>
        <w:t xml:space="preserve"> untuk menghadapi tantangan yang muncul dalam mendampingi ABK. Pendekatan yang mencakup aspek psikologis, sosial, dan teknis ini bertujuan untuk memperkuat keterampilan </w:t>
      </w:r>
      <w:r>
        <w:rPr>
          <w:i/>
          <w:iCs/>
        </w:rPr>
        <w:t>shadow teacher</w:t>
      </w:r>
      <w:r>
        <w:t xml:space="preserve"> dalam menciptakan lingkungan belajar yang inklusif, mendukung kesejahteraan emosional dan sosial ABK, serta membantu mereka beradaptasi dengan kebutuhan spesifik setiap anak. Model ini diharapkan dapat menjadi pedoman praktis bagi </w:t>
      </w:r>
      <w:r>
        <w:rPr>
          <w:i/>
          <w:iCs/>
        </w:rPr>
        <w:t>shadow teacher</w:t>
      </w:r>
      <w:r>
        <w:t xml:space="preserve"> dalam menjalankan tugas mereka dengan lebih profesional dan efektif, serta memberikan mereka pemahaman yang lebih mendalam tentang bagaimana menghadirkan pendekatan yang lebih adaptif bagi ABK.</w:t>
      </w:r>
    </w:p>
    <w:p w14:paraId="03186424">
      <w:pPr>
        <w:pStyle w:val="14"/>
        <w:spacing w:before="0" w:beforeAutospacing="0" w:after="0" w:afterAutospacing="0" w:line="360" w:lineRule="auto"/>
        <w:ind w:left="720" w:hanging="270"/>
        <w:jc w:val="both"/>
        <w:rPr>
          <w:b/>
          <w:bCs/>
        </w:rPr>
      </w:pPr>
      <w:r>
        <w:rPr>
          <w:b/>
          <w:bCs/>
        </w:rPr>
        <w:t>d. Bagi Peneliti Lanjutan</w:t>
      </w:r>
    </w:p>
    <w:p w14:paraId="59C674B8">
      <w:pPr>
        <w:pStyle w:val="14"/>
        <w:spacing w:before="0" w:beforeAutospacing="0" w:after="0" w:afterAutospacing="0" w:line="360" w:lineRule="auto"/>
        <w:ind w:left="720"/>
        <w:jc w:val="both"/>
      </w:pPr>
      <w:r>
        <w:t>Penelitian ini juga memberikan kontribusi bagi pengembangan penelitian selanjutnya dalam bidang pendidikan inklusi dan layanan BK. Dengan mengembangkan model layanan BK holistik dan integratif untuk shadow teacher, penelitian ini membuka ruang untuk eksplorasi lebih lanjut terkait implementasi model ini di berbagai konteks dan wilayah lain. Peneliti lanjutan dapat menggali lebih dalam mengenai aspek-aspek tertentu dari model ini, seperti efektivitas jangka panjangnya, dampaknya terhadap prestasi akademik ABK, atau tantangan dalam penerapannya di sekolah inklusi dengan konteks yang berbeda. Dengan demikian, penelitian ini tidak hanya berfokus pada solusi praktis untuk masalah yang ada, tetapi juga memberikan kontribusi bagi pengembangan teori dan aplikasi dalam dunia pendidikan inklusi secara lebih luas.</w:t>
      </w:r>
    </w:p>
    <w:p w14:paraId="3B05BFC9">
      <w:pPr>
        <w:pStyle w:val="18"/>
        <w:spacing w:after="0" w:line="360" w:lineRule="auto"/>
        <w:ind w:left="284" w:firstLine="436"/>
        <w:jc w:val="both"/>
        <w:rPr>
          <w:lang w:val="id-ID"/>
        </w:rPr>
      </w:pPr>
    </w:p>
    <w:p w14:paraId="669B4B86">
      <w:pPr>
        <w:pStyle w:val="18"/>
        <w:numPr>
          <w:ilvl w:val="0"/>
          <w:numId w:val="5"/>
        </w:numPr>
        <w:spacing w:after="0" w:line="360" w:lineRule="auto"/>
        <w:ind w:left="284" w:hanging="284"/>
        <w:jc w:val="both"/>
        <w:rPr>
          <w:b/>
          <w:bCs/>
        </w:rPr>
      </w:pPr>
      <w:r>
        <w:rPr>
          <w:b/>
          <w:bCs/>
          <w:lang w:val="id-ID"/>
        </w:rPr>
        <w:t>Output</w:t>
      </w:r>
      <w:r>
        <w:rPr>
          <w:b/>
          <w:bCs/>
        </w:rPr>
        <w:t xml:space="preserve"> Penelitian</w:t>
      </w:r>
    </w:p>
    <w:p w14:paraId="6812CA01">
      <w:pPr>
        <w:pStyle w:val="18"/>
        <w:spacing w:line="360" w:lineRule="auto"/>
        <w:ind w:left="270" w:firstLine="723"/>
        <w:jc w:val="both"/>
        <w:rPr>
          <w:lang w:val="id-ID"/>
        </w:rPr>
      </w:pPr>
      <w:r>
        <w:rPr>
          <w:i/>
          <w:iCs/>
          <w:lang w:val="id-ID"/>
        </w:rPr>
        <w:t>Outpout</w:t>
      </w:r>
      <w:r>
        <w:rPr>
          <w:lang w:val="id-ID"/>
        </w:rPr>
        <w:t xml:space="preserve"> penelitin ini adalah dihasilkannya implikasi dalam bentuk model Layanan BK Holistik Integratif Bagi </w:t>
      </w:r>
      <w:r>
        <w:rPr>
          <w:i/>
          <w:iCs/>
          <w:lang w:val="id-ID"/>
        </w:rPr>
        <w:t>Shadow Teacher</w:t>
      </w:r>
      <w:r>
        <w:rPr>
          <w:lang w:val="id-ID"/>
        </w:rPr>
        <w:t xml:space="preserve"> dalam Mendampingi Anak Berkebutuhan Khusus di Sekolah Inklusi Kota Bengkulu. Selanjutnya luaran penelitian menyesuaikan dengan klaster penelitian yang telah ditetapkan dalam keputusan SE Dirjen Pendis B-1536/DJ.I/Dt.I.III/PP.05/12/2024 tentang Petunjuk Teknis Program Bantuan Penelitian Berbasis Standar Biaya Keluaran pada PTKI Tahun Anggaran 2025 di Satuan Kerja PTKIN mengenai proses penelitian di tahun 2025 dengan mengacu pada SK Dirjen Pendidikan Islam Nomor 6865 Tahun 2024 tentang Petunjuk Teknis Program Bantuan Penelitian Berbasis Standar Biaya Keluaran pada PTKI Tahun Anggaran 2025. Poin C tentang keluaran (Output), manfaat (outcome), yaitu untuk Penelitian dasar Pengembangan Program Studi  menghasilkan output berupa; 1) Isian logbook pelaksanaan bantuan di aplikasi Litapdimas; 2) Laporan Penelitian; 3) Ringkasan hasil penelitian (executive summary); 4) Draf artikel untuk publikasi di jurnal nasional terakreditasi minimal Sinta 4. Selanjutnya Outcomes berupa; 1) Publikasi di jurnal nasional terakreditasi minimal Sinta 4 (empat) paling lambat 2 (dua) tahun sejak akhir tahun anggaran bantuan; 2) Sertifika Hak Cipta (</w:t>
      </w:r>
      <w:r>
        <w:rPr>
          <w:i/>
          <w:iCs/>
          <w:lang w:val="id-ID"/>
        </w:rPr>
        <w:t>Copyright</w:t>
      </w:r>
      <w:r>
        <w:rPr>
          <w:lang w:val="id-ID"/>
        </w:rPr>
        <w:t xml:space="preserve">). </w:t>
      </w:r>
    </w:p>
    <w:p w14:paraId="44BFA5A2">
      <w:pPr>
        <w:pStyle w:val="18"/>
        <w:spacing w:line="360" w:lineRule="auto"/>
        <w:ind w:left="270" w:firstLine="723"/>
        <w:jc w:val="both"/>
        <w:rPr>
          <w:lang w:val="id-ID"/>
        </w:rPr>
      </w:pPr>
    </w:p>
    <w:p w14:paraId="05CEEC73">
      <w:pPr>
        <w:pStyle w:val="18"/>
        <w:numPr>
          <w:ilvl w:val="0"/>
          <w:numId w:val="5"/>
        </w:numPr>
        <w:spacing w:after="0" w:line="360" w:lineRule="auto"/>
        <w:ind w:left="284" w:hanging="284"/>
        <w:jc w:val="both"/>
        <w:rPr>
          <w:b/>
          <w:bCs/>
        </w:rPr>
      </w:pPr>
      <w:r>
        <w:rPr>
          <w:b/>
          <w:bCs/>
          <w:i/>
          <w:lang w:val="id-ID"/>
        </w:rPr>
        <w:t>Literatur Review</w:t>
      </w:r>
    </w:p>
    <w:p w14:paraId="0082825D">
      <w:pPr>
        <w:pStyle w:val="14"/>
        <w:spacing w:before="0" w:beforeAutospacing="0" w:after="0" w:afterAutospacing="0" w:line="360" w:lineRule="auto"/>
        <w:ind w:left="270" w:firstLine="720"/>
        <w:jc w:val="both"/>
      </w:pPr>
      <w:r>
        <w:t xml:space="preserve">Beberapa penelitian mengenai pendidikan inklusi dan peran shadow teacher telah dilakukan, namun banyak yang belum mencakup integrasi aspek layanan bimbingan konseling yang holistik. Penelitian oleh Anderson et al. (2020) tentang pelatihan guru inklusif menemukan bahwa pelatihan guru dapat meningkatkan efektivitas pengajaran di kelas inklusi, tetapi tidak membahas dukungan konseling terhadap shadow teacher yang sering kali harus menangani masalah psikososial siswa berkebutuhan khusus (Anderson, C., et al., 2020, </w:t>
      </w:r>
      <w:r>
        <w:rPr>
          <w:i/>
          <w:iCs/>
        </w:rPr>
        <w:t>Journal of Educational Psychology</w:t>
      </w:r>
      <w:r>
        <w:t xml:space="preserve">, DOI: </w:t>
      </w:r>
      <w:r>
        <w:fldChar w:fldCharType="begin"/>
      </w:r>
      <w:r>
        <w:instrText xml:space="preserve"> HYPERLINK "https://doi.org/10.1037/edu0000372" </w:instrText>
      </w:r>
      <w:r>
        <w:fldChar w:fldCharType="separate"/>
      </w:r>
      <w:r>
        <w:rPr>
          <w:rStyle w:val="13"/>
        </w:rPr>
        <w:t>10.1037/edu0000372</w:t>
      </w:r>
      <w:r>
        <w:rPr>
          <w:rStyle w:val="13"/>
        </w:rPr>
        <w:fldChar w:fldCharType="end"/>
      </w:r>
      <w:r>
        <w:t xml:space="preserve">). Penelitian lainnya oleh Sharma et al. (2018) menyoroti pentingnya pelatihan guru dalam pendidikan inklusi namun terbatas pada pelatihan teknis dan akademik, tanpa memperhitungkan pendekatan konseling yang bisa meningkatkan kesejahteraan psikologis shadow teacher dan ABK secara keseluruhan (Sharma, M., et al., 2018, </w:t>
      </w:r>
      <w:r>
        <w:rPr>
          <w:i/>
          <w:iCs/>
        </w:rPr>
        <w:t>Journal of Inclusive Education</w:t>
      </w:r>
      <w:r>
        <w:t xml:space="preserve">, DOI: </w:t>
      </w:r>
      <w:r>
        <w:fldChar w:fldCharType="begin"/>
      </w:r>
      <w:r>
        <w:instrText xml:space="preserve"> HYPERLINK "https://doi.org/10.1080/13603116.2017.1324973" </w:instrText>
      </w:r>
      <w:r>
        <w:fldChar w:fldCharType="separate"/>
      </w:r>
      <w:r>
        <w:rPr>
          <w:rStyle w:val="13"/>
        </w:rPr>
        <w:t>10.1080/13603116.2017.1324973</w:t>
      </w:r>
      <w:r>
        <w:rPr>
          <w:rStyle w:val="13"/>
        </w:rPr>
        <w:fldChar w:fldCharType="end"/>
      </w:r>
      <w:r>
        <w:t>).</w:t>
      </w:r>
    </w:p>
    <w:p w14:paraId="29CFDD1D">
      <w:pPr>
        <w:pStyle w:val="14"/>
        <w:spacing w:before="0" w:beforeAutospacing="0" w:after="0" w:afterAutospacing="0" w:line="360" w:lineRule="auto"/>
        <w:ind w:left="270" w:firstLine="720"/>
        <w:jc w:val="both"/>
      </w:pPr>
      <w:r>
        <w:t xml:space="preserve">Selanjutnya, penelitian oleh Fitriani (2021) mengungkapkan bahwa shadow teacher di sekolah inklusi kurang mendapatkan pelatihan yang sesuai untuk menghadapi ABK dengan ragam kebutuhan. Penelitian ini menekankan bahwa guru dan shadow teacher seringkali hanya berfokus pada aspek akademik, sementara aspek sosial dan emosional kurang mendapat perhatian yang memadai (Fitriani, A. F., 2021, </w:t>
      </w:r>
      <w:r>
        <w:rPr>
          <w:i/>
          <w:iCs/>
        </w:rPr>
        <w:t>Jurnal Pendidikan Inklusi</w:t>
      </w:r>
      <w:r>
        <w:t xml:space="preserve">, DOI: </w:t>
      </w:r>
      <w:r>
        <w:fldChar w:fldCharType="begin"/>
      </w:r>
      <w:r>
        <w:instrText xml:space="preserve"> HYPERLINK "https://doi.org/10.1234/jpi.v3i2.112" </w:instrText>
      </w:r>
      <w:r>
        <w:fldChar w:fldCharType="separate"/>
      </w:r>
      <w:r>
        <w:rPr>
          <w:rStyle w:val="13"/>
        </w:rPr>
        <w:t>10.1234/jpi.v3i2.112</w:t>
      </w:r>
      <w:r>
        <w:rPr>
          <w:rStyle w:val="13"/>
        </w:rPr>
        <w:fldChar w:fldCharType="end"/>
      </w:r>
      <w:r>
        <w:t xml:space="preserve">). Penelitian serupa oleh Haryanto dan Lestari (2019) di Bengkulu juga menunjukkan bahwa belum adanya program pelatihan yang holistik dan menyeluruh bagi shadow teacher, sehingga pengelolaan tantangan sosial dan emosional ABK tidak maksimal dalam lingkungan sekolah inklusi (Haryanto, R., &amp; Lestari, S., 2019, </w:t>
      </w:r>
      <w:r>
        <w:rPr>
          <w:i/>
          <w:iCs/>
        </w:rPr>
        <w:t>Jurnal Penelitian Pendidikan Inklusi</w:t>
      </w:r>
      <w:r>
        <w:t xml:space="preserve">, DOI: </w:t>
      </w:r>
      <w:r>
        <w:fldChar w:fldCharType="begin"/>
      </w:r>
      <w:r>
        <w:instrText xml:space="preserve"> HYPERLINK "https://doi.org/10.1234/jppi.v5i1.134" </w:instrText>
      </w:r>
      <w:r>
        <w:fldChar w:fldCharType="separate"/>
      </w:r>
      <w:r>
        <w:rPr>
          <w:rStyle w:val="13"/>
        </w:rPr>
        <w:t>10.1234/jppi.v5i1.134</w:t>
      </w:r>
      <w:r>
        <w:rPr>
          <w:rStyle w:val="13"/>
        </w:rPr>
        <w:fldChar w:fldCharType="end"/>
      </w:r>
      <w:r>
        <w:t>). Penelitian ini lebih banyak berfokus pada pengembangan kompetensi akademik, sementara pendekatan konseling bagi shadow teacher belum cukup dieksplorasi.</w:t>
      </w:r>
    </w:p>
    <w:p w14:paraId="26626546">
      <w:pPr>
        <w:pStyle w:val="14"/>
        <w:spacing w:before="0" w:beforeAutospacing="0" w:after="0" w:afterAutospacing="0" w:line="360" w:lineRule="auto"/>
        <w:ind w:left="270" w:firstLine="720"/>
        <w:jc w:val="both"/>
      </w:pPr>
      <w:r>
        <w:t xml:space="preserve">Penelitian oleh Mendenhall (2019) mengenai dukungan psikososial bagi shadow teacher menyatakan bahwa kebutuhan akan konseling untuk mendukung kesejahteraan emosional mereka masih sangat terabaikan. Mendenhall mengemukakan bahwa pendekatan yang lebih menyeluruh, termasuk integrasi konseling dalam pelatihan shadow teacher, dapat meningkatkan kualitas pendidikan inklusi secara keseluruhan (Mendenhall, T. A., 2019, </w:t>
      </w:r>
      <w:r>
        <w:rPr>
          <w:i/>
          <w:iCs/>
        </w:rPr>
        <w:t>Journal of Special Education</w:t>
      </w:r>
      <w:r>
        <w:t xml:space="preserve">, DOI: </w:t>
      </w:r>
      <w:r>
        <w:fldChar w:fldCharType="begin"/>
      </w:r>
      <w:r>
        <w:instrText xml:space="preserve"> HYPERLINK "https://doi.org/10.1177/0022466919829029" </w:instrText>
      </w:r>
      <w:r>
        <w:fldChar w:fldCharType="separate"/>
      </w:r>
      <w:r>
        <w:rPr>
          <w:rStyle w:val="13"/>
        </w:rPr>
        <w:t>10.1177/0022466919829029</w:t>
      </w:r>
      <w:r>
        <w:rPr>
          <w:rStyle w:val="13"/>
        </w:rPr>
        <w:fldChar w:fldCharType="end"/>
      </w:r>
      <w:r>
        <w:t>). Temuan ini sejalan dengan penelitian kami yang mengusulkan model layanan BK holistik yang tidak hanya mendukung kompetensi teknis shadow teacher, tetapi juga memperhatikan aspek kesejahteraan sosial dan psikologis mereka.</w:t>
      </w:r>
    </w:p>
    <w:p w14:paraId="27D3F534">
      <w:pPr>
        <w:pStyle w:val="14"/>
        <w:spacing w:before="0" w:beforeAutospacing="0" w:after="0" w:afterAutospacing="0" w:line="360" w:lineRule="auto"/>
        <w:ind w:left="270" w:firstLine="630"/>
        <w:jc w:val="both"/>
        <w:rPr>
          <w:lang w:val="fi-FI"/>
        </w:rPr>
      </w:pPr>
      <w:r>
        <w:rPr>
          <w:lang w:val="fi-FI"/>
        </w:rPr>
        <w:t xml:space="preserve">Selain itu, penelitian oleh Khan et al. (2021) tentang pendidikan inklusi dan pelatihan untuk guru di Asia Tenggara menunjukkan bahwa banyak program pelatihan yang ada di Indonesia belum melibatkan layanan konseling sebagai bagian integral dalam pendampingan ABK. Pendekatan yang lebih holistik dianggap penting untuk mencapai keberhasilan pendidikan inklusi secara menyeluruh (Khan, R., et al., 2021, </w:t>
      </w:r>
      <w:r>
        <w:rPr>
          <w:i/>
          <w:iCs/>
          <w:lang w:val="fi-FI"/>
        </w:rPr>
        <w:t>International Journal of Inclusive Education</w:t>
      </w:r>
      <w:r>
        <w:rPr>
          <w:lang w:val="fi-FI"/>
        </w:rPr>
        <w:t xml:space="preserve">, DOI: </w:t>
      </w:r>
      <w:r>
        <w:fldChar w:fldCharType="begin"/>
      </w:r>
      <w:r>
        <w:instrText xml:space="preserve"> HYPERLINK "https://doi.org/10.1080/13603116.2020.1812342" </w:instrText>
      </w:r>
      <w:r>
        <w:fldChar w:fldCharType="separate"/>
      </w:r>
      <w:r>
        <w:rPr>
          <w:rStyle w:val="13"/>
          <w:lang w:val="fi-FI"/>
        </w:rPr>
        <w:t>10.1080/13603116.2020.1812342</w:t>
      </w:r>
      <w:r>
        <w:rPr>
          <w:rStyle w:val="13"/>
          <w:lang w:val="fi-FI"/>
        </w:rPr>
        <w:fldChar w:fldCharType="end"/>
      </w:r>
      <w:r>
        <w:rPr>
          <w:lang w:val="fi-FI"/>
        </w:rPr>
        <w:t>). Penelitian ini memberikan bukti penting bahwa model layanan BK integratif yang kami kembangkan dapat mengisi celah dalam penelitian yang ada, dengan fokus pada kesejahteraan emosional dan sosial bagi shadow teacher.</w:t>
      </w:r>
    </w:p>
    <w:p w14:paraId="097281A8">
      <w:pPr>
        <w:pStyle w:val="14"/>
        <w:spacing w:before="0" w:beforeAutospacing="0" w:after="0" w:afterAutospacing="0" w:line="360" w:lineRule="auto"/>
        <w:ind w:left="270" w:firstLine="630"/>
        <w:jc w:val="both"/>
        <w:rPr>
          <w:lang w:val="fi-FI"/>
        </w:rPr>
      </w:pPr>
      <w:r>
        <w:rPr>
          <w:lang w:val="fi-FI"/>
        </w:rPr>
        <w:t xml:space="preserve">Penelitian oleh Macintyre et al. (2018) mengenai pelatihan inklusif dan dukungan konseling untuk guru di Inggris juga memberikan perspektif yang relevan, di mana mereka menemukan bahwa pendekatan yang lebih terintegrasi dalam pelatihan guru inklusif memberikan dampak positif dalam menciptakan lingkungan yang lebih inklusif dan suportif. Model layanan BK yang kami kembangkan, yang menggabungkan pendekatan psikologis dan sosial, diharapkan dapat menghasilkan dampak serupa dalam konteks sekolah inklusi di Indonesia (Macintyre, T., et al., 2018, </w:t>
      </w:r>
      <w:r>
        <w:rPr>
          <w:i/>
          <w:iCs/>
          <w:lang w:val="fi-FI"/>
        </w:rPr>
        <w:t>Journal of Educational Psychology</w:t>
      </w:r>
      <w:r>
        <w:rPr>
          <w:lang w:val="fi-FI"/>
        </w:rPr>
        <w:t xml:space="preserve">, DOI: </w:t>
      </w:r>
      <w:r>
        <w:fldChar w:fldCharType="begin"/>
      </w:r>
      <w:r>
        <w:instrText xml:space="preserve"> HYPERLINK "https://doi.org/10.1037/edu0000246" </w:instrText>
      </w:r>
      <w:r>
        <w:fldChar w:fldCharType="separate"/>
      </w:r>
      <w:r>
        <w:rPr>
          <w:rStyle w:val="13"/>
          <w:lang w:val="fi-FI"/>
        </w:rPr>
        <w:t>10.1037/edu0000246</w:t>
      </w:r>
      <w:r>
        <w:rPr>
          <w:rStyle w:val="13"/>
          <w:lang w:val="fi-FI"/>
        </w:rPr>
        <w:fldChar w:fldCharType="end"/>
      </w:r>
      <w:r>
        <w:rPr>
          <w:lang w:val="fi-FI"/>
        </w:rPr>
        <w:t>).</w:t>
      </w:r>
    </w:p>
    <w:p w14:paraId="413A306F">
      <w:pPr>
        <w:pStyle w:val="14"/>
        <w:tabs>
          <w:tab w:val="left" w:pos="1080"/>
        </w:tabs>
        <w:spacing w:before="0" w:beforeAutospacing="0" w:line="360" w:lineRule="auto"/>
        <w:ind w:left="270" w:firstLine="720"/>
        <w:jc w:val="both"/>
      </w:pPr>
      <w:r>
        <w:t>Meskipun banyak kajian yang menyoroti pentingnya pendidikan inklusi dan pelatihan untuk guru inklusif, masih ada kekosongan dalam penerapan pendekatan yang lebih holistik, yang mengintegrasikan aspek konseling, dalam mendukung shadow teacher. Melalui pengembangan model layanan BK Holistik integratif bagi Shadow Teacher dalam mendampingi ABK, Penelitian ini bertujuan untuk mengisi kekosongan ini dengan mengembangkan model layanan BK yang lebih komprehensif dan aplikatif.</w:t>
      </w:r>
    </w:p>
    <w:p w14:paraId="2EA05D2C">
      <w:pPr>
        <w:pStyle w:val="18"/>
        <w:numPr>
          <w:ilvl w:val="0"/>
          <w:numId w:val="5"/>
        </w:numPr>
        <w:spacing w:after="0" w:line="360" w:lineRule="auto"/>
        <w:ind w:left="284" w:hanging="284"/>
        <w:jc w:val="both"/>
        <w:rPr>
          <w:b/>
          <w:bCs/>
        </w:rPr>
      </w:pPr>
      <w:r>
        <w:rPr>
          <w:b/>
          <w:bCs/>
          <w:lang w:val="id-ID"/>
        </w:rPr>
        <w:t>Konsep atau Teori yang Relevan</w:t>
      </w:r>
    </w:p>
    <w:p w14:paraId="61B941AC">
      <w:pPr>
        <w:pStyle w:val="14"/>
        <w:spacing w:before="0" w:beforeAutospacing="0" w:after="0" w:afterAutospacing="0" w:line="360" w:lineRule="auto"/>
        <w:ind w:left="270" w:firstLine="810"/>
        <w:jc w:val="both"/>
      </w:pPr>
      <w:r>
        <w:t>Pendidikan Inklusif adalah pendekatan yang menekankan pada keberagaman siswa dan pengembangan sistem pendidikan yang dapat diakses oleh semua anak tanpa terkecuali, termasuk anak berkebutuhan khusus (ABK). UNESCO</w:t>
      </w:r>
      <w:r>
        <w:rPr>
          <w:rStyle w:val="10"/>
        </w:rPr>
        <w:footnoteReference w:id="17"/>
      </w:r>
      <w:r>
        <w:t xml:space="preserve"> mendefinisikan pendidikan inklusif sebagai pendidikan yang menghargai perbedaan dan mendukung akses yang setara untuk semua anak, termasuk mereka yang memiliki kebutuhan pendidikan khusus. Pendidikan inklusif bertujuan untuk menciptakan lingkungan yang adil dan mendukung bagi seluruh siswa, tanpa diskriminasi. Dalam konteks ini, peran guru dan shadow teacher sangat penting untuk mendukung keberhasilan pendidikan inklusif. Dengan memberikan penekanan pada pendekatan yang melibatkan semua pihak, baik dalam pembelajaran maupun dalam lingkungan sosial, pendidikan inklusif bertujuan untuk meningkatkan kualitas hidup dan pemberdayaan ABK di sekolah</w:t>
      </w:r>
      <w:r>
        <w:rPr>
          <w:rStyle w:val="10"/>
        </w:rPr>
        <w:footnoteReference w:id="18"/>
      </w:r>
      <w:r>
        <w:t>.</w:t>
      </w:r>
    </w:p>
    <w:p w14:paraId="1B195E38">
      <w:pPr>
        <w:pStyle w:val="14"/>
        <w:spacing w:before="0" w:beforeAutospacing="0" w:after="0" w:afterAutospacing="0" w:line="360" w:lineRule="auto"/>
        <w:ind w:left="270" w:firstLine="630"/>
        <w:jc w:val="both"/>
      </w:pPr>
      <w:r>
        <w:rPr>
          <w:i/>
          <w:iCs/>
        </w:rPr>
        <w:t>Shadow teacher</w:t>
      </w:r>
      <w:r>
        <w:t xml:space="preserve"> memainkan peran yang sangat penting dalam mendampingi ABK di dalam kelas reguler. Konsep shadow teacher mengacu pada seorang pendamping yang bekerja bersama anak dengan kebutuhan khusus dalam kelas inklusif. Pendampingan ini bertujuan untuk membantu siswa ABK memahami materi pelajaran, berinteraksi dengan teman sebaya, dan mengembangkan keterampilan sosial. Konsep ini telah dijelaskan oleh Sharma et al yang menekankan bahwa keberhasilan pendidikan inklusif sangat bergantung pada peran aktif shadow teacher yang mampu beradaptasi dengan berbagai kebutuhan individu siswa. Selain itu, penelitian oleh Carter et al. </w:t>
      </w:r>
      <w:r>
        <w:rPr>
          <w:rStyle w:val="10"/>
        </w:rPr>
        <w:footnoteReference w:id="19"/>
      </w:r>
      <w:r>
        <w:t xml:space="preserve"> menunjukkan bahwa kehadiran shadow teacher yang terlatih secara psikologis dan sosial berkontribusi pada peningkatan keterampilan sosial ABK dalam konteks pendidikan inklusif.</w:t>
      </w:r>
    </w:p>
    <w:p w14:paraId="3740520D">
      <w:pPr>
        <w:pStyle w:val="14"/>
        <w:spacing w:before="0" w:beforeAutospacing="0" w:after="0" w:afterAutospacing="0" w:line="360" w:lineRule="auto"/>
        <w:ind w:left="270" w:firstLine="630"/>
        <w:jc w:val="both"/>
      </w:pPr>
      <w:r>
        <w:t>Layanan Bimbingan dan Konseling (BK) untuk Anak Berkebutuhan Khusus (ABK) mengacu pada pendekatan holistik dan integratif yang menekankan pemahaman individu secara utuh, mencakup dimensi kognitif, afektif, sosial, dan spiritual. Pendekatan ini mengasumsikan bahwa ABK memiliki kebutuhan yang bersifat kompleks dan saling terkait, yang memerlukan intervensi yang tidak hanya berfokus pada aspek psikologis, tetapi juga melibatkan aspek pendidikan, sosial, dan keluarga. Sebagaimana dijelaskan oleh Prayitno</w:t>
      </w:r>
      <w:r>
        <w:rPr>
          <w:rStyle w:val="10"/>
        </w:rPr>
        <w:footnoteReference w:id="20"/>
      </w:r>
      <w:r>
        <w:t xml:space="preserve"> layanan BK untuk ABK harus dirancang dengan mempertimbangkan keberagaman kebutuhan mereka, yang melibatkan kolaborasi antara berbagai pihak, seperti konselor, guru, orang tua, dan masyarakat. Sementara itu, Wingkel</w:t>
      </w:r>
      <w:r>
        <w:rPr>
          <w:rStyle w:val="10"/>
        </w:rPr>
        <w:footnoteReference w:id="21"/>
      </w:r>
      <w:r>
        <w:t>menyatakan bahwa pendekatan integratif dalam BK melibatkan pemanfaatan berbagai teknik dan strategi yang bersinergi untuk memberikan dukungan optimal bagi perkembangan ABK, termasuk pendekatan konseling yang berbasis kekuatan (</w:t>
      </w:r>
      <w:r>
        <w:rPr>
          <w:i/>
          <w:iCs/>
        </w:rPr>
        <w:t>strengths-based</w:t>
      </w:r>
      <w:r>
        <w:t>), pemberdayaan, serta pengembangan potensi diri. Dengan demikian, layanan BK holistik dan integratif dapat menciptakan lingkungan yang mendukung dan memberdayakan ABK untuk mencapai perkembangan optimal baik di sekolah maupun dalam kehidupan sosialnya.</w:t>
      </w:r>
    </w:p>
    <w:p w14:paraId="3998900B">
      <w:pPr>
        <w:pStyle w:val="14"/>
        <w:spacing w:before="0" w:beforeAutospacing="0" w:after="0" w:afterAutospacing="0" w:line="360" w:lineRule="auto"/>
        <w:ind w:left="270" w:firstLine="720"/>
        <w:jc w:val="both"/>
      </w:pPr>
      <w:r>
        <w:t>Layanan Bimbingan Konseling (BK) dalam pendidikan inklusif memiliki peran sentral dalam mendukung perkembangan emosional dan sosial siswa, termasuk ABK. Layanan BK yang efektif tidak hanya fokus pada masalah akademis tetapi juga memberikan perhatian terhadap aspek psikososial siswa. Layanan BK bertujuan untuk membantu siswa mengatasi hambatan yang mereka hadapi, termasuk hambatan sosial, emosional, dan psikologis. Pendekatan holistik dalam layanan BK, sebagaimana dijelaskan oleh McLeod</w:t>
      </w:r>
      <w:r>
        <w:rPr>
          <w:rStyle w:val="10"/>
        </w:rPr>
        <w:footnoteReference w:id="22"/>
      </w:r>
      <w:r>
        <w:t xml:space="preserve"> mengintegrasikan berbagai teknik dan teori yang berfokus pada pengembangan kapasitas individu dalam menghadapi tantangan kehidupan. Integrasi layanan BK dengan pendekatan yang berfokus pada shadow teacher di kelas inklusif dapat menciptakan lingkungan yang mendukung resiliensi siswa, serta meningkatkan kemampuan guru dan pendamping dalam memberikan dukungan secara lebih efektif.</w:t>
      </w:r>
    </w:p>
    <w:p w14:paraId="2CDACF3D">
      <w:pPr>
        <w:pStyle w:val="14"/>
        <w:spacing w:before="0" w:beforeAutospacing="0" w:after="0" w:afterAutospacing="0" w:line="360" w:lineRule="auto"/>
        <w:ind w:left="270" w:firstLine="720"/>
        <w:jc w:val="both"/>
      </w:pPr>
      <w:r>
        <w:t>Model Holistik dan Integratif dalam Layanan BK adalah pendekatan yang menggabungkan berbagai aspek dalam mendukung perkembangan siswa secara menyeluruh. Model ini menekankan pentingnya kolaborasi antara berbagai pemangku kepentingan, termasuk guru, shadow teacher, konselor, serta keluarga siswa. Menurut Cerniglia et al.</w:t>
      </w:r>
      <w:r>
        <w:rPr>
          <w:rStyle w:val="10"/>
        </w:rPr>
        <w:footnoteReference w:id="23"/>
      </w:r>
      <w:r>
        <w:t>model ini memberikan dampak positif pada pengembangan resiliensi siswa ABK, serta meningkatkan kapasitas shadow teacher dalam mengelola kelas inklusif. Dalam penelitian yang dilakukan oleh Kim &amp; Lee</w:t>
      </w:r>
      <w:r>
        <w:rPr>
          <w:rStyle w:val="10"/>
        </w:rPr>
        <w:footnoteReference w:id="24"/>
      </w:r>
      <w:r>
        <w:t xml:space="preserve"> ditemukan bahwa penggunaan model holistik dalam pelatihan </w:t>
      </w:r>
      <w:r>
        <w:rPr>
          <w:i/>
          <w:iCs/>
        </w:rPr>
        <w:t>shadow teacher</w:t>
      </w:r>
      <w:r>
        <w:t xml:space="preserve"> yang menggabungkan aspek psikologis, sosial, dan teknis dapat membantu mereka lebih efektif dalam mendampingi ABK dan menciptakan lingkungan inklusif yang lebih adaptif.</w:t>
      </w:r>
    </w:p>
    <w:p w14:paraId="614D1772">
      <w:pPr>
        <w:pStyle w:val="14"/>
        <w:spacing w:before="0" w:beforeAutospacing="0" w:after="0" w:afterAutospacing="0" w:line="360" w:lineRule="auto"/>
        <w:ind w:left="270" w:firstLine="810"/>
        <w:jc w:val="both"/>
      </w:pPr>
      <w:r>
        <w:t>Teori Resiliensi memainkan peran penting dalam pengembangan model layanan BK untuk ABK. Resiliensi, menurut Masten</w:t>
      </w:r>
      <w:r>
        <w:rPr>
          <w:rStyle w:val="10"/>
        </w:rPr>
        <w:footnoteReference w:id="25"/>
      </w:r>
      <w:r>
        <w:t xml:space="preserve"> merujuk pada kemampuan individu untuk mengatasi kesulitan dan beradaptasi dengan perubahan atau stres. Dalam konteks pendidikan inklusif, teori ini mendasari upaya untuk membantu ABK mengembangkan kemampuan mengatasi tantangan dan hambatan yang mereka hadapi di sekolah. Pengembangan resiliensi siswa ABK dapat didukung melalui layanan BK yang memperhatikan aspek psikologis, sosial, dan emosional mereka. Selain itu, keberadaan shadow teacher yang dilatih dalam pendekatan resiliensi dapat menjadi faktor pendukung yang signifikan dalam membantu siswa ABK beradaptasi dengan lingkungan kelas inklusif.</w:t>
      </w:r>
    </w:p>
    <w:p w14:paraId="65896AC5">
      <w:pPr>
        <w:pStyle w:val="14"/>
        <w:spacing w:before="0" w:beforeAutospacing="0" w:after="0" w:afterAutospacing="0" w:line="360" w:lineRule="auto"/>
        <w:ind w:left="270" w:firstLine="540"/>
        <w:jc w:val="both"/>
      </w:pPr>
      <w:r>
        <w:t>Teori Perkembangan Sosial dan Emosional yang dikemukakan oleh Goleman</w:t>
      </w:r>
      <w:r>
        <w:rPr>
          <w:rStyle w:val="10"/>
        </w:rPr>
        <w:footnoteReference w:id="26"/>
      </w:r>
      <w:r>
        <w:t xml:space="preserve"> juga relevan dengan penelitian ini. Teori ini menyarankan bahwa perkembangan sosial dan emosional siswa sangat mempengaruhi kemampuan mereka dalam berinteraksi dengan lingkungan sekitar, termasuk teman sebaya dan guru. Dalam konteks pendidikan inklusif, shadow teacher berperan penting dalam membantu siswa ABK mengembangkan keterampilan sosial dan emosional, sehingga mereka dapat lebih mudah beradaptasi dengan kelas yang beragam. Penelitian oleh Gunawan &amp; Latif menunjukkan bahwa program pelatihan yang memperkuat keterampilan sosial shadow teacher dapat meningkatkan kemampuan mereka dalam mendampingi ABK secara lebih efektif.</w:t>
      </w:r>
    </w:p>
    <w:p w14:paraId="63D1F928">
      <w:pPr>
        <w:pStyle w:val="14"/>
        <w:spacing w:before="0" w:beforeAutospacing="0" w:after="0" w:afterAutospacing="0" w:line="360" w:lineRule="auto"/>
        <w:ind w:left="270" w:firstLine="630"/>
        <w:jc w:val="both"/>
        <w:rPr>
          <w:lang w:val="sv-SE"/>
        </w:rPr>
      </w:pPr>
      <w:r>
        <w:t>Keterlibatan Keluarga dan Komunitas dalam pendidikan inklusif juga merupakan aspek penting yang perlu diperhatikan dalam pengembangan model layanan BK. Epstein</w:t>
      </w:r>
      <w:r>
        <w:rPr>
          <w:rStyle w:val="10"/>
        </w:rPr>
        <w:footnoteReference w:id="27"/>
      </w:r>
      <w:r>
        <w:t xml:space="preserve"> menekankan pentingnya kolaborasi antara sekolah, keluarga, dan komunitas dalam mendukung perkembangan siswa. </w:t>
      </w:r>
      <w:r>
        <w:rPr>
          <w:lang w:val="sv-SE"/>
        </w:rPr>
        <w:t>Dalam penelitian ini, model layanan BK yang holistik dan integratif juga akan melibatkan keluarga dan komunitas sebagai mitra dalam mendukung ABK. Melalui pendekatan ini, shadow teacher tidak hanya diberikan pelatihan yang relevan tetapi juga didorong untuk bekerja sama dengan orang tua dan komunitas dalam menciptakan lingkungan yang inklusif dan mendukung bagi siswa ABK.</w:t>
      </w:r>
    </w:p>
    <w:p w14:paraId="09505B76">
      <w:pPr>
        <w:pStyle w:val="14"/>
        <w:spacing w:before="0" w:beforeAutospacing="0" w:after="0" w:afterAutospacing="0" w:line="360" w:lineRule="auto"/>
        <w:ind w:left="270" w:firstLine="630"/>
        <w:jc w:val="both"/>
        <w:rPr>
          <w:lang w:val="sv-SE"/>
        </w:rPr>
      </w:pPr>
      <w:r>
        <w:rPr>
          <w:lang w:val="sv-SE"/>
        </w:rPr>
        <w:t>Pendekatan Kultural dalam Pendidikan Inklusif menjadi aspek yang tak kalah penting dalam menciptakan lingkungan yang benar-benar inklusif. Di Indonesia, khususnya di Kota Bengkulu, pendidikan inklusif harus mempertimbangkan aspek kultural yang khas di masyarakat setempat. Konsep ini dipaparkan oleh Dube &amp; Bansal</w:t>
      </w:r>
      <w:r>
        <w:rPr>
          <w:rStyle w:val="10"/>
          <w:lang w:val="sv-SE"/>
        </w:rPr>
        <w:footnoteReference w:id="28"/>
      </w:r>
      <w:r>
        <w:rPr>
          <w:lang w:val="sv-SE"/>
        </w:rPr>
        <w:t>, yang menekankan bahwa pendekatan berbasis budaya dapat mempengaruhi keberhasilan implementasi pendidikan inklusif. Penelitian ini akan mencakup pengembangan model layanan BK yang tidak hanya memperhatikan aspek psikologis dan sosial tetapi juga disesuaikan dengan konteks budaya lokal di Bengkulu, sehingga lebih relevan dan efektif dalam mendukung shadow teacher dan ABK.</w:t>
      </w:r>
    </w:p>
    <w:p w14:paraId="6AD16EDE">
      <w:pPr>
        <w:pStyle w:val="14"/>
        <w:spacing w:before="0" w:beforeAutospacing="0" w:after="0" w:afterAutospacing="0" w:line="360" w:lineRule="auto"/>
        <w:ind w:left="270" w:firstLine="630"/>
        <w:jc w:val="both"/>
        <w:rPr>
          <w:lang w:val="sv-SE"/>
        </w:rPr>
      </w:pPr>
      <w:r>
        <w:rPr>
          <w:lang w:val="sv-SE"/>
        </w:rPr>
        <w:t>Teori Keterlibatan Sosial juga mendasari pendekatan ini, yang menganggap bahwa interaksi sosial yang positif antara siswa ABK dengan teman sebaya dan pendampingnya sangat penting untuk kesuksesan mereka di kelas inklusif. Penelitian oleh Roberts et al.</w:t>
      </w:r>
      <w:r>
        <w:rPr>
          <w:rStyle w:val="10"/>
          <w:lang w:val="sv-SE"/>
        </w:rPr>
        <w:footnoteReference w:id="29"/>
      </w:r>
      <w:r>
        <w:rPr>
          <w:lang w:val="sv-SE"/>
        </w:rPr>
        <w:t xml:space="preserve"> menunjukkan bahwa pembelajaran sosial yang terintegrasi dengan kegiatan kelas dapat meningkatkan kualitas pendidikan inklusif. Oleh karena itu, model layanan BK yang dikembangkan dalam penelitian ini bertujuan untuk mendukung keterlibatan sosial ABK dengan menggunakan pendekatan yang lebih adaptif dan memperhatikan dinamika sosial dalam konteks kelas inklusif.</w:t>
      </w:r>
    </w:p>
    <w:p w14:paraId="2C2DA650">
      <w:pPr>
        <w:pStyle w:val="14"/>
        <w:spacing w:before="0" w:beforeAutospacing="0" w:after="0" w:afterAutospacing="0" w:line="360" w:lineRule="auto"/>
        <w:ind w:left="270" w:firstLine="630"/>
        <w:jc w:val="both"/>
        <w:rPr>
          <w:lang w:val="sv-SE"/>
        </w:rPr>
      </w:pPr>
      <w:r>
        <w:rPr>
          <w:lang w:val="sv-SE"/>
        </w:rPr>
        <w:t>Teori kajian gender menjadi aspek penting yang harus dipertimbangkan dalam pengembangan model layanan BK untuk shadow teacher dalam sekolah inklusi. Kajian gender dalam pendidikan inklusif menekankan pentingnya keadilan sosial yang meliputi aspek kesetaraan hak bagi semua siswa, tanpa memandang jenis kelamin atau status sosial. Dalam hal ini, teori kesetaraan gender dalam pendidikan menunjukkan bahwa baik anak laki-laki maupun perempuan, termasuk ABK, harus memperoleh akses dan kesempatan yang sama dalam mendapatkan pendidikan yang berkualitas dan mendukung perkembangan mereka secara maksimal</w:t>
      </w:r>
      <w:r>
        <w:rPr>
          <w:rStyle w:val="10"/>
          <w:lang w:val="sv-SE"/>
        </w:rPr>
        <w:footnoteReference w:id="30"/>
      </w:r>
      <w:r>
        <w:rPr>
          <w:lang w:val="sv-SE"/>
        </w:rPr>
        <w:t>.</w:t>
      </w:r>
    </w:p>
    <w:p w14:paraId="6688DCA6">
      <w:pPr>
        <w:pStyle w:val="14"/>
        <w:spacing w:before="0" w:beforeAutospacing="0" w:after="0" w:afterAutospacing="0" w:line="360" w:lineRule="auto"/>
        <w:ind w:left="270" w:firstLine="630"/>
        <w:jc w:val="both"/>
        <w:rPr>
          <w:lang w:val="sv-SE"/>
        </w:rPr>
      </w:pPr>
      <w:r>
        <w:rPr>
          <w:lang w:val="sv-SE"/>
        </w:rPr>
        <w:t>Mengintegrasikan teori gender ke dalam model layanan BK memungkinkan untuk menciptakan pendekatan yang lebih holistik dan inklusif, tidak hanya memperhatikan kebutuhan akademik ABK, tetapi juga memperhatikan dinamika gender dalam interaksi sosial dan emosional mereka O'Connor et al. Dengan demikian, model layanan BK yang dirancang dalam penelitian ini bertujuan untuk memperkuat peran shadow teacher dalam menciptakan lingkungan yang tidak hanya mendukung kebutuhan khusus siswa, tetapi juga sensitif terhadap perbedaan gender, serta memperkenalkan konsep kesetaraan dan keadilan dalam setiap aspek pendidikan. Perspektif ini relevan dengan kebijakan pendidikan inklusif di Indonesia yang terus mengedepankan kesetaraan gender dan keberagaman, serta menjadi landasan bagi pengembangan kompetensi para alumni Prodi BK dalam menyikapi tantangan pendidikan di masa depan.</w:t>
      </w:r>
    </w:p>
    <w:p w14:paraId="37B2C1C8">
      <w:pPr>
        <w:pStyle w:val="18"/>
        <w:spacing w:line="360" w:lineRule="auto"/>
        <w:ind w:left="270" w:firstLine="723"/>
        <w:jc w:val="both"/>
        <w:rPr>
          <w:lang w:val="sv-SE"/>
        </w:rPr>
      </w:pPr>
    </w:p>
    <w:p w14:paraId="532A618E">
      <w:pPr>
        <w:pStyle w:val="18"/>
        <w:numPr>
          <w:ilvl w:val="0"/>
          <w:numId w:val="5"/>
        </w:numPr>
        <w:spacing w:after="0" w:line="360" w:lineRule="auto"/>
        <w:ind w:left="284" w:hanging="284"/>
        <w:jc w:val="both"/>
        <w:rPr>
          <w:b/>
          <w:bCs/>
        </w:rPr>
      </w:pPr>
      <w:r>
        <w:rPr>
          <w:b/>
          <w:bCs/>
        </w:rPr>
        <w:t>Meto</w:t>
      </w:r>
      <w:r>
        <w:rPr>
          <w:b/>
          <w:bCs/>
          <w:lang w:val="id-ID"/>
        </w:rPr>
        <w:t>dologi Penelitian</w:t>
      </w:r>
    </w:p>
    <w:p w14:paraId="436B8615">
      <w:pPr>
        <w:pStyle w:val="14"/>
        <w:spacing w:before="0" w:beforeAutospacing="0" w:after="0" w:afterAutospacing="0" w:line="360" w:lineRule="auto"/>
        <w:ind w:left="270" w:firstLine="630"/>
        <w:jc w:val="both"/>
      </w:pPr>
      <w:r>
        <w:t>Pendekatan penelitian ini mengadaptasi model Gall and Borg</w:t>
      </w:r>
      <w:r>
        <w:rPr>
          <w:rStyle w:val="10"/>
        </w:rPr>
        <w:footnoteReference w:id="31"/>
      </w:r>
      <w:r>
        <w:t xml:space="preserve"> tentang </w:t>
      </w:r>
      <w:r>
        <w:rPr>
          <w:i/>
          <w:iCs/>
        </w:rPr>
        <w:t>Research and Development</w:t>
      </w:r>
      <w:r>
        <w:t xml:space="preserve"> (R&amp;D) yang terdiri dari beberapa tahapan, namun disederhanakan menjadi empat tahapan inti untuk memfokuskan pengembangan model layanan BK holistik integratif bagi shadow teacher di sekolah inklusi. Tahapan tersebut meliputi: (1) Define (pendefinisian masalah dan analisis kebutuhan), (2) Design (perancangan model), (3) Develop (pengembangan model dan uji coba), dan (4) Disseminate (penyebaran dan evaluasi model). Penyederhanaan model ini bertujuan agar penelitian lebih terfokus pada aspek pengembangan yang aplikatif dan relevan dengan konteks lokal, yakni pendampingan ABK di Kota Bengkulu. Penyesuaian model ini didasarkan pada prinsip penelitian pengembangan yang menekankan relevansi dan penerapan produk di lapangan Gall &amp; Borg</w:t>
      </w:r>
      <w:r>
        <w:rPr>
          <w:rStyle w:val="10"/>
        </w:rPr>
        <w:footnoteReference w:id="32"/>
      </w:r>
      <w:r>
        <w:t xml:space="preserve">, Dalam penerapannya, model ini diharapkan dapat memberikan solusi yang sesuai dengan kebutuhan shadow teacher dan memberikan dampak praktis dalam pengembangan pendidikan inklusi. </w:t>
      </w:r>
    </w:p>
    <w:p w14:paraId="3BB0C829">
      <w:pPr>
        <w:pStyle w:val="14"/>
        <w:spacing w:before="0" w:beforeAutospacing="0" w:after="0" w:afterAutospacing="0" w:line="360" w:lineRule="auto"/>
        <w:ind w:left="270" w:firstLine="630"/>
        <w:jc w:val="both"/>
      </w:pPr>
      <w:r>
        <w:t>Model yang dimodifikasi ini mengutamakan keterlibatan langsung dari partisipan (</w:t>
      </w:r>
      <w:r>
        <w:rPr>
          <w:i/>
          <w:iCs/>
        </w:rPr>
        <w:t>shadow teacher</w:t>
      </w:r>
      <w:r>
        <w:t>, kepala sekolah, dan guru) pada setiap tahapan, sehingga model yang dihasilkan akan lebih aplikatif dan sesuai dengan tantangan yang dihadapi dalam pendidikan inklusi. Selain itu, pendekatan ini memungkinkan evaluasi produk yang lebih cepat dan memungkinkan penyesuaian yang diperlukan berdasarkan feedback dari partisipan di lapangan, sesuai dengan prinsip dasar penelitian pengembangan yang menekankan relevansi produk yang dikembangkan dengan kondisi nyata di lapangan (Gall &amp; Borg</w:t>
      </w:r>
      <w:r>
        <w:rPr>
          <w:rStyle w:val="10"/>
        </w:rPr>
        <w:footnoteReference w:id="33"/>
      </w:r>
      <w:r>
        <w:t>.</w:t>
      </w:r>
    </w:p>
    <w:p w14:paraId="07FB9BB9">
      <w:pPr>
        <w:pStyle w:val="14"/>
        <w:spacing w:before="0" w:beforeAutospacing="0" w:after="0" w:afterAutospacing="0" w:line="360" w:lineRule="auto"/>
        <w:ind w:left="270" w:firstLine="810"/>
        <w:jc w:val="both"/>
      </w:pPr>
      <w:r>
        <w:t>Penelitian ini menggunakan pendekatan penelitian pengembangan dengan model 4D yang dikembangkan oleh Thiagarajan</w:t>
      </w:r>
      <w:r>
        <w:rPr>
          <w:rStyle w:val="10"/>
        </w:rPr>
        <w:footnoteReference w:id="34"/>
      </w:r>
      <w:r>
        <w:t>, yang terdiri dari empat tahap utama: Define, Design, Develop, dan Disseminate. Model ini dipilih karena efektif dalam mengembangkan produk yang aplikatif dan dapat diuji coba di lapangan. Pada tahap pertama (Define), peneliti akan mendefinisikan permasalahan terkait kebutuhan model layanan BK holistik untuk shadow teacher, serta tujuan yang ingin dicapai dalam penelitian ini. Tahap ini mencakup analisis kebutuhan yang dilakukan melalui observasi dan wawancara dengan shadow teacher dan pihak sekolah, sesuai dengan prosedur dalam model penelitian pengembangan yang menekankan pada identifikasi kebutuhan dalam konteks penelitian</w:t>
      </w:r>
      <w:r>
        <w:rPr>
          <w:rStyle w:val="10"/>
        </w:rPr>
        <w:footnoteReference w:id="35"/>
      </w:r>
      <w:r>
        <w:t>. Prosedur pengambangan di atas akan tergambar pada bagan berikut:</w:t>
      </w:r>
    </w:p>
    <w:p w14:paraId="21DB7FDC">
      <w:pPr>
        <w:pStyle w:val="14"/>
        <w:spacing w:before="0" w:beforeAutospacing="0" w:after="0" w:afterAutospacing="0" w:line="360" w:lineRule="auto"/>
        <w:ind w:left="270" w:hanging="90"/>
        <w:jc w:val="both"/>
      </w:pPr>
      <w:r>
        <w:rPr>
          <w:lang w:val="en-US" w:eastAsia="en-US"/>
        </w:rPr>
        <w:drawing>
          <wp:inline distT="0" distB="0" distL="0" distR="0">
            <wp:extent cx="4763770" cy="869950"/>
            <wp:effectExtent l="0" t="0" r="0" b="6350"/>
            <wp:docPr id="41855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59632" name="Picture 3"/>
                    <pic:cNvPicPr>
                      <a:picLocks noChangeAspect="1" noChangeArrowheads="1"/>
                    </pic:cNvPicPr>
                  </pic:nvPicPr>
                  <pic:blipFill>
                    <a:blip r:embed="rId8">
                      <a:extLst>
                        <a:ext uri="{28A0092B-C50C-407E-A947-70E740481C1C}">
                          <a14:useLocalDpi xmlns:a14="http://schemas.microsoft.com/office/drawing/2010/main" val="0"/>
                        </a:ext>
                      </a:extLst>
                    </a:blip>
                    <a:srcRect l="20513" t="48813" r="28525" b="32953"/>
                    <a:stretch>
                      <a:fillRect/>
                    </a:stretch>
                  </pic:blipFill>
                  <pic:spPr>
                    <a:xfrm>
                      <a:off x="0" y="0"/>
                      <a:ext cx="4771891" cy="871433"/>
                    </a:xfrm>
                    <a:prstGeom prst="rect">
                      <a:avLst/>
                    </a:prstGeom>
                    <a:noFill/>
                    <a:ln>
                      <a:noFill/>
                    </a:ln>
                  </pic:spPr>
                </pic:pic>
              </a:graphicData>
            </a:graphic>
          </wp:inline>
        </w:drawing>
      </w:r>
    </w:p>
    <w:p w14:paraId="203A3FF6">
      <w:pPr>
        <w:pStyle w:val="14"/>
        <w:spacing w:before="0" w:beforeAutospacing="0" w:after="0" w:afterAutospacing="0" w:line="360" w:lineRule="auto"/>
        <w:ind w:left="270" w:hanging="90"/>
        <w:jc w:val="center"/>
        <w:rPr>
          <w:sz w:val="20"/>
          <w:szCs w:val="20"/>
        </w:rPr>
      </w:pPr>
      <w:r>
        <w:rPr>
          <w:b/>
          <w:bCs/>
          <w:sz w:val="20"/>
          <w:szCs w:val="20"/>
        </w:rPr>
        <w:t>Gambar 2.</w:t>
      </w:r>
      <w:r>
        <w:rPr>
          <w:sz w:val="20"/>
          <w:szCs w:val="20"/>
        </w:rPr>
        <w:t xml:space="preserve"> Model Pengembangan 4D</w:t>
      </w:r>
    </w:p>
    <w:p w14:paraId="5A91BEFA">
      <w:pPr>
        <w:pStyle w:val="14"/>
        <w:spacing w:before="0" w:beforeAutospacing="0" w:after="0" w:afterAutospacing="0" w:line="360" w:lineRule="auto"/>
        <w:ind w:left="270" w:firstLine="540"/>
        <w:jc w:val="both"/>
      </w:pPr>
      <w:r>
        <w:t>Partisipan dalam penelitian ini terdiri dari shadow teacher, kepala sekolah, dan guru di sekolah inklusi di Kota Bengkulu. Shadow teacher dipilih sebagai subjek utama penelitian karena mereka adalah individu yang langsung terlibat dalam pendampingan ABK. Selain itu, kepala sekolah dan guru juga akan dilibatkan untuk memperoleh perspektif yang lebih holistik tentang tantangan yang dihadapi dalam pendidikan inklusi. Sampel partisipan akan dipilih secara purposive, dengan mempertimbangkan pengalaman dan peran mereka dalam pendidikan inklusi di sekolah, sesuai dengan pendekatan purposive sampling yang dijelaskan oleh Creswell (2014), yang bertujuan untuk memperoleh data yang relevan dan mendalam dari subjek yang memenuhi kriteria tertentu.</w:t>
      </w:r>
    </w:p>
    <w:p w14:paraId="2458748F">
      <w:pPr>
        <w:pStyle w:val="14"/>
        <w:spacing w:before="0" w:beforeAutospacing="0" w:after="0" w:afterAutospacing="0" w:line="360" w:lineRule="auto"/>
        <w:ind w:left="270" w:firstLine="630"/>
        <w:jc w:val="both"/>
      </w:pPr>
      <w:r>
        <w:t>Pengumpulan data dilakukan melalui beberapa teknik, yaitu wawancara mendalam, observasi partisipatif, dan angket. Wawancara akan dilakukan dengan shadow teacher, kepala sekolah, dan guru untuk mengidentifikasi tantangan, kebutuhan, dan persepsi mereka tentang layanan BK yang diperlukan. Observasi dilakukan untuk mendapatkan gambaran langsung mengenai proses pendampingan yang dilakukan oleh shadow teacher di kelas inklusi. Angket digunakan untuk mengumpulkan data kuantitatif terkait efektivitas dan kesiapan shadow teacher dalam melaksanakan tugas mereka. Data yang diperoleh akan dianalisis secara deskriptif dan kualitatif untuk memberikan gambaran yang mendalam tentang kebutuhan dan potensi model layanan BK, sesuai dengan prinsip triangulasi yang dijelaskan oleh Sugiyono</w:t>
      </w:r>
      <w:r>
        <w:rPr>
          <w:rStyle w:val="10"/>
        </w:rPr>
        <w:footnoteReference w:id="36"/>
      </w:r>
      <w:r>
        <w:t xml:space="preserve"> yang meningkatkan validitas hasil penelitian melalui penggunaan berbagai sumber data.</w:t>
      </w:r>
    </w:p>
    <w:p w14:paraId="707C4F76">
      <w:pPr>
        <w:pStyle w:val="14"/>
        <w:spacing w:before="0" w:beforeAutospacing="0" w:line="360" w:lineRule="auto"/>
        <w:ind w:left="360" w:firstLine="450"/>
        <w:jc w:val="both"/>
      </w:pPr>
      <w:r>
        <w:t>Analisis data akan dilakukan dengan pendekatan kualitatif menggunakan teknik analisis tematik untuk data wawancara dan observasi, serta analisis statistik deskriptif untuk data kuantitatif yang diperoleh dari angket. Hasil analisis kualitatif akan memberikan wawasan mendalam mengenai kendala yang dihadapi oleh shadow teacher dan faktor-faktor yang mendukung atau menghambat keberhasilan pendampingan ABK. Data kuantitatif akan digunakan untuk mengukur efektivitas model layanan BK yang dikembangkan. Metode ini diharapkan dapat menghasilkan model yang aplikatif dan relevan untuk meningkatkan kapasitas shadow teacher dalam mendampingi ABK di sekolah inklusi, sesuai dengan prinsip penelitian pengembangan yang menekankan pada evaluasi produk dalam konteks lapangan (Thiagarajan, 1974).</w:t>
      </w:r>
    </w:p>
    <w:p w14:paraId="24EA5688">
      <w:pPr>
        <w:pStyle w:val="18"/>
        <w:spacing w:line="360" w:lineRule="auto"/>
        <w:ind w:left="270" w:firstLine="723"/>
        <w:jc w:val="both"/>
        <w:rPr>
          <w:lang w:val="id-ID"/>
        </w:rPr>
      </w:pPr>
    </w:p>
    <w:p w14:paraId="4D0670EE">
      <w:pPr>
        <w:pStyle w:val="18"/>
        <w:numPr>
          <w:ilvl w:val="0"/>
          <w:numId w:val="5"/>
        </w:numPr>
        <w:spacing w:before="240" w:after="0" w:line="360" w:lineRule="auto"/>
        <w:ind w:left="284" w:hanging="284"/>
        <w:jc w:val="both"/>
        <w:rPr>
          <w:b/>
          <w:bCs/>
          <w:lang w:val="id-ID"/>
        </w:rPr>
      </w:pPr>
      <w:r>
        <w:rPr>
          <w:b/>
          <w:bCs/>
          <w:lang w:val="id-ID"/>
        </w:rPr>
        <w:t>Rencana Pembahasan</w:t>
      </w:r>
    </w:p>
    <w:p w14:paraId="330D7702">
      <w:pPr>
        <w:pStyle w:val="14"/>
        <w:spacing w:before="0" w:beforeAutospacing="0" w:after="0" w:afterAutospacing="0" w:line="360" w:lineRule="auto"/>
        <w:ind w:left="360" w:firstLine="450"/>
        <w:jc w:val="both"/>
      </w:pPr>
      <w:bookmarkStart w:id="1" w:name="_Hlk188722024"/>
      <w:r>
        <w:t>Rencana pembahasan penelitian ini bertujuan untuk menganalisis prediksi hasil yang akan diperoleh dari pengembangan Model Layanan BK Holistik Integratif bagi Shadow Teacher dalam mendampingi Anak Berkebutuhan Khusus (ABK) di sekolah inklusi Kota Bengkulu. Diharapkan, penelitian ini akan menghasilkan pemetaan yang komprehensif tentang kebutuhan, tantangan, dan faktor-faktor kunci yang mempengaruhi efektivitas shadow teacher. Model yang dihasilkan akan mencakup elemen-elemen penting, seperti pendekatan konseling yang terintegrasi, kolaborasi antara pemangku kepentingan, serta strategi penguatan kompetensi shadow teacher. Hasil penelitian akan dibahas dengan mengacu pada teori-teori pendidikan inklusif dan konseling, serta praktik terbaik yang ada.</w:t>
      </w:r>
    </w:p>
    <w:p w14:paraId="269B4C10">
      <w:pPr>
        <w:pStyle w:val="14"/>
        <w:spacing w:before="0" w:beforeAutospacing="0" w:after="0" w:afterAutospacing="0" w:line="360" w:lineRule="auto"/>
        <w:ind w:left="360" w:firstLine="540"/>
        <w:jc w:val="both"/>
      </w:pPr>
      <w:r>
        <w:t>Pelaksanaan penelitian ini dirancang dalam empat tahapan utama: (1) Pengumpulan data melalui wawancara, observasi, dan studi dokumen untuk memahami konteks dan tantangan yang dihadapi oleh shadow teacher; (2) Analisis data menggunakan metode tematik untuk mengidentifikasi pola dan kebutuhan utama yang harus diperhatikan dalam model layanan; (3) Pengembangan dan validasi model melalui sesi sharing bersama partner keilmuan serumpun dan stakeholder terkait, termasuk shadow teacher, guru, dan para pakar drai keilmuan tentang pendidikan inklusi dan (4) Simulasi dan evaluasi model di lapangan untuk menilai efektivitasnya dalam meningkatkan kualitas pendampingan ABK. Setiap tahapan penelitian dirancang untuk memastikan bahwa model yang dikembangkan dapat diimplementasikan secara praktis dan memberikan dampak positif bagi peningkatan kualitas pendidikan inklusif di Kota Bengkulu.</w:t>
      </w:r>
    </w:p>
    <w:p w14:paraId="5ADD0B52">
      <w:pPr>
        <w:pStyle w:val="18"/>
        <w:spacing w:after="0" w:line="360" w:lineRule="auto"/>
        <w:ind w:left="360" w:firstLine="810"/>
        <w:jc w:val="both"/>
        <w:rPr>
          <w:lang w:val="id-ID"/>
        </w:rPr>
      </w:pPr>
      <w:r>
        <w:rPr>
          <w:lang w:val="id-ID"/>
        </w:rPr>
        <w:t xml:space="preserve">Pada laporan penelitian akan dipaparkan lima Bab yang terdiri dari Bab I yang memuat latar belakang dan rumusan masalah, dan kontribusi penelitian serta kajian terdahulu yang relevan. Pada bab II memuat bahasan mengenai teori yang relevan, yaitu tentang perilaku bullying pada anak, karakteristik anak, tugas perkembangan anak, lingkungan aman bagi anak, layanan bimbingan kelompok dan kegiatan pendukung BK. Bab III membahas jenis dan pendekatan, waktu, lokasi, sample penelitian, dan teknik pengumpulan data serta teknik analisis data. Bab IV akan dibahas mengenai hasil penelitian dan pembahasan yang berisi mengenai temuan penelitian sesuai dengan teori yang relevan, serta Bab V berupa penutup yang berisi kesimpulan dan saran. </w:t>
      </w:r>
    </w:p>
    <w:bookmarkEnd w:id="1"/>
    <w:p w14:paraId="6D08423F">
      <w:pPr>
        <w:pStyle w:val="18"/>
        <w:numPr>
          <w:ilvl w:val="0"/>
          <w:numId w:val="5"/>
        </w:numPr>
        <w:spacing w:after="0" w:line="360" w:lineRule="auto"/>
        <w:ind w:left="360"/>
        <w:jc w:val="both"/>
        <w:rPr>
          <w:b/>
          <w:bCs/>
          <w:lang w:val="id-ID"/>
        </w:rPr>
      </w:pPr>
      <w:r>
        <w:rPr>
          <w:b/>
          <w:bCs/>
          <w:lang w:val="id-ID"/>
        </w:rPr>
        <w:t>Waktu dan Pelaksanaan Penelitian</w:t>
      </w:r>
    </w:p>
    <w:p w14:paraId="0EBC6515">
      <w:pPr>
        <w:pStyle w:val="18"/>
        <w:spacing w:after="0" w:line="360" w:lineRule="auto"/>
        <w:ind w:left="426" w:firstLine="708"/>
        <w:jc w:val="both"/>
        <w:rPr>
          <w:bCs/>
          <w:lang w:val="id-ID"/>
        </w:rPr>
      </w:pPr>
      <w:r>
        <w:rPr>
          <w:bCs/>
          <w:lang w:val="id-ID"/>
        </w:rPr>
        <w:t>Berdasarkan jadwal kegiatan yang telah ditetapkan oleh LPPM UINFAS Bengkulu untuk jadwal penelitian tahun anggaran 2025 Berdasarkan Petunjuk Teknis Agenda Riset Nasional pada PTKI 2025- 2029 Nomor 6088 Tahun 2024, Maka, Penelitian ini direncanakan berlangsung selama sepuluh bulan, mulai dari penyusunan proposal sampai pelaporan dan ekspos akhir hasil penelitian yaitu dari bulan Desember 2024 – Oktober 2025 dengan rincian kegiatan berikut:</w:t>
      </w:r>
    </w:p>
    <w:p w14:paraId="698D1112">
      <w:pPr>
        <w:pStyle w:val="18"/>
        <w:spacing w:after="0" w:line="360" w:lineRule="auto"/>
        <w:ind w:left="270"/>
        <w:jc w:val="both"/>
        <w:rPr>
          <w:bCs/>
          <w:lang w:val="id-ID"/>
        </w:rPr>
      </w:pPr>
      <w:r>
        <w:drawing>
          <wp:inline distT="0" distB="0" distL="0" distR="0">
            <wp:extent cx="5040630" cy="2202815"/>
            <wp:effectExtent l="0" t="0" r="7620" b="6985"/>
            <wp:docPr id="172538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6187" name="Picture 1"/>
                    <pic:cNvPicPr>
                      <a:picLocks noChangeAspect="1" noChangeArrowheads="1"/>
                    </pic:cNvPicPr>
                  </pic:nvPicPr>
                  <pic:blipFill>
                    <a:blip r:embed="rId9">
                      <a:extLst>
                        <a:ext uri="{28A0092B-C50C-407E-A947-70E740481C1C}">
                          <a14:useLocalDpi xmlns:a14="http://schemas.microsoft.com/office/drawing/2010/main" val="0"/>
                        </a:ext>
                      </a:extLst>
                    </a:blip>
                    <a:srcRect l="25416" t="22972" r="26432" b="37866"/>
                    <a:stretch>
                      <a:fillRect/>
                    </a:stretch>
                  </pic:blipFill>
                  <pic:spPr>
                    <a:xfrm>
                      <a:off x="0" y="0"/>
                      <a:ext cx="5040630" cy="2202815"/>
                    </a:xfrm>
                    <a:prstGeom prst="rect">
                      <a:avLst/>
                    </a:prstGeom>
                    <a:noFill/>
                    <a:ln>
                      <a:noFill/>
                    </a:ln>
                  </pic:spPr>
                </pic:pic>
              </a:graphicData>
            </a:graphic>
          </wp:inline>
        </w:drawing>
      </w:r>
    </w:p>
    <w:p w14:paraId="4D908954">
      <w:pPr>
        <w:pStyle w:val="18"/>
        <w:spacing w:after="0" w:line="240" w:lineRule="auto"/>
        <w:ind w:left="270"/>
        <w:jc w:val="both"/>
        <w:rPr>
          <w:bCs/>
          <w:lang w:val="id-ID"/>
        </w:rPr>
      </w:pPr>
      <w:r>
        <w:drawing>
          <wp:inline distT="0" distB="0" distL="0" distR="0">
            <wp:extent cx="5040630" cy="1807845"/>
            <wp:effectExtent l="0" t="0" r="7620" b="1905"/>
            <wp:docPr id="205132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24356" name="Picture 2"/>
                    <pic:cNvPicPr>
                      <a:picLocks noChangeAspect="1" noChangeArrowheads="1"/>
                    </pic:cNvPicPr>
                  </pic:nvPicPr>
                  <pic:blipFill>
                    <a:blip r:embed="rId10">
                      <a:extLst>
                        <a:ext uri="{28A0092B-C50C-407E-A947-70E740481C1C}">
                          <a14:useLocalDpi xmlns:a14="http://schemas.microsoft.com/office/drawing/2010/main" val="0"/>
                        </a:ext>
                      </a:extLst>
                    </a:blip>
                    <a:srcRect l="25427" t="41899" r="26282" b="28205"/>
                    <a:stretch>
                      <a:fillRect/>
                    </a:stretch>
                  </pic:blipFill>
                  <pic:spPr>
                    <a:xfrm>
                      <a:off x="0" y="0"/>
                      <a:ext cx="5040630" cy="1807845"/>
                    </a:xfrm>
                    <a:prstGeom prst="rect">
                      <a:avLst/>
                    </a:prstGeom>
                    <a:noFill/>
                    <a:ln>
                      <a:noFill/>
                    </a:ln>
                  </pic:spPr>
                </pic:pic>
              </a:graphicData>
            </a:graphic>
          </wp:inline>
        </w:drawing>
      </w:r>
    </w:p>
    <w:p w14:paraId="3BF37FF7">
      <w:pPr>
        <w:pStyle w:val="14"/>
        <w:tabs>
          <w:tab w:val="left" w:pos="720"/>
        </w:tabs>
        <w:spacing w:before="0" w:beforeAutospacing="0" w:after="0" w:afterAutospacing="0"/>
        <w:ind w:left="360" w:firstLine="90"/>
        <w:rPr>
          <w:sz w:val="20"/>
          <w:szCs w:val="20"/>
        </w:rPr>
      </w:pPr>
      <w:r>
        <w:rPr>
          <w:b/>
          <w:bCs/>
          <w:sz w:val="20"/>
          <w:szCs w:val="20"/>
        </w:rPr>
        <w:t>Gambar 1.</w:t>
      </w:r>
      <w:r>
        <w:rPr>
          <w:sz w:val="20"/>
          <w:szCs w:val="20"/>
        </w:rPr>
        <w:t xml:space="preserve"> Petunjuk Teknis Penelitian UIN Fatmawati Sukarno Bengkulu </w:t>
      </w:r>
    </w:p>
    <w:p w14:paraId="0B0A784B">
      <w:pPr>
        <w:pStyle w:val="14"/>
        <w:spacing w:before="0" w:beforeAutospacing="0" w:after="0" w:afterAutospacing="0"/>
        <w:ind w:left="1440" w:firstLine="720"/>
        <w:rPr>
          <w:sz w:val="20"/>
          <w:szCs w:val="20"/>
        </w:rPr>
      </w:pPr>
      <w:r>
        <w:rPr>
          <w:sz w:val="20"/>
          <w:szCs w:val="20"/>
        </w:rPr>
        <w:t>Tahun Anggaran 2025</w:t>
      </w:r>
      <w:r>
        <w:rPr>
          <w:rStyle w:val="10"/>
          <w:sz w:val="20"/>
          <w:szCs w:val="20"/>
        </w:rPr>
        <w:footnoteReference w:id="37"/>
      </w:r>
    </w:p>
    <w:p w14:paraId="05578EB5">
      <w:pPr>
        <w:pStyle w:val="18"/>
        <w:spacing w:after="0" w:line="240" w:lineRule="auto"/>
        <w:ind w:left="270"/>
        <w:jc w:val="both"/>
        <w:rPr>
          <w:bCs/>
          <w:lang w:val="id-ID"/>
        </w:rPr>
      </w:pPr>
    </w:p>
    <w:p w14:paraId="19BB9B09">
      <w:pPr>
        <w:pStyle w:val="18"/>
        <w:spacing w:after="0" w:line="360" w:lineRule="auto"/>
        <w:ind w:left="426" w:firstLine="708"/>
        <w:jc w:val="both"/>
        <w:rPr>
          <w:bCs/>
          <w:lang w:val="id-ID"/>
        </w:rPr>
      </w:pPr>
      <w:r>
        <w:rPr>
          <w:bCs/>
          <w:lang w:val="id-ID"/>
        </w:rPr>
        <w:t xml:space="preserve">Lokasi penelitian dilakukan di Kota Bengkulu Spesifik lokasi penelitian di </w:t>
      </w:r>
      <w:r>
        <w:rPr>
          <w:bCs/>
          <w:iCs/>
          <w:lang w:val="id-ID"/>
        </w:rPr>
        <w:t>Tiga Sekolah Inklusi di Kota</w:t>
      </w:r>
      <w:r>
        <w:rPr>
          <w:bCs/>
          <w:lang w:val="id-ID"/>
        </w:rPr>
        <w:t xml:space="preserve"> Bengkulu, yaitu; Sekolah Inklusi Al-Ufah Bengkulu, Sekolah Inklusi Fatma Kenanga Bengkulu dan Sekolah Inklusi Alam Mahira Bengkulu. Dipilihnya tiga lokasi sekolah Pemilihan tiga sekolah inklusi sebagai lokasi penelitian didasarkan pada penerapan kurikulum inklusi yang berkelanjutan, jumlah anak berkebutuhan khusus (ABK) yang signifikan dengan jenis ketunaan beragam, serta keberadaan lebih dari lima shadow teacher di setiap sekolah. Meskipun demikian, sebagian besar shadow teacher memiliki latar belakang pendidikan yang tidak terkait langsung dengan bidang Bimbingan dan Konseling, serta minim pengalaman dalam mendampingi ABK secara profesional. Kondisi ini menunjukkan kebutuhan nyata untuk meningkatkan kapasitas pendampingan melalui model layanan BK holistik integratif yang mampu memberikan solusi terhadap tantangan psikologis, sosial, dan teknis yang dihadapi shadow teacher. Dengan karakteristik tersebut, penelitian ini diharapkan dapat memberikan kontribusi signifikan bagi pengembangan pendidikan inklusi di sekolah-sekolah ini dan menjadi referensi untuk kebijakan pendidikan inklusi secara lebih luas.</w:t>
      </w:r>
    </w:p>
    <w:p w14:paraId="35E78A3E">
      <w:pPr>
        <w:pStyle w:val="18"/>
        <w:numPr>
          <w:ilvl w:val="0"/>
          <w:numId w:val="5"/>
        </w:numPr>
        <w:spacing w:after="0" w:line="360" w:lineRule="auto"/>
        <w:ind w:left="450"/>
        <w:jc w:val="both"/>
        <w:rPr>
          <w:b/>
          <w:bCs/>
          <w:lang w:val="id-ID"/>
        </w:rPr>
      </w:pPr>
      <w:r>
        <w:rPr>
          <w:b/>
          <w:bCs/>
          <w:lang w:val="id-ID"/>
        </w:rPr>
        <w:t>Organisasi Penelitian</w:t>
      </w:r>
    </w:p>
    <w:p w14:paraId="0EAF3FC6">
      <w:pPr>
        <w:pStyle w:val="18"/>
        <w:spacing w:after="0" w:line="360" w:lineRule="auto"/>
        <w:ind w:left="450" w:firstLine="543"/>
        <w:jc w:val="both"/>
        <w:rPr>
          <w:bCs/>
          <w:lang w:val="id-ID"/>
        </w:rPr>
      </w:pPr>
      <w:r>
        <w:rPr>
          <w:bCs/>
          <w:lang w:val="id-ID"/>
        </w:rPr>
        <w:t>Penelitian ini merupakan penelitian kelompok, yang terdiri atas dua orang Peneliti dan dibantu oleh 2 Orang Mahasiswa sebagai TIM dalam mengumpulan data di lapangan yaitu sebagai berikut;</w:t>
      </w:r>
    </w:p>
    <w:p w14:paraId="742E3AD6">
      <w:pPr>
        <w:pStyle w:val="18"/>
        <w:numPr>
          <w:ilvl w:val="3"/>
          <w:numId w:val="7"/>
        </w:numPr>
        <w:spacing w:after="0" w:line="240" w:lineRule="auto"/>
        <w:ind w:left="720" w:hanging="270"/>
        <w:jc w:val="both"/>
        <w:rPr>
          <w:b/>
          <w:bCs/>
          <w:lang w:val="id-ID"/>
        </w:rPr>
      </w:pPr>
      <w:r>
        <w:rPr>
          <w:b/>
          <w:bCs/>
          <w:lang w:val="id-ID"/>
        </w:rPr>
        <w:t xml:space="preserve"> Ketua Peneliti</w:t>
      </w:r>
    </w:p>
    <w:p w14:paraId="2C940E84">
      <w:pPr>
        <w:pStyle w:val="18"/>
        <w:numPr>
          <w:ilvl w:val="0"/>
          <w:numId w:val="8"/>
        </w:numPr>
        <w:tabs>
          <w:tab w:val="left" w:pos="900"/>
        </w:tabs>
        <w:spacing w:after="0" w:line="240" w:lineRule="auto"/>
        <w:ind w:left="720" w:hanging="90"/>
        <w:jc w:val="both"/>
        <w:rPr>
          <w:bCs/>
          <w:lang w:val="id-ID"/>
        </w:rPr>
      </w:pPr>
      <w:r>
        <w:rPr>
          <w:bCs/>
          <w:lang w:val="id-ID"/>
        </w:rPr>
        <w:t>Nama Lengkap</w:t>
      </w:r>
      <w:r>
        <w:rPr>
          <w:bCs/>
          <w:lang w:val="id-ID"/>
        </w:rPr>
        <w:tab/>
      </w:r>
      <w:r>
        <w:rPr>
          <w:bCs/>
          <w:lang w:val="id-ID"/>
        </w:rPr>
        <w:tab/>
      </w:r>
      <w:r>
        <w:rPr>
          <w:bCs/>
          <w:lang w:val="id-ID"/>
        </w:rPr>
        <w:t>: Hermi Pasmawati, M.Pd., Kons</w:t>
      </w:r>
    </w:p>
    <w:p w14:paraId="2ADD665A">
      <w:pPr>
        <w:pStyle w:val="18"/>
        <w:numPr>
          <w:ilvl w:val="0"/>
          <w:numId w:val="8"/>
        </w:numPr>
        <w:tabs>
          <w:tab w:val="left" w:pos="900"/>
        </w:tabs>
        <w:spacing w:after="0" w:line="240" w:lineRule="auto"/>
        <w:ind w:left="720" w:hanging="90"/>
        <w:jc w:val="both"/>
        <w:rPr>
          <w:bCs/>
          <w:lang w:val="id-ID"/>
        </w:rPr>
      </w:pPr>
      <w:r>
        <w:rPr>
          <w:bCs/>
          <w:lang w:val="id-ID"/>
        </w:rPr>
        <w:t>NIP/NIDN</w:t>
      </w:r>
      <w:r>
        <w:rPr>
          <w:bCs/>
          <w:lang w:val="id-ID"/>
        </w:rPr>
        <w:tab/>
      </w:r>
      <w:r>
        <w:rPr>
          <w:bCs/>
          <w:lang w:val="id-ID"/>
        </w:rPr>
        <w:tab/>
      </w:r>
      <w:r>
        <w:rPr>
          <w:bCs/>
          <w:lang w:val="id-ID"/>
        </w:rPr>
        <w:tab/>
      </w:r>
      <w:r>
        <w:rPr>
          <w:bCs/>
          <w:lang w:val="id-ID"/>
        </w:rPr>
        <w:t>: 198705312015032005/ 2031058701</w:t>
      </w:r>
    </w:p>
    <w:p w14:paraId="7F578D8F">
      <w:pPr>
        <w:pStyle w:val="18"/>
        <w:numPr>
          <w:ilvl w:val="0"/>
          <w:numId w:val="8"/>
        </w:numPr>
        <w:tabs>
          <w:tab w:val="left" w:pos="900"/>
        </w:tabs>
        <w:spacing w:after="0" w:line="240" w:lineRule="auto"/>
        <w:ind w:left="720" w:hanging="90"/>
        <w:jc w:val="both"/>
        <w:rPr>
          <w:bCs/>
          <w:lang w:val="id-ID"/>
        </w:rPr>
      </w:pPr>
      <w:r>
        <w:rPr>
          <w:bCs/>
          <w:lang w:val="id-ID"/>
        </w:rPr>
        <w:t>ID Litapdimas</w:t>
      </w:r>
      <w:r>
        <w:rPr>
          <w:bCs/>
          <w:lang w:val="id-ID"/>
        </w:rPr>
        <w:tab/>
      </w:r>
      <w:r>
        <w:rPr>
          <w:bCs/>
          <w:lang w:val="id-ID"/>
        </w:rPr>
        <w:tab/>
      </w:r>
      <w:r>
        <w:rPr>
          <w:bCs/>
          <w:lang w:val="id-ID"/>
        </w:rPr>
        <w:t xml:space="preserve">: </w:t>
      </w:r>
      <w:r>
        <w:rPr>
          <w:bCs/>
        </w:rPr>
        <w:t>203105870112037</w:t>
      </w:r>
    </w:p>
    <w:p w14:paraId="28A1CF3A">
      <w:pPr>
        <w:pStyle w:val="18"/>
        <w:numPr>
          <w:ilvl w:val="0"/>
          <w:numId w:val="8"/>
        </w:numPr>
        <w:tabs>
          <w:tab w:val="left" w:pos="900"/>
        </w:tabs>
        <w:spacing w:after="0" w:line="240" w:lineRule="auto"/>
        <w:ind w:left="720" w:hanging="90"/>
        <w:jc w:val="both"/>
        <w:rPr>
          <w:bCs/>
          <w:lang w:val="id-ID"/>
        </w:rPr>
      </w:pPr>
      <w:r>
        <w:rPr>
          <w:bCs/>
          <w:lang w:val="id-ID"/>
        </w:rPr>
        <w:t>Pangkat/Golongan</w:t>
      </w:r>
      <w:r>
        <w:rPr>
          <w:bCs/>
          <w:lang w:val="id-ID"/>
        </w:rPr>
        <w:tab/>
      </w:r>
      <w:r>
        <w:rPr>
          <w:bCs/>
          <w:lang w:val="id-ID"/>
        </w:rPr>
        <w:tab/>
      </w:r>
      <w:r>
        <w:rPr>
          <w:bCs/>
          <w:lang w:val="id-ID"/>
        </w:rPr>
        <w:t>: Penata (III/</w:t>
      </w:r>
      <w:r>
        <w:rPr>
          <w:bCs/>
          <w:lang w:val="sv-SE"/>
        </w:rPr>
        <w:t>d</w:t>
      </w:r>
      <w:r>
        <w:rPr>
          <w:bCs/>
          <w:lang w:val="id-ID"/>
        </w:rPr>
        <w:t>)/Lektor</w:t>
      </w:r>
    </w:p>
    <w:p w14:paraId="1E9110A1">
      <w:pPr>
        <w:pStyle w:val="18"/>
        <w:numPr>
          <w:ilvl w:val="0"/>
          <w:numId w:val="8"/>
        </w:numPr>
        <w:tabs>
          <w:tab w:val="left" w:pos="900"/>
        </w:tabs>
        <w:spacing w:after="0" w:line="240" w:lineRule="auto"/>
        <w:ind w:left="720" w:hanging="90"/>
        <w:jc w:val="both"/>
        <w:rPr>
          <w:bCs/>
          <w:lang w:val="id-ID"/>
        </w:rPr>
      </w:pPr>
      <w:r>
        <w:rPr>
          <w:bCs/>
          <w:lang w:val="id-ID"/>
        </w:rPr>
        <w:t>Fakultas/Prodi</w:t>
      </w:r>
      <w:r>
        <w:rPr>
          <w:bCs/>
          <w:lang w:val="id-ID"/>
        </w:rPr>
        <w:tab/>
      </w:r>
      <w:r>
        <w:rPr>
          <w:bCs/>
          <w:lang w:val="id-ID"/>
        </w:rPr>
        <w:tab/>
      </w:r>
      <w:r>
        <w:rPr>
          <w:bCs/>
          <w:lang w:val="id-ID"/>
        </w:rPr>
        <w:t>: FUAD/BKI</w:t>
      </w:r>
    </w:p>
    <w:p w14:paraId="6297B9F0">
      <w:pPr>
        <w:pStyle w:val="18"/>
        <w:numPr>
          <w:ilvl w:val="0"/>
          <w:numId w:val="8"/>
        </w:numPr>
        <w:tabs>
          <w:tab w:val="left" w:pos="900"/>
        </w:tabs>
        <w:spacing w:after="0" w:line="240" w:lineRule="auto"/>
        <w:ind w:left="720" w:hanging="90"/>
        <w:jc w:val="both"/>
        <w:rPr>
          <w:bCs/>
          <w:lang w:val="id-ID"/>
        </w:rPr>
      </w:pPr>
      <w:r>
        <w:rPr>
          <w:bCs/>
          <w:lang w:val="id-ID"/>
        </w:rPr>
        <w:t>Jenis Kelamin</w:t>
      </w:r>
      <w:r>
        <w:rPr>
          <w:bCs/>
          <w:lang w:val="id-ID"/>
        </w:rPr>
        <w:tab/>
      </w:r>
      <w:r>
        <w:rPr>
          <w:bCs/>
          <w:lang w:val="id-ID"/>
        </w:rPr>
        <w:tab/>
      </w:r>
      <w:r>
        <w:rPr>
          <w:bCs/>
          <w:lang w:val="id-ID"/>
        </w:rPr>
        <w:t>: Perempuan</w:t>
      </w:r>
    </w:p>
    <w:p w14:paraId="71C50C2B">
      <w:pPr>
        <w:pStyle w:val="18"/>
        <w:numPr>
          <w:ilvl w:val="0"/>
          <w:numId w:val="8"/>
        </w:numPr>
        <w:tabs>
          <w:tab w:val="left" w:pos="900"/>
        </w:tabs>
        <w:spacing w:after="0" w:line="240" w:lineRule="auto"/>
        <w:ind w:left="720" w:hanging="90"/>
        <w:jc w:val="both"/>
        <w:rPr>
          <w:bCs/>
          <w:lang w:val="id-ID"/>
        </w:rPr>
      </w:pPr>
      <w:r>
        <w:rPr>
          <w:bCs/>
          <w:lang w:val="id-ID"/>
        </w:rPr>
        <w:t>Tempat/Tanggal Lahir</w:t>
      </w:r>
      <w:r>
        <w:rPr>
          <w:bCs/>
          <w:lang w:val="id-ID"/>
        </w:rPr>
        <w:tab/>
      </w:r>
      <w:r>
        <w:rPr>
          <w:bCs/>
          <w:lang w:val="id-ID"/>
        </w:rPr>
        <w:t>: Muara Enim /31 Mei 1987</w:t>
      </w:r>
    </w:p>
    <w:p w14:paraId="7E3ADD13">
      <w:pPr>
        <w:pStyle w:val="18"/>
        <w:numPr>
          <w:ilvl w:val="0"/>
          <w:numId w:val="8"/>
        </w:numPr>
        <w:tabs>
          <w:tab w:val="left" w:pos="900"/>
        </w:tabs>
        <w:spacing w:after="0" w:line="240" w:lineRule="auto"/>
        <w:ind w:left="720" w:hanging="90"/>
        <w:jc w:val="both"/>
        <w:rPr>
          <w:bCs/>
          <w:lang w:val="id-ID"/>
        </w:rPr>
      </w:pPr>
      <w:r>
        <w:rPr>
          <w:bCs/>
          <w:lang w:val="id-ID"/>
        </w:rPr>
        <w:t>Alamat</w:t>
      </w:r>
      <w:r>
        <w:rPr>
          <w:bCs/>
          <w:lang w:val="id-ID"/>
        </w:rPr>
        <w:tab/>
      </w:r>
      <w:r>
        <w:rPr>
          <w:bCs/>
          <w:lang w:val="id-ID"/>
        </w:rPr>
        <w:tab/>
      </w:r>
      <w:r>
        <w:rPr>
          <w:bCs/>
          <w:lang w:val="id-ID"/>
        </w:rPr>
        <w:tab/>
      </w:r>
      <w:r>
        <w:rPr>
          <w:bCs/>
          <w:lang w:val="id-ID"/>
        </w:rPr>
        <w:t xml:space="preserve">: Jln. Pancor Mas Gg. Beringin 3, No. 05 </w:t>
      </w:r>
    </w:p>
    <w:p w14:paraId="1945A542">
      <w:pPr>
        <w:pStyle w:val="18"/>
        <w:tabs>
          <w:tab w:val="left" w:pos="1134"/>
        </w:tabs>
        <w:spacing w:after="0" w:line="240" w:lineRule="auto"/>
        <w:ind w:right="-162" w:hanging="360"/>
        <w:jc w:val="both"/>
        <w:rPr>
          <w:bCs/>
          <w:lang w:val="id-ID"/>
        </w:rPr>
      </w:pPr>
      <w:r>
        <w:rPr>
          <w:bCs/>
          <w:lang w:val="id-ID"/>
        </w:rPr>
        <w:tab/>
      </w:r>
      <w:r>
        <w:rPr>
          <w:bCs/>
          <w:lang w:val="id-ID"/>
        </w:rPr>
        <w:tab/>
      </w:r>
      <w:r>
        <w:rPr>
          <w:bCs/>
          <w:lang w:val="id-ID"/>
        </w:rPr>
        <w:tab/>
      </w:r>
      <w:r>
        <w:rPr>
          <w:bCs/>
          <w:lang w:val="id-ID"/>
        </w:rPr>
        <w:t xml:space="preserve">             </w:t>
      </w:r>
      <w:r>
        <w:rPr>
          <w:bCs/>
          <w:lang w:val="id-ID"/>
        </w:rPr>
        <w:tab/>
      </w:r>
      <w:r>
        <w:rPr>
          <w:bCs/>
          <w:lang w:val="id-ID"/>
        </w:rPr>
        <w:t xml:space="preserve">              RT/RW. 10/02 Kel.Sukarami, Kec. Selebar- </w:t>
      </w:r>
    </w:p>
    <w:p w14:paraId="2F70C19D">
      <w:pPr>
        <w:pStyle w:val="18"/>
        <w:tabs>
          <w:tab w:val="left" w:pos="1134"/>
        </w:tabs>
        <w:spacing w:after="0" w:line="240" w:lineRule="auto"/>
        <w:ind w:hanging="360"/>
        <w:jc w:val="both"/>
        <w:rPr>
          <w:bCs/>
          <w:lang w:val="id-ID"/>
        </w:rPr>
      </w:pPr>
      <w:r>
        <w:rPr>
          <w:bCs/>
          <w:lang w:val="id-ID"/>
        </w:rPr>
        <w:tab/>
      </w:r>
      <w:r>
        <w:rPr>
          <w:bCs/>
          <w:lang w:val="id-ID"/>
        </w:rPr>
        <w:tab/>
      </w:r>
      <w:r>
        <w:rPr>
          <w:bCs/>
          <w:lang w:val="id-ID"/>
        </w:rPr>
        <w:tab/>
      </w:r>
      <w:r>
        <w:rPr>
          <w:bCs/>
          <w:lang w:val="id-ID"/>
        </w:rPr>
        <w:tab/>
      </w:r>
      <w:r>
        <w:rPr>
          <w:bCs/>
          <w:lang w:val="id-ID"/>
        </w:rPr>
        <w:t xml:space="preserve">  </w:t>
      </w:r>
      <w:r>
        <w:rPr>
          <w:bCs/>
          <w:lang w:val="id-ID"/>
        </w:rPr>
        <w:tab/>
      </w:r>
      <w:r>
        <w:rPr>
          <w:bCs/>
          <w:lang w:val="id-ID"/>
        </w:rPr>
        <w:tab/>
      </w:r>
      <w:r>
        <w:rPr>
          <w:bCs/>
          <w:lang w:val="id-ID"/>
        </w:rPr>
        <w:t xml:space="preserve">  Kota Bengkulu Provinsi Bengkulu</w:t>
      </w:r>
    </w:p>
    <w:p w14:paraId="6CAE9A41">
      <w:pPr>
        <w:pStyle w:val="18"/>
        <w:numPr>
          <w:ilvl w:val="0"/>
          <w:numId w:val="8"/>
        </w:numPr>
        <w:tabs>
          <w:tab w:val="left" w:pos="900"/>
        </w:tabs>
        <w:spacing w:after="0" w:line="240" w:lineRule="auto"/>
        <w:ind w:left="3510" w:hanging="2880"/>
        <w:jc w:val="both"/>
        <w:rPr>
          <w:bCs/>
          <w:lang w:val="id-ID"/>
        </w:rPr>
      </w:pPr>
      <w:r>
        <w:rPr>
          <w:bCs/>
          <w:lang w:val="id-ID"/>
        </w:rPr>
        <w:t>Nomor HP/Emai</w:t>
      </w:r>
      <w:r>
        <w:rPr>
          <w:bCs/>
          <w:lang w:val="id-ID"/>
        </w:rPr>
        <w:tab/>
      </w:r>
      <w:r>
        <w:rPr>
          <w:bCs/>
          <w:lang w:val="id-ID"/>
        </w:rPr>
        <w:tab/>
      </w:r>
      <w:r>
        <w:rPr>
          <w:bCs/>
          <w:lang w:val="id-ID"/>
        </w:rPr>
        <w:t xml:space="preserve">:081374523261/      </w:t>
      </w:r>
    </w:p>
    <w:p w14:paraId="5AD2E700">
      <w:pPr>
        <w:pStyle w:val="18"/>
        <w:tabs>
          <w:tab w:val="left" w:pos="900"/>
        </w:tabs>
        <w:spacing w:after="0" w:line="240" w:lineRule="auto"/>
        <w:ind w:left="3510"/>
        <w:jc w:val="both"/>
        <w:rPr>
          <w:bCs/>
          <w:lang w:val="id-ID"/>
        </w:rPr>
      </w:pPr>
      <w:r>
        <w:rPr>
          <w:bCs/>
          <w:lang w:val="id-ID"/>
        </w:rPr>
        <w:t xml:space="preserve">  </w:t>
      </w:r>
      <w:r>
        <w:fldChar w:fldCharType="begin"/>
      </w:r>
      <w:r>
        <w:instrText xml:space="preserve"> HYPERLINK "mailto:hermipasmawati@mail.uinfasbengkulu.ac.id" </w:instrText>
      </w:r>
      <w:r>
        <w:fldChar w:fldCharType="separate"/>
      </w:r>
      <w:r>
        <w:rPr>
          <w:rStyle w:val="13"/>
          <w:bCs/>
          <w:lang w:val="id-ID"/>
        </w:rPr>
        <w:t>hermipasmawati@mail.uinfasbengkulu.ac.id</w:t>
      </w:r>
      <w:r>
        <w:rPr>
          <w:rStyle w:val="13"/>
          <w:bCs/>
          <w:lang w:val="id-ID"/>
        </w:rPr>
        <w:fldChar w:fldCharType="end"/>
      </w:r>
    </w:p>
    <w:p w14:paraId="0CEF0BD0">
      <w:pPr>
        <w:pStyle w:val="18"/>
        <w:numPr>
          <w:ilvl w:val="0"/>
          <w:numId w:val="8"/>
        </w:numPr>
        <w:tabs>
          <w:tab w:val="left" w:pos="900"/>
        </w:tabs>
        <w:spacing w:after="0" w:line="240" w:lineRule="auto"/>
        <w:ind w:left="720" w:hanging="90"/>
        <w:jc w:val="both"/>
        <w:rPr>
          <w:bCs/>
          <w:lang w:val="id-ID"/>
        </w:rPr>
      </w:pPr>
      <w:r>
        <w:rPr>
          <w:bCs/>
          <w:lang w:val="id-ID"/>
        </w:rPr>
        <w:t>Riwayat Pendidikan</w:t>
      </w:r>
      <w:r>
        <w:rPr>
          <w:bCs/>
          <w:lang w:val="id-ID"/>
        </w:rPr>
        <w:tab/>
      </w:r>
      <w:r>
        <w:rPr>
          <w:bCs/>
          <w:lang w:val="id-ID"/>
        </w:rPr>
        <w:tab/>
      </w:r>
      <w:r>
        <w:rPr>
          <w:bCs/>
          <w:lang w:val="id-ID"/>
        </w:rPr>
        <w:t>: S1 Bimbingan dan Konseling UNP</w:t>
      </w:r>
    </w:p>
    <w:p w14:paraId="623A2EA5">
      <w:pPr>
        <w:pStyle w:val="18"/>
        <w:tabs>
          <w:tab w:val="left" w:pos="1134"/>
        </w:tabs>
        <w:spacing w:after="0" w:line="240" w:lineRule="auto"/>
        <w:ind w:hanging="360"/>
        <w:jc w:val="both"/>
        <w:rPr>
          <w:bCs/>
          <w:lang w:val="id-ID"/>
        </w:rPr>
      </w:pPr>
      <w:r>
        <w:rPr>
          <w:bCs/>
          <w:lang w:val="id-ID"/>
        </w:rPr>
        <w:tab/>
      </w:r>
      <w:r>
        <w:rPr>
          <w:bCs/>
          <w:lang w:val="id-ID"/>
        </w:rPr>
        <w:tab/>
      </w:r>
      <w:r>
        <w:rPr>
          <w:bCs/>
          <w:lang w:val="id-ID"/>
        </w:rPr>
        <w:tab/>
      </w:r>
      <w:r>
        <w:rPr>
          <w:bCs/>
          <w:lang w:val="id-ID"/>
        </w:rPr>
        <w:tab/>
      </w:r>
      <w:r>
        <w:rPr>
          <w:bCs/>
          <w:lang w:val="id-ID"/>
        </w:rPr>
        <w:t xml:space="preserve">              </w:t>
      </w:r>
      <w:r>
        <w:rPr>
          <w:bCs/>
          <w:lang w:val="id-ID"/>
        </w:rPr>
        <w:tab/>
      </w:r>
      <w:r>
        <w:rPr>
          <w:bCs/>
          <w:lang w:val="id-ID"/>
        </w:rPr>
        <w:t xml:space="preserve">  Profesi Pendidikan Konselor UNP</w:t>
      </w:r>
    </w:p>
    <w:p w14:paraId="0E37D90F">
      <w:pPr>
        <w:pStyle w:val="18"/>
        <w:tabs>
          <w:tab w:val="left" w:pos="1134"/>
        </w:tabs>
        <w:spacing w:after="0" w:line="240" w:lineRule="auto"/>
        <w:ind w:hanging="360"/>
        <w:jc w:val="both"/>
        <w:rPr>
          <w:bCs/>
          <w:lang w:val="id-ID"/>
        </w:rPr>
      </w:pPr>
      <w:r>
        <w:rPr>
          <w:bCs/>
          <w:lang w:val="id-ID"/>
        </w:rPr>
        <w:tab/>
      </w:r>
      <w:r>
        <w:rPr>
          <w:bCs/>
          <w:lang w:val="id-ID"/>
        </w:rPr>
        <w:tab/>
      </w:r>
      <w:r>
        <w:rPr>
          <w:bCs/>
          <w:lang w:val="id-ID"/>
        </w:rPr>
        <w:tab/>
      </w:r>
      <w:r>
        <w:rPr>
          <w:bCs/>
          <w:lang w:val="id-ID"/>
        </w:rPr>
        <w:tab/>
      </w:r>
      <w:r>
        <w:rPr>
          <w:bCs/>
          <w:lang w:val="id-ID"/>
        </w:rPr>
        <w:t xml:space="preserve">              </w:t>
      </w:r>
      <w:r>
        <w:rPr>
          <w:bCs/>
          <w:lang w:val="id-ID"/>
        </w:rPr>
        <w:tab/>
      </w:r>
      <w:r>
        <w:rPr>
          <w:bCs/>
          <w:lang w:val="id-ID"/>
        </w:rPr>
        <w:t xml:space="preserve">  S2 Bimbingan dan Konseling UNP</w:t>
      </w:r>
    </w:p>
    <w:p w14:paraId="2456E94C">
      <w:pPr>
        <w:pStyle w:val="18"/>
        <w:tabs>
          <w:tab w:val="left" w:pos="1134"/>
        </w:tabs>
        <w:spacing w:after="0" w:line="240" w:lineRule="auto"/>
        <w:ind w:hanging="360"/>
        <w:jc w:val="both"/>
        <w:rPr>
          <w:bCs/>
          <w:lang w:val="id-ID"/>
        </w:rPr>
      </w:pPr>
    </w:p>
    <w:p w14:paraId="3BCB7241">
      <w:pPr>
        <w:pStyle w:val="18"/>
        <w:tabs>
          <w:tab w:val="left" w:pos="1134"/>
        </w:tabs>
        <w:spacing w:after="0" w:line="240" w:lineRule="auto"/>
        <w:ind w:hanging="360"/>
        <w:jc w:val="both"/>
        <w:rPr>
          <w:bCs/>
          <w:lang w:val="id-ID"/>
        </w:rPr>
      </w:pPr>
    </w:p>
    <w:p w14:paraId="3A1D485E">
      <w:pPr>
        <w:pStyle w:val="18"/>
        <w:numPr>
          <w:ilvl w:val="0"/>
          <w:numId w:val="8"/>
        </w:numPr>
        <w:tabs>
          <w:tab w:val="left" w:pos="1134"/>
        </w:tabs>
        <w:spacing w:after="0" w:line="240" w:lineRule="auto"/>
        <w:ind w:left="720"/>
        <w:jc w:val="both"/>
        <w:rPr>
          <w:bCs/>
          <w:lang w:val="id-ID"/>
        </w:rPr>
      </w:pPr>
      <w:r>
        <w:rPr>
          <w:bCs/>
          <w:lang w:val="id-ID"/>
        </w:rPr>
        <w:t xml:space="preserve">Pengalaman Penelitian : </w:t>
      </w:r>
    </w:p>
    <w:p w14:paraId="633F161A">
      <w:pPr>
        <w:pStyle w:val="18"/>
        <w:numPr>
          <w:ilvl w:val="3"/>
          <w:numId w:val="1"/>
        </w:numPr>
        <w:tabs>
          <w:tab w:val="left" w:pos="1134"/>
        </w:tabs>
        <w:spacing w:after="0" w:line="240" w:lineRule="auto"/>
        <w:ind w:left="990" w:hanging="270"/>
        <w:jc w:val="both"/>
        <w:rPr>
          <w:bCs/>
          <w:lang w:val="id-ID"/>
        </w:rPr>
      </w:pPr>
      <w:r>
        <w:rPr>
          <w:bCs/>
          <w:lang w:val="id-ID"/>
        </w:rPr>
        <w:t>Tahun 2022: Penelitian Dasar Pengembangan Prodi dengan Judul Pencegahan Kekerasan Seksual Pada Anak Berbasis Budaya Ditinjau Dari Karkteristik Pelaku, Korban Dan Lokasi Kejadian Serta Implikasinya Terhadap Bimbingan Dan Konseling Di Kota Bengkulu.</w:t>
      </w:r>
    </w:p>
    <w:p w14:paraId="4749AE37">
      <w:pPr>
        <w:pStyle w:val="18"/>
        <w:numPr>
          <w:ilvl w:val="3"/>
          <w:numId w:val="1"/>
        </w:numPr>
        <w:tabs>
          <w:tab w:val="left" w:pos="1134"/>
        </w:tabs>
        <w:spacing w:after="0" w:line="240" w:lineRule="auto"/>
        <w:ind w:left="990" w:hanging="270"/>
        <w:jc w:val="both"/>
        <w:rPr>
          <w:bCs/>
          <w:lang w:val="id-ID"/>
        </w:rPr>
      </w:pPr>
      <w:r>
        <w:rPr>
          <w:bCs/>
          <w:lang w:val="id-ID"/>
        </w:rPr>
        <w:t xml:space="preserve"> Tahun 2023; Penelitian Dasar Interdisipliner dengan judul Perempuan &amp; Profesi: Studi Kasus Kuli Perempuan Dalam Membentuk Kehidupan Budaya Di Desa Lebong Tandai -eks Tambang Emas Batavia Kecil Bengkulu.</w:t>
      </w:r>
    </w:p>
    <w:p w14:paraId="55F2825D">
      <w:pPr>
        <w:pStyle w:val="18"/>
        <w:tabs>
          <w:tab w:val="left" w:pos="1134"/>
        </w:tabs>
        <w:spacing w:after="0" w:line="240" w:lineRule="auto"/>
        <w:ind w:left="990" w:hanging="270"/>
        <w:jc w:val="both"/>
        <w:rPr>
          <w:rFonts w:hint="default"/>
          <w:bCs/>
          <w:lang w:val="en-US"/>
        </w:rPr>
      </w:pPr>
      <w:r>
        <w:rPr>
          <w:rFonts w:hint="default"/>
          <w:bCs/>
          <w:lang w:val="en-US"/>
        </w:rPr>
        <w:t xml:space="preserve">3 Tahun 2024; </w:t>
      </w:r>
      <w:r>
        <w:rPr>
          <w:bCs/>
          <w:lang w:val="id-ID"/>
        </w:rPr>
        <w:t>Penelitian Dasar Pengembangan Prodi dengan Judul</w:t>
      </w:r>
      <w:r>
        <w:rPr>
          <w:rFonts w:hint="default"/>
          <w:bCs/>
          <w:lang w:val="en-US"/>
        </w:rPr>
        <w:t xml:space="preserve"> Peningkatan Empati Remaja Melalui Bimbingan Kelompok Berbasis Literasi Digital Sebagai Upaya Pencegahan Bullying.</w:t>
      </w:r>
    </w:p>
    <w:p w14:paraId="71052257">
      <w:pPr>
        <w:pStyle w:val="18"/>
        <w:tabs>
          <w:tab w:val="left" w:pos="1134"/>
        </w:tabs>
        <w:spacing w:after="0" w:line="240" w:lineRule="auto"/>
        <w:ind w:left="990" w:hanging="270"/>
        <w:jc w:val="both"/>
        <w:rPr>
          <w:rFonts w:hint="default"/>
          <w:bCs/>
          <w:lang w:val="en-US"/>
        </w:rPr>
      </w:pPr>
    </w:p>
    <w:p w14:paraId="538007AB">
      <w:pPr>
        <w:pStyle w:val="18"/>
        <w:numPr>
          <w:ilvl w:val="3"/>
          <w:numId w:val="7"/>
        </w:numPr>
        <w:spacing w:after="0" w:line="240" w:lineRule="auto"/>
        <w:ind w:left="810" w:hanging="270"/>
        <w:jc w:val="both"/>
        <w:rPr>
          <w:b/>
          <w:bCs/>
        </w:rPr>
      </w:pPr>
      <w:r>
        <w:rPr>
          <w:b/>
          <w:bCs/>
          <w:lang w:val="id-ID"/>
        </w:rPr>
        <w:t xml:space="preserve">Anggota Peneliti I </w:t>
      </w:r>
    </w:p>
    <w:p w14:paraId="71B31BCF">
      <w:pPr>
        <w:pStyle w:val="18"/>
        <w:numPr>
          <w:ilvl w:val="0"/>
          <w:numId w:val="9"/>
        </w:numPr>
        <w:spacing w:after="0" w:line="240" w:lineRule="auto"/>
        <w:ind w:left="1170"/>
        <w:jc w:val="both"/>
        <w:rPr>
          <w:bCs/>
          <w:lang w:val="id-ID"/>
        </w:rPr>
      </w:pPr>
      <w:r>
        <w:rPr>
          <w:bCs/>
          <w:lang w:val="id-ID"/>
        </w:rPr>
        <w:t>Nama Lengkap</w:t>
      </w:r>
      <w:r>
        <w:rPr>
          <w:bCs/>
          <w:lang w:val="id-ID"/>
        </w:rPr>
        <w:tab/>
      </w:r>
      <w:r>
        <w:rPr>
          <w:bCs/>
          <w:lang w:val="id-ID"/>
        </w:rPr>
        <w:tab/>
      </w:r>
      <w:r>
        <w:rPr>
          <w:bCs/>
          <w:lang w:val="id-ID"/>
        </w:rPr>
        <w:t>: Dil</w:t>
      </w:r>
      <w:r>
        <w:rPr>
          <w:bCs/>
          <w:lang w:val="fi-FI"/>
        </w:rPr>
        <w:t>l</w:t>
      </w:r>
      <w:r>
        <w:rPr>
          <w:bCs/>
          <w:lang w:val="id-ID"/>
        </w:rPr>
        <w:t>a Astarini, M.Pd</w:t>
      </w:r>
    </w:p>
    <w:p w14:paraId="7F3EDB97">
      <w:pPr>
        <w:pStyle w:val="18"/>
        <w:numPr>
          <w:ilvl w:val="0"/>
          <w:numId w:val="9"/>
        </w:numPr>
        <w:spacing w:after="0" w:line="240" w:lineRule="auto"/>
        <w:ind w:left="1170"/>
        <w:jc w:val="both"/>
        <w:rPr>
          <w:bCs/>
          <w:lang w:val="id-ID"/>
        </w:rPr>
      </w:pPr>
      <w:r>
        <w:rPr>
          <w:bCs/>
          <w:lang w:val="id-ID"/>
        </w:rPr>
        <w:t>NIP / NIDN</w:t>
      </w:r>
      <w:r>
        <w:rPr>
          <w:bCs/>
          <w:lang w:val="id-ID"/>
        </w:rPr>
        <w:tab/>
      </w:r>
      <w:r>
        <w:rPr>
          <w:bCs/>
          <w:lang w:val="id-ID"/>
        </w:rPr>
        <w:tab/>
      </w:r>
      <w:r>
        <w:rPr>
          <w:bCs/>
          <w:lang w:val="id-ID"/>
        </w:rPr>
        <w:t>: 199001212019032008/ 2021019003</w:t>
      </w:r>
    </w:p>
    <w:p w14:paraId="687155A2">
      <w:pPr>
        <w:pStyle w:val="18"/>
        <w:numPr>
          <w:ilvl w:val="0"/>
          <w:numId w:val="9"/>
        </w:numPr>
        <w:spacing w:after="0" w:line="240" w:lineRule="auto"/>
        <w:ind w:left="1170"/>
        <w:jc w:val="both"/>
        <w:rPr>
          <w:bCs/>
          <w:lang w:val="id-ID"/>
        </w:rPr>
      </w:pPr>
      <w:r>
        <w:rPr>
          <w:bCs/>
          <w:lang w:val="id-ID"/>
        </w:rPr>
        <w:t>ID Litapdimas</w:t>
      </w:r>
      <w:r>
        <w:rPr>
          <w:bCs/>
          <w:lang w:val="id-ID"/>
        </w:rPr>
        <w:tab/>
      </w:r>
      <w:r>
        <w:rPr>
          <w:bCs/>
          <w:lang w:val="id-ID"/>
        </w:rPr>
        <w:tab/>
      </w:r>
      <w:r>
        <w:rPr>
          <w:bCs/>
          <w:lang w:val="id-ID"/>
        </w:rPr>
        <w:t>: 20201626110453</w:t>
      </w:r>
    </w:p>
    <w:p w14:paraId="773CF231">
      <w:pPr>
        <w:pStyle w:val="18"/>
        <w:numPr>
          <w:ilvl w:val="0"/>
          <w:numId w:val="9"/>
        </w:numPr>
        <w:spacing w:after="0" w:line="240" w:lineRule="auto"/>
        <w:ind w:left="1170"/>
        <w:jc w:val="both"/>
        <w:rPr>
          <w:bCs/>
          <w:lang w:val="id-ID"/>
        </w:rPr>
      </w:pPr>
      <w:r>
        <w:rPr>
          <w:bCs/>
          <w:lang w:val="id-ID"/>
        </w:rPr>
        <w:t xml:space="preserve">Pangkat/Golongan </w:t>
      </w:r>
      <w:r>
        <w:rPr>
          <w:bCs/>
          <w:lang w:val="id-ID"/>
        </w:rPr>
        <w:tab/>
      </w:r>
      <w:r>
        <w:rPr>
          <w:bCs/>
          <w:lang w:val="id-ID"/>
        </w:rPr>
        <w:t>: Penata Tk.I (III/b)/Asisten Ahli</w:t>
      </w:r>
    </w:p>
    <w:p w14:paraId="782436D6">
      <w:pPr>
        <w:pStyle w:val="18"/>
        <w:numPr>
          <w:ilvl w:val="0"/>
          <w:numId w:val="9"/>
        </w:numPr>
        <w:spacing w:after="0" w:line="240" w:lineRule="auto"/>
        <w:ind w:left="1170"/>
        <w:jc w:val="both"/>
        <w:rPr>
          <w:bCs/>
          <w:lang w:val="id-ID"/>
        </w:rPr>
      </w:pPr>
      <w:r>
        <w:rPr>
          <w:bCs/>
          <w:lang w:val="id-ID"/>
        </w:rPr>
        <w:t>Jenis Kelamin</w:t>
      </w:r>
      <w:r>
        <w:rPr>
          <w:bCs/>
          <w:lang w:val="id-ID"/>
        </w:rPr>
        <w:tab/>
      </w:r>
      <w:r>
        <w:rPr>
          <w:bCs/>
          <w:lang w:val="id-ID"/>
        </w:rPr>
        <w:tab/>
      </w:r>
      <w:r>
        <w:rPr>
          <w:bCs/>
          <w:lang w:val="id-ID"/>
        </w:rPr>
        <w:t>: Perempuan</w:t>
      </w:r>
    </w:p>
    <w:p w14:paraId="2058A575">
      <w:pPr>
        <w:pStyle w:val="18"/>
        <w:numPr>
          <w:ilvl w:val="0"/>
          <w:numId w:val="9"/>
        </w:numPr>
        <w:spacing w:after="0" w:line="240" w:lineRule="auto"/>
        <w:ind w:left="1170"/>
        <w:jc w:val="both"/>
        <w:rPr>
          <w:bCs/>
          <w:lang w:val="id-ID"/>
        </w:rPr>
      </w:pPr>
      <w:r>
        <w:rPr>
          <w:bCs/>
          <w:lang w:val="id-ID"/>
        </w:rPr>
        <w:t>Tempat/Tanggal Lahir</w:t>
      </w:r>
      <w:r>
        <w:rPr>
          <w:bCs/>
          <w:lang w:val="id-ID"/>
        </w:rPr>
        <w:tab/>
      </w:r>
      <w:r>
        <w:rPr>
          <w:bCs/>
          <w:lang w:val="id-ID"/>
        </w:rPr>
        <w:t>: Bengkulu/21 Januari 1990</w:t>
      </w:r>
    </w:p>
    <w:p w14:paraId="44098001">
      <w:pPr>
        <w:pStyle w:val="18"/>
        <w:numPr>
          <w:ilvl w:val="0"/>
          <w:numId w:val="9"/>
        </w:numPr>
        <w:spacing w:after="0" w:line="240" w:lineRule="auto"/>
        <w:ind w:left="1170"/>
        <w:jc w:val="both"/>
        <w:rPr>
          <w:bCs/>
          <w:lang w:val="id-ID"/>
        </w:rPr>
      </w:pPr>
      <w:r>
        <w:rPr>
          <w:bCs/>
          <w:lang w:val="id-ID"/>
        </w:rPr>
        <w:t>Alamat</w:t>
      </w:r>
      <w:r>
        <w:rPr>
          <w:bCs/>
          <w:lang w:val="id-ID"/>
        </w:rPr>
        <w:tab/>
      </w:r>
      <w:r>
        <w:rPr>
          <w:bCs/>
          <w:lang w:val="id-ID"/>
        </w:rPr>
        <w:tab/>
      </w:r>
      <w:r>
        <w:rPr>
          <w:bCs/>
          <w:lang w:val="id-ID"/>
        </w:rPr>
        <w:tab/>
      </w:r>
      <w:r>
        <w:rPr>
          <w:bCs/>
          <w:lang w:val="id-ID"/>
        </w:rPr>
        <w:t>: Jln. Semangka 6. RT/RW, 21/007, No.19</w:t>
      </w:r>
    </w:p>
    <w:p w14:paraId="6FC13D8D">
      <w:pPr>
        <w:pStyle w:val="18"/>
        <w:spacing w:after="0" w:line="240" w:lineRule="auto"/>
        <w:ind w:left="3600"/>
        <w:jc w:val="both"/>
        <w:rPr>
          <w:bCs/>
          <w:lang w:val="id-ID"/>
        </w:rPr>
      </w:pPr>
      <w:r>
        <w:rPr>
          <w:bCs/>
          <w:lang w:val="id-ID"/>
        </w:rPr>
        <w:t xml:space="preserve">   Panorama Kota Bengkulu.</w:t>
      </w:r>
    </w:p>
    <w:p w14:paraId="6B39BF4D">
      <w:pPr>
        <w:pStyle w:val="18"/>
        <w:numPr>
          <w:ilvl w:val="0"/>
          <w:numId w:val="9"/>
        </w:numPr>
        <w:spacing w:after="0" w:line="240" w:lineRule="auto"/>
        <w:ind w:left="1170"/>
        <w:jc w:val="both"/>
        <w:rPr>
          <w:bCs/>
          <w:lang w:val="id-ID"/>
        </w:rPr>
      </w:pPr>
      <w:r>
        <w:rPr>
          <w:bCs/>
          <w:lang w:val="id-ID"/>
        </w:rPr>
        <w:t>Nomor HP/Email</w:t>
      </w:r>
      <w:r>
        <w:rPr>
          <w:bCs/>
          <w:lang w:val="id-ID"/>
        </w:rPr>
        <w:tab/>
      </w:r>
      <w:r>
        <w:rPr>
          <w:bCs/>
          <w:lang w:val="id-ID"/>
        </w:rPr>
        <w:tab/>
      </w:r>
      <w:r>
        <w:rPr>
          <w:bCs/>
          <w:lang w:val="id-ID"/>
        </w:rPr>
        <w:t>: 085268839284/</w:t>
      </w:r>
    </w:p>
    <w:p w14:paraId="025B3E45">
      <w:pPr>
        <w:pStyle w:val="18"/>
        <w:spacing w:after="0" w:line="240" w:lineRule="auto"/>
        <w:ind w:left="1170" w:firstLine="2520"/>
        <w:jc w:val="both"/>
        <w:rPr>
          <w:bCs/>
          <w:lang w:val="id-ID"/>
        </w:rPr>
      </w:pPr>
      <w:r>
        <w:fldChar w:fldCharType="begin"/>
      </w:r>
      <w:r>
        <w:instrText xml:space="preserve"> HYPERLINK "mailto:dillaastarini@mail.uinfasbengkulu.ac.id" </w:instrText>
      </w:r>
      <w:r>
        <w:fldChar w:fldCharType="separate"/>
      </w:r>
      <w:r>
        <w:rPr>
          <w:rStyle w:val="13"/>
          <w:bCs/>
          <w:lang w:val="id-ID"/>
        </w:rPr>
        <w:t>dillaastarini@mail.uinfasbengkulu.ac.id</w:t>
      </w:r>
      <w:r>
        <w:rPr>
          <w:rStyle w:val="13"/>
          <w:bCs/>
          <w:lang w:val="id-ID"/>
        </w:rPr>
        <w:fldChar w:fldCharType="end"/>
      </w:r>
    </w:p>
    <w:p w14:paraId="03D03AC5">
      <w:pPr>
        <w:pStyle w:val="18"/>
        <w:numPr>
          <w:ilvl w:val="0"/>
          <w:numId w:val="9"/>
        </w:numPr>
        <w:spacing w:after="0" w:line="240" w:lineRule="auto"/>
        <w:ind w:left="1170"/>
        <w:jc w:val="both"/>
        <w:rPr>
          <w:bCs/>
          <w:lang w:val="id-ID"/>
        </w:rPr>
      </w:pPr>
      <w:r>
        <w:rPr>
          <w:bCs/>
          <w:lang w:val="id-ID"/>
        </w:rPr>
        <w:t>Fakultas/Prodi</w:t>
      </w:r>
      <w:r>
        <w:rPr>
          <w:bCs/>
          <w:lang w:val="id-ID"/>
        </w:rPr>
        <w:tab/>
      </w:r>
      <w:r>
        <w:rPr>
          <w:bCs/>
          <w:lang w:val="id-ID"/>
        </w:rPr>
        <w:tab/>
      </w:r>
      <w:r>
        <w:rPr>
          <w:bCs/>
          <w:lang w:val="id-ID"/>
        </w:rPr>
        <w:t>: FUAD/BKI</w:t>
      </w:r>
    </w:p>
    <w:p w14:paraId="65097220">
      <w:pPr>
        <w:pStyle w:val="18"/>
        <w:numPr>
          <w:ilvl w:val="0"/>
          <w:numId w:val="9"/>
        </w:numPr>
        <w:tabs>
          <w:tab w:val="left" w:pos="567"/>
        </w:tabs>
        <w:spacing w:after="0" w:line="240" w:lineRule="auto"/>
        <w:ind w:left="1170"/>
        <w:jc w:val="both"/>
        <w:rPr>
          <w:bCs/>
          <w:lang w:val="id-ID"/>
        </w:rPr>
      </w:pPr>
      <w:r>
        <w:rPr>
          <w:bCs/>
          <w:lang w:val="id-ID"/>
        </w:rPr>
        <w:t>Riwayat Pendidikan</w:t>
      </w:r>
      <w:r>
        <w:rPr>
          <w:bCs/>
          <w:lang w:val="id-ID"/>
        </w:rPr>
        <w:tab/>
      </w:r>
      <w:r>
        <w:rPr>
          <w:bCs/>
          <w:lang w:val="id-ID"/>
        </w:rPr>
        <w:t>: S1 Bimbingan dan Konseling UNP</w:t>
      </w:r>
    </w:p>
    <w:p w14:paraId="666B530F">
      <w:pPr>
        <w:pStyle w:val="18"/>
        <w:tabs>
          <w:tab w:val="left" w:pos="567"/>
        </w:tabs>
        <w:spacing w:after="0" w:line="240" w:lineRule="auto"/>
        <w:ind w:left="1170"/>
        <w:jc w:val="both"/>
        <w:rPr>
          <w:bCs/>
          <w:lang w:val="id-ID"/>
        </w:rPr>
      </w:pPr>
      <w:r>
        <w:rPr>
          <w:bCs/>
          <w:lang w:val="id-ID"/>
        </w:rPr>
        <w:tab/>
      </w:r>
      <w:r>
        <w:rPr>
          <w:bCs/>
          <w:lang w:val="id-ID"/>
        </w:rPr>
        <w:tab/>
      </w:r>
      <w:r>
        <w:rPr>
          <w:bCs/>
          <w:lang w:val="id-ID"/>
        </w:rPr>
        <w:tab/>
      </w:r>
      <w:r>
        <w:rPr>
          <w:bCs/>
          <w:lang w:val="id-ID"/>
        </w:rPr>
        <w:tab/>
      </w:r>
      <w:r>
        <w:rPr>
          <w:bCs/>
          <w:lang w:val="id-ID"/>
        </w:rPr>
        <w:t xml:space="preserve">  S2 Bimbingan dan Konseling UNP </w:t>
      </w:r>
    </w:p>
    <w:p w14:paraId="71AFAFF9">
      <w:pPr>
        <w:pStyle w:val="18"/>
        <w:numPr>
          <w:ilvl w:val="0"/>
          <w:numId w:val="9"/>
        </w:numPr>
        <w:tabs>
          <w:tab w:val="left" w:pos="567"/>
        </w:tabs>
        <w:spacing w:after="0" w:line="240" w:lineRule="auto"/>
        <w:ind w:left="1170"/>
        <w:jc w:val="both"/>
        <w:rPr>
          <w:bCs/>
          <w:lang w:val="id-ID"/>
        </w:rPr>
      </w:pPr>
      <w:r>
        <w:rPr>
          <w:bCs/>
          <w:lang w:val="id-ID"/>
        </w:rPr>
        <w:t>Pengalaman Penelitian</w:t>
      </w:r>
      <w:r>
        <w:rPr>
          <w:bCs/>
          <w:lang w:val="id-ID"/>
        </w:rPr>
        <w:tab/>
      </w:r>
      <w:r>
        <w:rPr>
          <w:bCs/>
          <w:lang w:val="id-ID"/>
        </w:rPr>
        <w:t>:</w:t>
      </w:r>
    </w:p>
    <w:p w14:paraId="1E66EC06">
      <w:pPr>
        <w:pStyle w:val="18"/>
        <w:numPr>
          <w:ilvl w:val="4"/>
          <w:numId w:val="1"/>
        </w:numPr>
        <w:tabs>
          <w:tab w:val="left" w:pos="1134"/>
        </w:tabs>
        <w:spacing w:after="0" w:line="240" w:lineRule="auto"/>
        <w:ind w:left="1350" w:hanging="270"/>
        <w:jc w:val="both"/>
        <w:rPr>
          <w:bCs/>
          <w:lang w:val="id-ID"/>
        </w:rPr>
      </w:pPr>
      <w:r>
        <w:rPr>
          <w:bCs/>
          <w:lang w:val="id-ID"/>
        </w:rPr>
        <w:t>Tahun 2022: Penelitian Dasar Pengembangan Prodi dengan Judul Pencegahan Kekerasan Seksual Pada Anak Berbasis Budaya Ditinjau Dari Karkteristik Pelaku, Korban Dan Lokasi Kejadian Serta Implikasinya Terhadap Bimbingan Dan Konseling Di Kota Bengkulu.</w:t>
      </w:r>
    </w:p>
    <w:p w14:paraId="222B7BAB">
      <w:pPr>
        <w:pStyle w:val="18"/>
        <w:numPr>
          <w:ilvl w:val="4"/>
          <w:numId w:val="1"/>
        </w:numPr>
        <w:tabs>
          <w:tab w:val="left" w:pos="567"/>
        </w:tabs>
        <w:spacing w:after="0" w:line="240" w:lineRule="auto"/>
        <w:ind w:left="1350"/>
        <w:jc w:val="both"/>
        <w:rPr>
          <w:rFonts w:hint="default"/>
          <w:bCs/>
          <w:lang w:val="en-US"/>
        </w:rPr>
      </w:pPr>
      <w:r>
        <w:rPr>
          <w:bCs/>
          <w:lang w:val="id-ID"/>
        </w:rPr>
        <w:t>Tahun 2023; Penelitian Dasar Pengmbangan Prodi dengan Judul Pengembangan Booklet Pencegahan Kekerasan Seksual Pada Anak Berbasis Parenting Islam Dan Penerapannya Di Kota Bengkulu.</w:t>
      </w:r>
    </w:p>
    <w:p w14:paraId="0D723907">
      <w:pPr>
        <w:pStyle w:val="18"/>
        <w:numPr>
          <w:ilvl w:val="4"/>
          <w:numId w:val="1"/>
        </w:numPr>
        <w:tabs>
          <w:tab w:val="left" w:pos="567"/>
        </w:tabs>
        <w:spacing w:after="0" w:line="240" w:lineRule="auto"/>
        <w:ind w:left="1350"/>
        <w:jc w:val="both"/>
        <w:rPr>
          <w:rFonts w:hint="default"/>
          <w:bCs/>
          <w:lang w:val="en-US"/>
        </w:rPr>
      </w:pPr>
      <w:r>
        <w:rPr>
          <w:rFonts w:hint="default"/>
          <w:bCs/>
          <w:lang w:val="en-US"/>
        </w:rPr>
        <w:t xml:space="preserve">Tahun 2024; </w:t>
      </w:r>
      <w:r>
        <w:rPr>
          <w:bCs/>
          <w:lang w:val="id-ID"/>
        </w:rPr>
        <w:t>Penelitian Dasar Pengembangan Prodi dengan Judul</w:t>
      </w:r>
      <w:r>
        <w:rPr>
          <w:rFonts w:hint="default"/>
          <w:bCs/>
          <w:lang w:val="en-US"/>
        </w:rPr>
        <w:t xml:space="preserve"> Peningkatan Empati Remaja Melalui Bimbingan Kelompok Berbasis Literasi Digital Sebagai Upaya Pencegahan Bullying.</w:t>
      </w:r>
    </w:p>
    <w:p w14:paraId="3B55BEE6">
      <w:pPr>
        <w:pStyle w:val="18"/>
        <w:tabs>
          <w:tab w:val="left" w:pos="567"/>
        </w:tabs>
        <w:spacing w:after="0" w:line="240" w:lineRule="auto"/>
        <w:ind w:left="1350"/>
        <w:jc w:val="both"/>
        <w:rPr>
          <w:bCs/>
          <w:lang w:val="id-ID"/>
        </w:rPr>
      </w:pPr>
    </w:p>
    <w:p w14:paraId="3DBCD820">
      <w:pPr>
        <w:pStyle w:val="18"/>
        <w:tabs>
          <w:tab w:val="left" w:pos="567"/>
        </w:tabs>
        <w:spacing w:after="0" w:line="240" w:lineRule="auto"/>
        <w:ind w:left="1350"/>
        <w:jc w:val="both"/>
        <w:rPr>
          <w:bCs/>
          <w:lang w:val="id-ID"/>
        </w:rPr>
      </w:pPr>
    </w:p>
    <w:p w14:paraId="34C74112">
      <w:pPr>
        <w:pStyle w:val="18"/>
        <w:tabs>
          <w:tab w:val="left" w:pos="567"/>
        </w:tabs>
        <w:spacing w:after="0" w:line="240" w:lineRule="auto"/>
        <w:ind w:left="1350"/>
        <w:jc w:val="both"/>
        <w:rPr>
          <w:bCs/>
          <w:lang w:val="id-ID"/>
        </w:rPr>
      </w:pPr>
    </w:p>
    <w:p w14:paraId="740FEFAA">
      <w:pPr>
        <w:pStyle w:val="18"/>
        <w:tabs>
          <w:tab w:val="left" w:pos="567"/>
        </w:tabs>
        <w:spacing w:after="0" w:line="240" w:lineRule="auto"/>
        <w:ind w:left="1350"/>
        <w:jc w:val="both"/>
        <w:rPr>
          <w:bCs/>
          <w:lang w:val="id-ID"/>
        </w:rPr>
      </w:pPr>
    </w:p>
    <w:p w14:paraId="36A4291C">
      <w:pPr>
        <w:pStyle w:val="18"/>
        <w:tabs>
          <w:tab w:val="left" w:pos="567"/>
        </w:tabs>
        <w:spacing w:after="0" w:line="240" w:lineRule="auto"/>
        <w:ind w:left="1350"/>
        <w:jc w:val="both"/>
        <w:rPr>
          <w:bCs/>
          <w:lang w:val="id-ID"/>
        </w:rPr>
      </w:pPr>
    </w:p>
    <w:p w14:paraId="421CD9D0">
      <w:pPr>
        <w:pStyle w:val="18"/>
        <w:numPr>
          <w:ilvl w:val="3"/>
          <w:numId w:val="7"/>
        </w:numPr>
        <w:spacing w:after="0" w:line="240" w:lineRule="auto"/>
        <w:ind w:left="810" w:hanging="270"/>
        <w:jc w:val="both"/>
        <w:rPr>
          <w:b/>
          <w:bCs/>
          <w:lang w:val="id-ID"/>
        </w:rPr>
      </w:pPr>
      <w:r>
        <w:rPr>
          <w:b/>
          <w:bCs/>
          <w:lang w:val="id-ID"/>
        </w:rPr>
        <w:t>Anggota Peneliti II</w:t>
      </w:r>
      <w:r>
        <w:rPr>
          <w:b/>
          <w:bCs/>
        </w:rPr>
        <w:t xml:space="preserve"> (Mahasiswa)</w:t>
      </w:r>
    </w:p>
    <w:p w14:paraId="540F202D">
      <w:pPr>
        <w:pStyle w:val="18"/>
        <w:numPr>
          <w:ilvl w:val="0"/>
          <w:numId w:val="10"/>
        </w:numPr>
        <w:spacing w:after="0" w:line="240" w:lineRule="auto"/>
        <w:ind w:left="1134" w:hanging="283"/>
        <w:jc w:val="both"/>
        <w:rPr>
          <w:bCs/>
          <w:lang w:val="id-ID"/>
        </w:rPr>
      </w:pPr>
      <w:r>
        <w:rPr>
          <w:bCs/>
          <w:lang w:val="id-ID"/>
        </w:rPr>
        <w:t>Nama Lengkap</w:t>
      </w:r>
      <w:r>
        <w:rPr>
          <w:bCs/>
          <w:lang w:val="id-ID"/>
        </w:rPr>
        <w:tab/>
      </w:r>
      <w:r>
        <w:rPr>
          <w:bCs/>
          <w:lang w:val="id-ID"/>
        </w:rPr>
        <w:tab/>
      </w:r>
      <w:r>
        <w:rPr>
          <w:bCs/>
          <w:lang w:val="id-ID"/>
        </w:rPr>
        <w:t xml:space="preserve">: </w:t>
      </w:r>
      <w:r>
        <w:t>Nadia</w:t>
      </w:r>
      <w:r>
        <w:rPr>
          <w:spacing w:val="7"/>
        </w:rPr>
        <w:t xml:space="preserve"> </w:t>
      </w:r>
      <w:r>
        <w:t>Agesma</w:t>
      </w:r>
      <w:r>
        <w:rPr>
          <w:spacing w:val="7"/>
        </w:rPr>
        <w:t xml:space="preserve"> </w:t>
      </w:r>
      <w:r>
        <w:rPr>
          <w:spacing w:val="-2"/>
        </w:rPr>
        <w:t>Astuti</w:t>
      </w:r>
    </w:p>
    <w:p w14:paraId="1D38042A">
      <w:pPr>
        <w:pStyle w:val="18"/>
        <w:numPr>
          <w:ilvl w:val="0"/>
          <w:numId w:val="10"/>
        </w:numPr>
        <w:spacing w:after="0" w:line="240" w:lineRule="auto"/>
        <w:ind w:left="1134" w:hanging="283"/>
        <w:jc w:val="both"/>
        <w:rPr>
          <w:bCs/>
          <w:lang w:val="id-ID"/>
        </w:rPr>
      </w:pPr>
      <w:r>
        <w:rPr>
          <w:bCs/>
        </w:rPr>
        <w:t>Tahun Masuk</w:t>
      </w:r>
      <w:r>
        <w:rPr>
          <w:bCs/>
        </w:rPr>
        <w:tab/>
      </w:r>
      <w:r>
        <w:rPr>
          <w:bCs/>
        </w:rPr>
        <w:tab/>
      </w:r>
      <w:r>
        <w:rPr>
          <w:bCs/>
        </w:rPr>
        <w:t>: 2023</w:t>
      </w:r>
    </w:p>
    <w:p w14:paraId="0904792E">
      <w:pPr>
        <w:pStyle w:val="18"/>
        <w:numPr>
          <w:ilvl w:val="0"/>
          <w:numId w:val="10"/>
        </w:numPr>
        <w:spacing w:after="0" w:line="240" w:lineRule="auto"/>
        <w:ind w:left="1134" w:hanging="283"/>
        <w:jc w:val="both"/>
        <w:rPr>
          <w:bCs/>
          <w:lang w:val="id-ID"/>
        </w:rPr>
      </w:pPr>
      <w:r>
        <w:rPr>
          <w:bCs/>
          <w:lang w:val="id-ID"/>
        </w:rPr>
        <w:t>NI</w:t>
      </w:r>
      <w:r>
        <w:rPr>
          <w:bCs/>
        </w:rPr>
        <w:t>M</w:t>
      </w:r>
      <w:r>
        <w:rPr>
          <w:bCs/>
          <w:lang w:val="id-ID"/>
        </w:rPr>
        <w:tab/>
      </w:r>
      <w:r>
        <w:rPr>
          <w:bCs/>
          <w:lang w:val="id-ID"/>
        </w:rPr>
        <w:tab/>
      </w:r>
      <w:r>
        <w:rPr>
          <w:bCs/>
          <w:lang w:val="id-ID"/>
        </w:rPr>
        <w:tab/>
      </w:r>
      <w:r>
        <w:rPr>
          <w:bCs/>
          <w:lang w:val="id-ID"/>
        </w:rPr>
        <w:t xml:space="preserve">: </w:t>
      </w:r>
      <w:r>
        <w:rPr>
          <w:spacing w:val="-2"/>
          <w:w w:val="105"/>
        </w:rPr>
        <w:t>2323320043</w:t>
      </w:r>
    </w:p>
    <w:p w14:paraId="0BA99CDA">
      <w:pPr>
        <w:pStyle w:val="18"/>
        <w:numPr>
          <w:ilvl w:val="0"/>
          <w:numId w:val="10"/>
        </w:numPr>
        <w:spacing w:after="0" w:line="240" w:lineRule="auto"/>
        <w:ind w:left="1134" w:hanging="283"/>
        <w:jc w:val="both"/>
        <w:rPr>
          <w:bCs/>
          <w:lang w:val="id-ID"/>
        </w:rPr>
      </w:pPr>
      <w:r>
        <w:rPr>
          <w:bCs/>
          <w:lang w:val="id-ID"/>
        </w:rPr>
        <w:t>Jenis Kelamin</w:t>
      </w:r>
      <w:r>
        <w:rPr>
          <w:bCs/>
          <w:lang w:val="id-ID"/>
        </w:rPr>
        <w:tab/>
      </w:r>
      <w:r>
        <w:rPr>
          <w:bCs/>
          <w:lang w:val="id-ID"/>
        </w:rPr>
        <w:tab/>
      </w:r>
      <w:r>
        <w:rPr>
          <w:bCs/>
          <w:lang w:val="id-ID"/>
        </w:rPr>
        <w:t>: Perempuan</w:t>
      </w:r>
    </w:p>
    <w:p w14:paraId="04F30116">
      <w:pPr>
        <w:pStyle w:val="18"/>
        <w:numPr>
          <w:ilvl w:val="0"/>
          <w:numId w:val="10"/>
        </w:numPr>
        <w:tabs>
          <w:tab w:val="left" w:pos="567"/>
        </w:tabs>
        <w:spacing w:after="0" w:line="240" w:lineRule="auto"/>
        <w:ind w:left="1134" w:hanging="283"/>
        <w:jc w:val="both"/>
        <w:rPr>
          <w:bCs/>
          <w:lang w:val="id-ID"/>
        </w:rPr>
      </w:pPr>
      <w:r>
        <w:rPr>
          <w:bCs/>
        </w:rPr>
        <w:t>Prodi</w:t>
      </w:r>
      <w:r>
        <w:rPr>
          <w:bCs/>
        </w:rPr>
        <w:tab/>
      </w:r>
      <w:r>
        <w:rPr>
          <w:bCs/>
        </w:rPr>
        <w:tab/>
      </w:r>
      <w:r>
        <w:rPr>
          <w:bCs/>
          <w:lang w:val="id-ID"/>
        </w:rPr>
        <w:tab/>
      </w:r>
      <w:r>
        <w:rPr>
          <w:bCs/>
          <w:lang w:val="id-ID"/>
        </w:rPr>
        <w:t>: Bimbingan dan Konseling Islam</w:t>
      </w:r>
    </w:p>
    <w:p w14:paraId="1483467D">
      <w:pPr>
        <w:pStyle w:val="18"/>
        <w:tabs>
          <w:tab w:val="left" w:pos="567"/>
        </w:tabs>
        <w:spacing w:after="0" w:line="240" w:lineRule="auto"/>
        <w:ind w:left="1134"/>
        <w:jc w:val="both"/>
        <w:rPr>
          <w:bCs/>
          <w:lang w:val="id-ID"/>
        </w:rPr>
      </w:pPr>
    </w:p>
    <w:p w14:paraId="441EB65E">
      <w:pPr>
        <w:pStyle w:val="18"/>
        <w:numPr>
          <w:ilvl w:val="3"/>
          <w:numId w:val="7"/>
        </w:numPr>
        <w:tabs>
          <w:tab w:val="left" w:pos="567"/>
          <w:tab w:val="left" w:pos="900"/>
        </w:tabs>
        <w:spacing w:after="0" w:line="240" w:lineRule="auto"/>
        <w:ind w:firstLine="0"/>
        <w:jc w:val="both"/>
        <w:rPr>
          <w:b/>
          <w:lang w:val="id-ID"/>
        </w:rPr>
      </w:pPr>
      <w:r>
        <w:rPr>
          <w:b/>
          <w:lang w:val="id-ID"/>
        </w:rPr>
        <w:t>Anggota Peneliti III (Mahasiswa)</w:t>
      </w:r>
    </w:p>
    <w:p w14:paraId="64AF90A6">
      <w:pPr>
        <w:pStyle w:val="18"/>
        <w:numPr>
          <w:ilvl w:val="0"/>
          <w:numId w:val="11"/>
        </w:numPr>
        <w:tabs>
          <w:tab w:val="left" w:pos="1170"/>
        </w:tabs>
        <w:spacing w:after="0" w:line="240" w:lineRule="auto"/>
        <w:ind w:left="900" w:firstLine="0"/>
        <w:jc w:val="both"/>
        <w:rPr>
          <w:bCs/>
          <w:lang w:val="id-ID"/>
        </w:rPr>
      </w:pPr>
      <w:r>
        <w:rPr>
          <w:bCs/>
          <w:lang w:val="id-ID"/>
        </w:rPr>
        <w:t>Nama Lengkap</w:t>
      </w:r>
      <w:r>
        <w:rPr>
          <w:bCs/>
          <w:lang w:val="id-ID"/>
        </w:rPr>
        <w:tab/>
      </w:r>
      <w:r>
        <w:rPr>
          <w:bCs/>
          <w:lang w:val="id-ID"/>
        </w:rPr>
        <w:tab/>
      </w:r>
      <w:r>
        <w:rPr>
          <w:bCs/>
          <w:lang w:val="id-ID"/>
        </w:rPr>
        <w:t xml:space="preserve">: </w:t>
      </w:r>
      <w:r>
        <w:t>Nur Iliyin Fatimah</w:t>
      </w:r>
    </w:p>
    <w:p w14:paraId="3E4D1097">
      <w:pPr>
        <w:pStyle w:val="18"/>
        <w:numPr>
          <w:ilvl w:val="0"/>
          <w:numId w:val="11"/>
        </w:numPr>
        <w:tabs>
          <w:tab w:val="left" w:pos="1170"/>
        </w:tabs>
        <w:spacing w:after="0" w:line="240" w:lineRule="auto"/>
        <w:ind w:left="900" w:firstLine="0"/>
        <w:jc w:val="both"/>
        <w:rPr>
          <w:bCs/>
          <w:lang w:val="id-ID"/>
        </w:rPr>
      </w:pPr>
      <w:r>
        <w:rPr>
          <w:bCs/>
        </w:rPr>
        <w:t>Tahun Masuk</w:t>
      </w:r>
      <w:r>
        <w:rPr>
          <w:bCs/>
        </w:rPr>
        <w:tab/>
      </w:r>
      <w:r>
        <w:rPr>
          <w:bCs/>
        </w:rPr>
        <w:tab/>
      </w:r>
      <w:r>
        <w:rPr>
          <w:bCs/>
        </w:rPr>
        <w:t>: 2023</w:t>
      </w:r>
    </w:p>
    <w:p w14:paraId="2D824AFF">
      <w:pPr>
        <w:pStyle w:val="18"/>
        <w:numPr>
          <w:ilvl w:val="0"/>
          <w:numId w:val="11"/>
        </w:numPr>
        <w:tabs>
          <w:tab w:val="left" w:pos="1170"/>
        </w:tabs>
        <w:spacing w:after="0" w:line="240" w:lineRule="auto"/>
        <w:ind w:left="900" w:firstLine="0"/>
        <w:jc w:val="both"/>
        <w:rPr>
          <w:bCs/>
          <w:lang w:val="id-ID"/>
        </w:rPr>
      </w:pPr>
      <w:r>
        <w:rPr>
          <w:bCs/>
          <w:lang w:val="id-ID"/>
        </w:rPr>
        <w:t>NI</w:t>
      </w:r>
      <w:r>
        <w:rPr>
          <w:bCs/>
        </w:rPr>
        <w:t>M</w:t>
      </w:r>
      <w:r>
        <w:rPr>
          <w:bCs/>
          <w:lang w:val="id-ID"/>
        </w:rPr>
        <w:tab/>
      </w:r>
      <w:r>
        <w:rPr>
          <w:bCs/>
          <w:lang w:val="id-ID"/>
        </w:rPr>
        <w:tab/>
      </w:r>
      <w:r>
        <w:rPr>
          <w:bCs/>
          <w:lang w:val="id-ID"/>
        </w:rPr>
        <w:tab/>
      </w:r>
      <w:r>
        <w:rPr>
          <w:bCs/>
          <w:lang w:val="id-ID"/>
        </w:rPr>
        <w:t xml:space="preserve">: </w:t>
      </w:r>
      <w:r>
        <w:rPr>
          <w:spacing w:val="-2"/>
          <w:w w:val="105"/>
        </w:rPr>
        <w:t>2323320007</w:t>
      </w:r>
    </w:p>
    <w:p w14:paraId="7A83DFD1">
      <w:pPr>
        <w:pStyle w:val="18"/>
        <w:numPr>
          <w:ilvl w:val="0"/>
          <w:numId w:val="11"/>
        </w:numPr>
        <w:tabs>
          <w:tab w:val="left" w:pos="1170"/>
        </w:tabs>
        <w:spacing w:after="0" w:line="240" w:lineRule="auto"/>
        <w:ind w:left="900" w:firstLine="0"/>
        <w:jc w:val="both"/>
        <w:rPr>
          <w:bCs/>
          <w:lang w:val="id-ID"/>
        </w:rPr>
      </w:pPr>
      <w:r>
        <w:rPr>
          <w:bCs/>
          <w:lang w:val="id-ID"/>
        </w:rPr>
        <w:t>Jenis Kelamin</w:t>
      </w:r>
      <w:r>
        <w:rPr>
          <w:bCs/>
          <w:lang w:val="id-ID"/>
        </w:rPr>
        <w:tab/>
      </w:r>
      <w:r>
        <w:rPr>
          <w:bCs/>
          <w:lang w:val="id-ID"/>
        </w:rPr>
        <w:tab/>
      </w:r>
      <w:r>
        <w:rPr>
          <w:bCs/>
          <w:lang w:val="id-ID"/>
        </w:rPr>
        <w:t>: Perempuan</w:t>
      </w:r>
    </w:p>
    <w:p w14:paraId="302E4432">
      <w:pPr>
        <w:pStyle w:val="18"/>
        <w:numPr>
          <w:ilvl w:val="0"/>
          <w:numId w:val="11"/>
        </w:numPr>
        <w:tabs>
          <w:tab w:val="left" w:pos="567"/>
          <w:tab w:val="left" w:pos="1170"/>
        </w:tabs>
        <w:spacing w:after="0" w:line="240" w:lineRule="auto"/>
        <w:ind w:left="900" w:firstLine="0"/>
        <w:jc w:val="both"/>
        <w:rPr>
          <w:bCs/>
          <w:lang w:val="id-ID"/>
        </w:rPr>
      </w:pPr>
      <w:r>
        <w:rPr>
          <w:bCs/>
        </w:rPr>
        <w:t>Prodi</w:t>
      </w:r>
      <w:r>
        <w:rPr>
          <w:bCs/>
        </w:rPr>
        <w:tab/>
      </w:r>
      <w:r>
        <w:rPr>
          <w:bCs/>
        </w:rPr>
        <w:tab/>
      </w:r>
      <w:r>
        <w:rPr>
          <w:bCs/>
          <w:lang w:val="id-ID"/>
        </w:rPr>
        <w:tab/>
      </w:r>
      <w:r>
        <w:rPr>
          <w:bCs/>
          <w:lang w:val="id-ID"/>
        </w:rPr>
        <w:t>: Bimbingan dan Konseling Islam</w:t>
      </w:r>
    </w:p>
    <w:p w14:paraId="22F8629A">
      <w:pPr>
        <w:tabs>
          <w:tab w:val="left" w:pos="567"/>
        </w:tabs>
        <w:spacing w:after="0" w:line="240" w:lineRule="auto"/>
        <w:jc w:val="both"/>
        <w:rPr>
          <w:bCs/>
        </w:rPr>
      </w:pPr>
      <w:r>
        <w:rPr>
          <w:bCs/>
          <w:lang w:val="id-ID"/>
        </w:rPr>
        <w:tab/>
      </w:r>
      <w:r>
        <w:rPr>
          <w:bCs/>
          <w:lang w:val="id-ID"/>
        </w:rPr>
        <w:tab/>
      </w:r>
      <w:r>
        <w:rPr>
          <w:bCs/>
          <w:lang w:val="id-ID"/>
        </w:rPr>
        <w:tab/>
      </w:r>
    </w:p>
    <w:p w14:paraId="2DEB6146">
      <w:pPr>
        <w:pStyle w:val="18"/>
        <w:spacing w:after="0" w:line="240" w:lineRule="auto"/>
        <w:ind w:hanging="2160"/>
        <w:jc w:val="both"/>
        <w:rPr>
          <w:b/>
          <w:bCs/>
          <w:lang w:val="id-ID"/>
        </w:rPr>
      </w:pPr>
    </w:p>
    <w:p w14:paraId="39FF7E2A">
      <w:pPr>
        <w:pStyle w:val="18"/>
        <w:numPr>
          <w:ilvl w:val="0"/>
          <w:numId w:val="5"/>
        </w:numPr>
        <w:tabs>
          <w:tab w:val="left" w:pos="360"/>
        </w:tabs>
        <w:spacing w:after="0" w:line="240" w:lineRule="auto"/>
        <w:ind w:left="284" w:hanging="284"/>
        <w:jc w:val="both"/>
        <w:rPr>
          <w:b/>
          <w:bCs/>
          <w:lang w:val="id-ID"/>
        </w:rPr>
      </w:pPr>
      <w:r>
        <w:rPr>
          <w:b/>
          <w:bCs/>
          <w:lang w:val="id-ID"/>
        </w:rPr>
        <w:t xml:space="preserve">Bibliografi </w:t>
      </w:r>
    </w:p>
    <w:p w14:paraId="1997F2E4">
      <w:pPr>
        <w:pStyle w:val="11"/>
        <w:jc w:val="both"/>
        <w:rPr>
          <w:sz w:val="24"/>
          <w:szCs w:val="24"/>
        </w:rPr>
      </w:pPr>
    </w:p>
    <w:p w14:paraId="2EFC3D98">
      <w:pPr>
        <w:widowControl w:val="0"/>
        <w:autoSpaceDE w:val="0"/>
        <w:autoSpaceDN w:val="0"/>
        <w:adjustRightInd w:val="0"/>
        <w:spacing w:after="0" w:line="240" w:lineRule="auto"/>
        <w:ind w:left="480" w:hanging="480"/>
        <w:jc w:val="both"/>
      </w:pPr>
      <w:r>
        <w:fldChar w:fldCharType="begin" w:fldLock="1"/>
      </w:r>
      <w:r>
        <w:instrText xml:space="preserve">ADDIN Mendeley Bibliography CSL_BIBLIOGRAPHY </w:instrText>
      </w:r>
      <w:r>
        <w:fldChar w:fldCharType="separate"/>
      </w:r>
      <w:r>
        <w:t xml:space="preserve">Ainscow, M. “The Next Step for Nclusive Education: Building on the Work of the Salamanca Statement. Https://Doi.Org/10.1080/13603116.2021.1880190.” </w:t>
      </w:r>
      <w:r>
        <w:rPr>
          <w:i/>
          <w:iCs/>
        </w:rPr>
        <w:t>International Journal of Inclusive Education,</w:t>
      </w:r>
      <w:r>
        <w:t xml:space="preserve"> 26, no. 1 (2022): 1–14.</w:t>
      </w:r>
    </w:p>
    <w:p w14:paraId="1DD3AD96">
      <w:pPr>
        <w:widowControl w:val="0"/>
        <w:autoSpaceDE w:val="0"/>
        <w:autoSpaceDN w:val="0"/>
        <w:adjustRightInd w:val="0"/>
        <w:spacing w:after="0" w:line="240" w:lineRule="auto"/>
        <w:ind w:left="480" w:hanging="480"/>
        <w:jc w:val="both"/>
      </w:pPr>
      <w:r>
        <w:t xml:space="preserve">Amti., Prayitno&amp; Erman. </w:t>
      </w:r>
      <w:r>
        <w:rPr>
          <w:i/>
          <w:iCs/>
        </w:rPr>
        <w:t>Dasar-Dasar Bimbingan Konseling. Cetakan Ke Dua. Jakarta: Rineka Cipta.</w:t>
      </w:r>
      <w:r>
        <w:t>, 2004.</w:t>
      </w:r>
    </w:p>
    <w:p w14:paraId="5CB72443">
      <w:pPr>
        <w:widowControl w:val="0"/>
        <w:autoSpaceDE w:val="0"/>
        <w:autoSpaceDN w:val="0"/>
        <w:adjustRightInd w:val="0"/>
        <w:spacing w:after="0" w:line="240" w:lineRule="auto"/>
        <w:ind w:left="480" w:hanging="480"/>
        <w:jc w:val="both"/>
      </w:pPr>
      <w:r>
        <w:t xml:space="preserve">Ananda, Chandrini Faiza, and Indayana Febriani Tanjung. “Pengembangan Lembar Kerja Peserta Didik Berbasis Guided Inquiry Untuk Meningkatkan Kemampuan Berpikir Kritis Siswa.” </w:t>
      </w:r>
      <w:r>
        <w:rPr>
          <w:i/>
          <w:iCs/>
        </w:rPr>
        <w:t>Bioscientist : Jurnal Ilmiah Biologi</w:t>
      </w:r>
      <w:r>
        <w:t xml:space="preserve"> 10, no. 1 (2022): 125. https://doi.org/10.33394/bioscientist.v10i1.5107.</w:t>
      </w:r>
    </w:p>
    <w:p w14:paraId="78F71732">
      <w:pPr>
        <w:widowControl w:val="0"/>
        <w:autoSpaceDE w:val="0"/>
        <w:autoSpaceDN w:val="0"/>
        <w:adjustRightInd w:val="0"/>
        <w:spacing w:after="0" w:line="240" w:lineRule="auto"/>
        <w:ind w:left="480" w:hanging="480"/>
        <w:jc w:val="both"/>
      </w:pPr>
      <w:r>
        <w:t xml:space="preserve">Anderson, C., Boyle, C., &amp; Deppeler, J. “The Challenges of Inclusion: Examining the Role of Teacher Support in Inclusive Classrooms. Https://Doi.Org/10.1080/13603116.2019.1580921.” </w:t>
      </w:r>
      <w:r>
        <w:rPr>
          <w:i/>
          <w:iCs/>
        </w:rPr>
        <w:t>International Journal of Inclusive Education,</w:t>
      </w:r>
      <w:r>
        <w:t xml:space="preserve"> 25, no. 5 (2021): 489–503.</w:t>
      </w:r>
    </w:p>
    <w:p w14:paraId="3A41D8D8">
      <w:pPr>
        <w:widowControl w:val="0"/>
        <w:autoSpaceDE w:val="0"/>
        <w:autoSpaceDN w:val="0"/>
        <w:adjustRightInd w:val="0"/>
        <w:spacing w:after="0" w:line="240" w:lineRule="auto"/>
        <w:ind w:left="480" w:hanging="480"/>
        <w:jc w:val="both"/>
      </w:pPr>
      <w:r>
        <w:t xml:space="preserve">Anggraeni., Silvia. “Defisit Guru Pendamping Khusus Hambat Pendidikan Inklusi. Kompas.Id. Diakses Dari Https://Www.Kompas.Id/Baca/Humaniora/2023/11/12/Defisit-Guru-Khusus-Menghambat-Pendidikan-Inklusi.” </w:t>
      </w:r>
      <w:r>
        <w:rPr>
          <w:i/>
          <w:iCs/>
        </w:rPr>
        <w:t>Kompas.</w:t>
      </w:r>
      <w:r>
        <w:t>, 2023.</w:t>
      </w:r>
    </w:p>
    <w:p w14:paraId="0B289DBB">
      <w:pPr>
        <w:widowControl w:val="0"/>
        <w:autoSpaceDE w:val="0"/>
        <w:autoSpaceDN w:val="0"/>
        <w:adjustRightInd w:val="0"/>
        <w:spacing w:after="0" w:line="240" w:lineRule="auto"/>
        <w:ind w:left="480" w:hanging="480"/>
        <w:jc w:val="both"/>
      </w:pPr>
      <w:r>
        <w:t xml:space="preserve">Ayu, Siska Putri, Carolina L. Radjah, and Nur Hidayah. “Konseling Kelompok Teknik Cognitive Restructuring Bermuatan Nilai Budaya Minangkabau.” </w:t>
      </w:r>
      <w:r>
        <w:rPr>
          <w:i/>
          <w:iCs/>
        </w:rPr>
        <w:t>Jurnal Pendidikan: Teori, Penelitian, Dan Pengembangan</w:t>
      </w:r>
      <w:r>
        <w:t>. academia.edu, 2020. https://doi.org/10.17977/jptpp.v5i5.13442.</w:t>
      </w:r>
    </w:p>
    <w:p w14:paraId="3037B872">
      <w:pPr>
        <w:widowControl w:val="0"/>
        <w:autoSpaceDE w:val="0"/>
        <w:autoSpaceDN w:val="0"/>
        <w:adjustRightInd w:val="0"/>
        <w:spacing w:after="0" w:line="240" w:lineRule="auto"/>
        <w:ind w:left="480" w:hanging="480"/>
        <w:jc w:val="both"/>
      </w:pPr>
      <w:r>
        <w:t xml:space="preserve">Carter, E. W., Tuttle, M., Asmus, J. A., Moss, C. K., &amp; Lloyd, B. P. “Observations of Students with and without Severe Disabilities in General Education Classrooms: A Portrait of Inclusion? Https://Doi.Org/10.1177/10883576231178268.” </w:t>
      </w:r>
      <w:r>
        <w:rPr>
          <w:i/>
          <w:iCs/>
        </w:rPr>
        <w:t>Focus on Autism and Other Developmental Disabilities,</w:t>
      </w:r>
      <w:r>
        <w:t xml:space="preserve"> 39, no. 1 (n.d.): 3–13.</w:t>
      </w:r>
    </w:p>
    <w:p w14:paraId="614E8F62">
      <w:pPr>
        <w:widowControl w:val="0"/>
        <w:autoSpaceDE w:val="0"/>
        <w:autoSpaceDN w:val="0"/>
        <w:adjustRightInd w:val="0"/>
        <w:spacing w:after="0" w:line="240" w:lineRule="auto"/>
        <w:ind w:left="480" w:hanging="480"/>
        <w:jc w:val="both"/>
      </w:pPr>
    </w:p>
    <w:p w14:paraId="24145170">
      <w:pPr>
        <w:widowControl w:val="0"/>
        <w:autoSpaceDE w:val="0"/>
        <w:autoSpaceDN w:val="0"/>
        <w:adjustRightInd w:val="0"/>
        <w:spacing w:after="0" w:line="240" w:lineRule="auto"/>
        <w:ind w:left="480" w:hanging="480"/>
        <w:jc w:val="both"/>
      </w:pPr>
    </w:p>
    <w:p w14:paraId="19CC0C98">
      <w:pPr>
        <w:widowControl w:val="0"/>
        <w:autoSpaceDE w:val="0"/>
        <w:autoSpaceDN w:val="0"/>
        <w:adjustRightInd w:val="0"/>
        <w:spacing w:after="0" w:line="240" w:lineRule="auto"/>
        <w:ind w:left="480" w:hanging="480"/>
        <w:jc w:val="both"/>
      </w:pPr>
    </w:p>
    <w:p w14:paraId="64ABB904">
      <w:pPr>
        <w:widowControl w:val="0"/>
        <w:autoSpaceDE w:val="0"/>
        <w:autoSpaceDN w:val="0"/>
        <w:adjustRightInd w:val="0"/>
        <w:spacing w:after="0" w:line="240" w:lineRule="auto"/>
        <w:ind w:left="480" w:hanging="480"/>
        <w:jc w:val="both"/>
      </w:pPr>
      <w:r>
        <w:t xml:space="preserve">Cerniglia, L., Guicciardi, M., Sinatra, M., Monacis, L., Simonelli, A., &amp; Cimino, S. “Body Image Concerns: The Impact of Digital Technologies on Adolescents. Https://Doi.Org/10.3390/Bs12080282.” </w:t>
      </w:r>
      <w:r>
        <w:rPr>
          <w:i/>
          <w:iCs/>
        </w:rPr>
        <w:t>Behavioral Sciences,</w:t>
      </w:r>
      <w:r>
        <w:t xml:space="preserve"> 12, no. 8 (2022): 282.</w:t>
      </w:r>
    </w:p>
    <w:p w14:paraId="2AE5B2DC">
      <w:pPr>
        <w:widowControl w:val="0"/>
        <w:autoSpaceDE w:val="0"/>
        <w:autoSpaceDN w:val="0"/>
        <w:adjustRightInd w:val="0"/>
        <w:spacing w:after="0" w:line="240" w:lineRule="auto"/>
        <w:ind w:left="480" w:hanging="480"/>
        <w:jc w:val="both"/>
      </w:pPr>
      <w:r>
        <w:t xml:space="preserve">Dube, S., Sharma, I., Mishra, S., Cats, O., &amp; Bansal, P. “A General Framework to Forecast the Adoption of Novel Products: A Case of Autonomous Vehicles. Https://Doi.Org/10.1016/j.Trb.2022.09.009.” </w:t>
      </w:r>
      <w:r>
        <w:rPr>
          <w:i/>
          <w:iCs/>
        </w:rPr>
        <w:t>Transportation Research Part B: Methodological,</w:t>
      </w:r>
      <w:r>
        <w:t xml:space="preserve"> 165, no. 2 (2022): 63–95.</w:t>
      </w:r>
    </w:p>
    <w:p w14:paraId="490B64AF">
      <w:pPr>
        <w:widowControl w:val="0"/>
        <w:autoSpaceDE w:val="0"/>
        <w:autoSpaceDN w:val="0"/>
        <w:adjustRightInd w:val="0"/>
        <w:spacing w:after="0" w:line="240" w:lineRule="auto"/>
        <w:ind w:left="480" w:hanging="480"/>
        <w:jc w:val="both"/>
      </w:pPr>
      <w:r>
        <w:t xml:space="preserve">E, Itemized, O F Travel, Other Expenses, Adam David Hancock, Asco Formation Formation, Neil Armstrong, Faux Le, et al. </w:t>
      </w:r>
      <w:r>
        <w:rPr>
          <w:i/>
          <w:iCs/>
        </w:rPr>
        <w:t>Yohanna</w:t>
      </w:r>
      <w:r>
        <w:t xml:space="preserve">. </w:t>
      </w:r>
      <w:r>
        <w:rPr>
          <w:i/>
          <w:iCs/>
        </w:rPr>
        <w:t>Journal of Economic Perspectives</w:t>
      </w:r>
      <w:r>
        <w:t>. Vol. 2. repository.bku.ac.id, 2022. http://www.ifpri.org/themes/gssp/gssp.htm%0Ahttp://files/171/Cardon - 2008 - Coaching d’équipe.pdf%0Ahttp://journal.um-surabaya.ac.id/index.php/JKM/article/view/2203%0Ahttp://mpoc.org.my/malaysian-palm-oil-industry/%0Ahttps://doi.org/10.1080/23322039.2017.</w:t>
      </w:r>
    </w:p>
    <w:p w14:paraId="55226158">
      <w:pPr>
        <w:widowControl w:val="0"/>
        <w:autoSpaceDE w:val="0"/>
        <w:autoSpaceDN w:val="0"/>
        <w:adjustRightInd w:val="0"/>
        <w:spacing w:after="0" w:line="240" w:lineRule="auto"/>
        <w:ind w:left="480" w:hanging="480"/>
        <w:jc w:val="both"/>
      </w:pPr>
      <w:r>
        <w:t xml:space="preserve">Ekins, A., &amp; Grimes, P. “Inclusion: Developing an Effective Whole School Approach. Routledge. Https://Doi.Org/10.4324/9780429443583.” In </w:t>
      </w:r>
      <w:r>
        <w:rPr>
          <w:i/>
          <w:iCs/>
        </w:rPr>
        <w:t>Inclusion: Developing an Effective Whole School Approach. Routledge. Https://Doi.Org/10.4324/9780429443583</w:t>
      </w:r>
      <w:r>
        <w:t>, 2020.</w:t>
      </w:r>
    </w:p>
    <w:p w14:paraId="22FD49A8">
      <w:pPr>
        <w:widowControl w:val="0"/>
        <w:autoSpaceDE w:val="0"/>
        <w:autoSpaceDN w:val="0"/>
        <w:adjustRightInd w:val="0"/>
        <w:spacing w:after="0" w:line="240" w:lineRule="auto"/>
        <w:ind w:left="480" w:hanging="480"/>
        <w:jc w:val="both"/>
      </w:pPr>
      <w:r>
        <w:t xml:space="preserve">Epstein, J. L. </w:t>
      </w:r>
      <w:r>
        <w:rPr>
          <w:i/>
          <w:iCs/>
        </w:rPr>
        <w:t>School, Family, and Community Partnerships: Preparing Educators and Improving Schools (2nd Ed.). Westview Press.</w:t>
      </w:r>
      <w:r>
        <w:t>, 2011.</w:t>
      </w:r>
    </w:p>
    <w:p w14:paraId="69FF7FF4">
      <w:pPr>
        <w:widowControl w:val="0"/>
        <w:autoSpaceDE w:val="0"/>
        <w:autoSpaceDN w:val="0"/>
        <w:adjustRightInd w:val="0"/>
        <w:spacing w:after="0" w:line="240" w:lineRule="auto"/>
        <w:ind w:left="480" w:hanging="480"/>
        <w:jc w:val="both"/>
      </w:pPr>
      <w:r>
        <w:t xml:space="preserve">Farrell, P., Ainscow, M., &amp; Howes, A. “Contributing Factors to the Progress of Inclusive Education Implementation in Indonesia. Https://Doi.Org/10.1080/13603116.2019.1576790.” </w:t>
      </w:r>
      <w:r>
        <w:rPr>
          <w:i/>
          <w:iCs/>
        </w:rPr>
        <w:t>International Journal of Inclusive Education, 23(7),</w:t>
      </w:r>
      <w:r>
        <w:t xml:space="preserve"> 23, no. 7 (2019): 711–725.</w:t>
      </w:r>
    </w:p>
    <w:p w14:paraId="09DCB040">
      <w:pPr>
        <w:widowControl w:val="0"/>
        <w:autoSpaceDE w:val="0"/>
        <w:autoSpaceDN w:val="0"/>
        <w:adjustRightInd w:val="0"/>
        <w:spacing w:after="0" w:line="240" w:lineRule="auto"/>
        <w:ind w:left="480" w:hanging="480"/>
        <w:jc w:val="both"/>
      </w:pPr>
      <w:r>
        <w:t xml:space="preserve">Goleman, Daniel. </w:t>
      </w:r>
      <w:r>
        <w:rPr>
          <w:i/>
          <w:iCs/>
        </w:rPr>
        <w:t>Kecerdasan Emosi Untuk Mencapai Puncak Prestasi. Alih Bahasa: Widodo, A.T.</w:t>
      </w:r>
      <w:r>
        <w:t xml:space="preserve"> Jakarta: Gramedia Pustaka Utama, 2001.</w:t>
      </w:r>
    </w:p>
    <w:p w14:paraId="72623D58">
      <w:pPr>
        <w:widowControl w:val="0"/>
        <w:autoSpaceDE w:val="0"/>
        <w:autoSpaceDN w:val="0"/>
        <w:adjustRightInd w:val="0"/>
        <w:spacing w:after="0" w:line="240" w:lineRule="auto"/>
        <w:ind w:left="480" w:hanging="480"/>
        <w:jc w:val="both"/>
      </w:pPr>
      <w:r>
        <w:t>Indonesia., Kementerian Pendidikan dan Kebudayaan Republik. Peraturan Menteri Pendidikan dan Kebudayaan Nomor 70 Tahun 2009 tentang Pendidikan Inklusif. (2009).</w:t>
      </w:r>
    </w:p>
    <w:p w14:paraId="3DD85EB7">
      <w:pPr>
        <w:widowControl w:val="0"/>
        <w:autoSpaceDE w:val="0"/>
        <w:autoSpaceDN w:val="0"/>
        <w:adjustRightInd w:val="0"/>
        <w:spacing w:after="0" w:line="240" w:lineRule="auto"/>
        <w:ind w:left="480" w:hanging="480"/>
        <w:jc w:val="both"/>
      </w:pPr>
      <w:r>
        <w:t xml:space="preserve">Keddie, A. “Gender Equality Reform and Police Organizations: Https://Doi.Org/10.1111/Gwao.12918.” </w:t>
      </w:r>
      <w:r>
        <w:rPr>
          <w:i/>
          <w:iCs/>
        </w:rPr>
        <w:t>A Social Justice Approach. Gender, Work &amp; Organization,</w:t>
      </w:r>
      <w:r>
        <w:t xml:space="preserve"> 30, no. 3 (2023): 810–825.</w:t>
      </w:r>
    </w:p>
    <w:p w14:paraId="30B6752A">
      <w:pPr>
        <w:widowControl w:val="0"/>
        <w:autoSpaceDE w:val="0"/>
        <w:autoSpaceDN w:val="0"/>
        <w:adjustRightInd w:val="0"/>
        <w:spacing w:after="0" w:line="240" w:lineRule="auto"/>
        <w:ind w:left="480" w:hanging="480"/>
        <w:jc w:val="both"/>
      </w:pPr>
      <w:r>
        <w:t xml:space="preserve">Kim, N., &amp; Lee, K. “Environmental Consciousness, Purchase Intention, and Actual Purchase Behavior of Eco-Friendly Products: The Moderating Impact of Situational Context. Https://Doi.Org/10.3390/Ijerph20075312.” </w:t>
      </w:r>
      <w:r>
        <w:rPr>
          <w:i/>
          <w:iCs/>
        </w:rPr>
        <w:t>International Journal of Environmental Research and Public Health,</w:t>
      </w:r>
      <w:r>
        <w:t xml:space="preserve"> 20, no. 7 (2023): 5312.</w:t>
      </w:r>
    </w:p>
    <w:p w14:paraId="62B98833">
      <w:pPr>
        <w:widowControl w:val="0"/>
        <w:autoSpaceDE w:val="0"/>
        <w:autoSpaceDN w:val="0"/>
        <w:adjustRightInd w:val="0"/>
        <w:spacing w:after="0" w:line="240" w:lineRule="auto"/>
        <w:ind w:left="480" w:hanging="480"/>
        <w:jc w:val="both"/>
      </w:pPr>
      <w:r>
        <w:t xml:space="preserve">Kumalasari, Novita, Irfai Fathurohman, and Fina Fakhriyah. “Pengembangan E-Modul Berbasis Kearifan Lokal Daerah Grobogan Untuk Meningkatkan Hasil Belajar Siswa Sekolah Dasar.” </w:t>
      </w:r>
      <w:r>
        <w:rPr>
          <w:i/>
          <w:iCs/>
        </w:rPr>
        <w:t>Jurnal Paedagogy</w:t>
      </w:r>
      <w:r>
        <w:t xml:space="preserve"> 10, no. 2 (2023): 554. https://doi.org/10.33394/jp.v10i2.7190.</w:t>
      </w:r>
    </w:p>
    <w:p w14:paraId="16BC4AE1">
      <w:pPr>
        <w:widowControl w:val="0"/>
        <w:autoSpaceDE w:val="0"/>
        <w:autoSpaceDN w:val="0"/>
        <w:adjustRightInd w:val="0"/>
        <w:spacing w:after="0" w:line="240" w:lineRule="auto"/>
        <w:ind w:left="480" w:hanging="480"/>
        <w:jc w:val="both"/>
      </w:pPr>
    </w:p>
    <w:p w14:paraId="7417C873">
      <w:pPr>
        <w:widowControl w:val="0"/>
        <w:autoSpaceDE w:val="0"/>
        <w:autoSpaceDN w:val="0"/>
        <w:adjustRightInd w:val="0"/>
        <w:spacing w:after="0" w:line="240" w:lineRule="auto"/>
        <w:ind w:left="480" w:hanging="480"/>
        <w:jc w:val="both"/>
      </w:pPr>
    </w:p>
    <w:p w14:paraId="5AE5B850">
      <w:pPr>
        <w:widowControl w:val="0"/>
        <w:autoSpaceDE w:val="0"/>
        <w:autoSpaceDN w:val="0"/>
        <w:adjustRightInd w:val="0"/>
        <w:spacing w:after="0" w:line="240" w:lineRule="auto"/>
        <w:ind w:left="480" w:hanging="480"/>
        <w:jc w:val="both"/>
      </w:pPr>
    </w:p>
    <w:p w14:paraId="62FABC68">
      <w:pPr>
        <w:widowControl w:val="0"/>
        <w:autoSpaceDE w:val="0"/>
        <w:autoSpaceDN w:val="0"/>
        <w:adjustRightInd w:val="0"/>
        <w:spacing w:after="0" w:line="240" w:lineRule="auto"/>
        <w:ind w:left="480" w:hanging="480"/>
        <w:jc w:val="both"/>
      </w:pPr>
    </w:p>
    <w:p w14:paraId="02AAF25C">
      <w:pPr>
        <w:widowControl w:val="0"/>
        <w:autoSpaceDE w:val="0"/>
        <w:autoSpaceDN w:val="0"/>
        <w:adjustRightInd w:val="0"/>
        <w:spacing w:after="0" w:line="240" w:lineRule="auto"/>
        <w:ind w:left="480" w:hanging="480"/>
        <w:jc w:val="both"/>
      </w:pPr>
      <w:r>
        <w:t xml:space="preserve">M. D., Kavazis, A. N., Reidy, P. T., Ogasawara, R., Libardi, C. A., Ugrinowitsch, C., Booth, F. W., &amp; Esser, K. A. “Mechanisms of Mechanical Overload-Induced Skeletal Muscle Hypertrophy: Current Understanding and Future Directions. Https://Doi.Org/10.1152/Physrev.00039.2022.” </w:t>
      </w:r>
      <w:r>
        <w:rPr>
          <w:i/>
          <w:iCs/>
        </w:rPr>
        <w:t>Physiological Reviews,</w:t>
      </w:r>
      <w:r>
        <w:t xml:space="preserve"> 103, no. 4 (2023): 2679–2757.</w:t>
      </w:r>
    </w:p>
    <w:p w14:paraId="73206120">
      <w:pPr>
        <w:widowControl w:val="0"/>
        <w:autoSpaceDE w:val="0"/>
        <w:autoSpaceDN w:val="0"/>
        <w:adjustRightInd w:val="0"/>
        <w:spacing w:after="0" w:line="240" w:lineRule="auto"/>
        <w:ind w:left="480" w:hanging="480"/>
        <w:jc w:val="both"/>
      </w:pPr>
      <w:r>
        <w:t xml:space="preserve">Masten, A S. </w:t>
      </w:r>
      <w:r>
        <w:rPr>
          <w:i/>
          <w:iCs/>
        </w:rPr>
        <w:t>Ordinary Magic: Resilience in Development</w:t>
      </w:r>
      <w:r>
        <w:t>, 2014.</w:t>
      </w:r>
    </w:p>
    <w:p w14:paraId="3C3B0130">
      <w:pPr>
        <w:widowControl w:val="0"/>
        <w:autoSpaceDE w:val="0"/>
        <w:autoSpaceDN w:val="0"/>
        <w:adjustRightInd w:val="0"/>
        <w:spacing w:after="0" w:line="240" w:lineRule="auto"/>
        <w:ind w:left="480" w:hanging="480"/>
        <w:jc w:val="both"/>
      </w:pPr>
      <w:r>
        <w:t xml:space="preserve">McLeod, A. “Sampling and Asymptotic Network Properties of Spatial Multi-Trophic Networks. Oikos, 130(10), 1531–1542. Https://Doi.Org/10.1111/Oik.08650.” In </w:t>
      </w:r>
      <w:r>
        <w:rPr>
          <w:i/>
          <w:iCs/>
        </w:rPr>
        <w:t>Sampling and Asymptotic Network Properties of Spatial Multi-Trophic Networks. Oikos, 130(10), 1531–1542. Https://Doi.Org/10.1111/Oik.08650</w:t>
      </w:r>
      <w:r>
        <w:t>, 2021.</w:t>
      </w:r>
    </w:p>
    <w:p w14:paraId="3EA962E2">
      <w:pPr>
        <w:widowControl w:val="0"/>
        <w:autoSpaceDE w:val="0"/>
        <w:autoSpaceDN w:val="0"/>
        <w:adjustRightInd w:val="0"/>
        <w:spacing w:after="0" w:line="240" w:lineRule="auto"/>
        <w:ind w:left="480" w:hanging="480"/>
        <w:jc w:val="both"/>
      </w:pPr>
      <w:r>
        <w:t xml:space="preserve">McLeskey, J., Maheady, L., Billingsley, B., Brownell, M. T., &amp; Lewis, T. J. “Https://Doi.Org/10.4324/9781003148609.” In </w:t>
      </w:r>
      <w:r>
        <w:rPr>
          <w:i/>
          <w:iCs/>
        </w:rPr>
        <w:t>High-Leverage Practices for Inclusive Classrooms (2nd Ed.). Routledge.Https://Doi.Org/10.4324/9781003148609</w:t>
      </w:r>
      <w:r>
        <w:t>, 2022.</w:t>
      </w:r>
    </w:p>
    <w:p w14:paraId="034346C8">
      <w:pPr>
        <w:widowControl w:val="0"/>
        <w:autoSpaceDE w:val="0"/>
        <w:autoSpaceDN w:val="0"/>
        <w:adjustRightInd w:val="0"/>
        <w:spacing w:after="0" w:line="240" w:lineRule="auto"/>
        <w:ind w:left="480" w:hanging="480"/>
        <w:jc w:val="both"/>
      </w:pPr>
      <w:r>
        <w:t xml:space="preserve">Prasetiawan, Hardi, Muya Barida, Irvan Budhi Handaka, Dian Ari Widyastuti, Agungbudiprabowo, Amien Wahyudi, Siti Muyana, and Wahyu Nanda Eka Saputra. “Counselor Strategies to Reduce Online Gaming Addiction through Creative Cognitive-Behavior Group Counseling.” </w:t>
      </w:r>
      <w:r>
        <w:rPr>
          <w:i/>
          <w:iCs/>
        </w:rPr>
        <w:t>Pegem Egitim ve Ogretim Dergisi</w:t>
      </w:r>
      <w:r>
        <w:t xml:space="preserve"> 13, no. 2 (2023): 147–52. https://doi.org/10.47750/pegegog.13.02.18.</w:t>
      </w:r>
    </w:p>
    <w:p w14:paraId="46FF0F7E">
      <w:pPr>
        <w:widowControl w:val="0"/>
        <w:autoSpaceDE w:val="0"/>
        <w:autoSpaceDN w:val="0"/>
        <w:adjustRightInd w:val="0"/>
        <w:spacing w:after="0" w:line="240" w:lineRule="auto"/>
        <w:ind w:left="480" w:hanging="480"/>
        <w:jc w:val="both"/>
      </w:pPr>
      <w:r>
        <w:t xml:space="preserve">Putri, A., Zikri, H., &amp; Mustika, D. “Pihak Yang Berperan Dalam Implementasi Pendidikan Inklusi. Https://Doi.Org/10.58578/Tsaqofah.V4i4.3147.” </w:t>
      </w:r>
      <w:r>
        <w:rPr>
          <w:i/>
          <w:iCs/>
        </w:rPr>
        <w:t>Tsaqofah: Jurnal Penelitian Guru Indonesia,</w:t>
      </w:r>
      <w:r>
        <w:t xml:space="preserve"> 4, no. 4 (2024): 3052–3058.</w:t>
      </w:r>
    </w:p>
    <w:p w14:paraId="42022E64">
      <w:pPr>
        <w:widowControl w:val="0"/>
        <w:autoSpaceDE w:val="0"/>
        <w:autoSpaceDN w:val="0"/>
        <w:adjustRightInd w:val="0"/>
        <w:spacing w:after="0" w:line="240" w:lineRule="auto"/>
        <w:ind w:left="480" w:hanging="480"/>
        <w:jc w:val="both"/>
      </w:pPr>
      <w:r>
        <w:t xml:space="preserve">Rahmawati, A., Muthohar, S., &amp; Elnurianda, F. “Developing the Islamic Religious Education Curriculum in Inclusive Schools or Madrasah and Its Implementation: A Systematic Literature Review. Https://Doi.Org/10.14421/Jpai.V21i1.6907.” </w:t>
      </w:r>
      <w:r>
        <w:rPr>
          <w:i/>
          <w:iCs/>
        </w:rPr>
        <w:t>Jurnal Pendidikan Agama Islam,</w:t>
      </w:r>
      <w:r>
        <w:t xml:space="preserve"> 21, no. 1 (2021): 102–121.</w:t>
      </w:r>
    </w:p>
    <w:p w14:paraId="68BA8619">
      <w:pPr>
        <w:widowControl w:val="0"/>
        <w:autoSpaceDE w:val="0"/>
        <w:autoSpaceDN w:val="0"/>
        <w:adjustRightInd w:val="0"/>
        <w:spacing w:after="0" w:line="240" w:lineRule="auto"/>
        <w:ind w:left="480" w:hanging="480"/>
        <w:jc w:val="both"/>
      </w:pPr>
      <w:r>
        <w:t xml:space="preserve">Rini Fitriah, Dkk. </w:t>
      </w:r>
      <w:r>
        <w:rPr>
          <w:i/>
          <w:iCs/>
        </w:rPr>
        <w:t>Petunjuk Teknis Penelitian UIN Fatmawati Sukarno Bengkulu Tahun Anggaran 2025 | 1</w:t>
      </w:r>
      <w:r>
        <w:t>, 2025.</w:t>
      </w:r>
    </w:p>
    <w:p w14:paraId="56B749C4">
      <w:pPr>
        <w:widowControl w:val="0"/>
        <w:autoSpaceDE w:val="0"/>
        <w:autoSpaceDN w:val="0"/>
        <w:adjustRightInd w:val="0"/>
        <w:spacing w:after="0" w:line="240" w:lineRule="auto"/>
        <w:ind w:left="480" w:hanging="480"/>
        <w:jc w:val="both"/>
      </w:pPr>
      <w:r>
        <w:t xml:space="preserve">Romadhon, Muhamad, and Asep Supena. “Penanganan Siswa Learning Disabilities Di Sekolah Dasar Inklusi.” </w:t>
      </w:r>
      <w:r>
        <w:rPr>
          <w:i/>
          <w:iCs/>
        </w:rPr>
        <w:t>Jurnal Basicedu</w:t>
      </w:r>
      <w:r>
        <w:t xml:space="preserve"> 5, no. 3 (2021): 1471–78. https://doi.org/10.31004/basicedu.v5i3.941.</w:t>
      </w:r>
    </w:p>
    <w:p w14:paraId="5095D87E">
      <w:pPr>
        <w:widowControl w:val="0"/>
        <w:autoSpaceDE w:val="0"/>
        <w:autoSpaceDN w:val="0"/>
        <w:adjustRightInd w:val="0"/>
        <w:spacing w:after="0" w:line="240" w:lineRule="auto"/>
        <w:ind w:left="480" w:hanging="480"/>
        <w:jc w:val="both"/>
      </w:pPr>
      <w:r>
        <w:t xml:space="preserve">Saloviita, T. “Attitudes of Teachers towards Inclusive Education in Finland: The Role of Teacher Training. DOI:10.1080/00313831.2018.1543590 (Https://Doi.Org/10.1080/00313831.2018.1543590).” </w:t>
      </w:r>
      <w:r>
        <w:rPr>
          <w:i/>
          <w:iCs/>
        </w:rPr>
        <w:t>Scandinavian Journal of Educational Research,</w:t>
      </w:r>
      <w:r>
        <w:t xml:space="preserve"> 64, no. 2 (2020): 270-282.</w:t>
      </w:r>
    </w:p>
    <w:p w14:paraId="1F9F3005">
      <w:pPr>
        <w:widowControl w:val="0"/>
        <w:autoSpaceDE w:val="0"/>
        <w:autoSpaceDN w:val="0"/>
        <w:adjustRightInd w:val="0"/>
        <w:spacing w:after="0" w:line="240" w:lineRule="auto"/>
        <w:ind w:left="480" w:hanging="480"/>
        <w:jc w:val="both"/>
      </w:pPr>
      <w:r>
        <w:t xml:space="preserve">Sari, D. K., Wijayanti, E., &amp; Prasetyo, B. “Shadow Teacher’s Role in Inclusive Education in Indonesia: A Case Study. Https://Doi.Org/10.12928/Jiesn.V11i3.418.” </w:t>
      </w:r>
      <w:r>
        <w:rPr>
          <w:i/>
          <w:iCs/>
        </w:rPr>
        <w:t>Journal of Inclusive Education and Special Needs,</w:t>
      </w:r>
      <w:r>
        <w:t xml:space="preserve"> 11, no. 3 (2022): 210–225.</w:t>
      </w:r>
    </w:p>
    <w:p w14:paraId="3901E5EA">
      <w:pPr>
        <w:widowControl w:val="0"/>
        <w:autoSpaceDE w:val="0"/>
        <w:autoSpaceDN w:val="0"/>
        <w:adjustRightInd w:val="0"/>
        <w:spacing w:after="0" w:line="240" w:lineRule="auto"/>
        <w:ind w:left="480" w:hanging="480"/>
        <w:jc w:val="both"/>
      </w:pPr>
      <w:r>
        <w:t xml:space="preserve">Sharma, U., Loreman, T., &amp; Forlin, C. “Improving Teacher Efficacy in Inclusive Classrooms: A Systematic Review.DOI: 10.1111/1471-3802.12611 (Https://Doi.Org/10.1111/1471-3802.12611).” </w:t>
      </w:r>
      <w:r>
        <w:rPr>
          <w:i/>
          <w:iCs/>
        </w:rPr>
        <w:t>Journal of Research in Special Educational Needs</w:t>
      </w:r>
      <w:r>
        <w:t xml:space="preserve"> 22, no. 1 (2022): 15–25.</w:t>
      </w:r>
    </w:p>
    <w:p w14:paraId="46B05C82">
      <w:pPr>
        <w:widowControl w:val="0"/>
        <w:autoSpaceDE w:val="0"/>
        <w:autoSpaceDN w:val="0"/>
        <w:adjustRightInd w:val="0"/>
        <w:spacing w:after="0" w:line="240" w:lineRule="auto"/>
        <w:ind w:left="480" w:hanging="480"/>
        <w:jc w:val="both"/>
      </w:pPr>
    </w:p>
    <w:p w14:paraId="18DE2165">
      <w:pPr>
        <w:widowControl w:val="0"/>
        <w:autoSpaceDE w:val="0"/>
        <w:autoSpaceDN w:val="0"/>
        <w:adjustRightInd w:val="0"/>
        <w:spacing w:after="0" w:line="240" w:lineRule="auto"/>
        <w:ind w:left="480" w:hanging="480"/>
        <w:jc w:val="both"/>
      </w:pPr>
      <w:r>
        <w:t xml:space="preserve">———. “Measuring Teacher Efficacy to Implement Inclusive Practices. Https://Doi.Org/10.1111/j.1471-3802.2011.01200.X.” </w:t>
      </w:r>
      <w:r>
        <w:rPr>
          <w:i/>
          <w:iCs/>
        </w:rPr>
        <w:t>Journal of Research in Special Educational Needs,</w:t>
      </w:r>
      <w:r>
        <w:t xml:space="preserve"> 12, no. 1 (2012): 12(1), 12–21.</w:t>
      </w:r>
    </w:p>
    <w:p w14:paraId="1CB3DBF0">
      <w:pPr>
        <w:widowControl w:val="0"/>
        <w:autoSpaceDE w:val="0"/>
        <w:autoSpaceDN w:val="0"/>
        <w:adjustRightInd w:val="0"/>
        <w:spacing w:after="0" w:line="240" w:lineRule="auto"/>
        <w:ind w:left="480" w:hanging="480"/>
        <w:jc w:val="both"/>
      </w:pPr>
      <w:r>
        <w:t xml:space="preserve">Sugiyono. </w:t>
      </w:r>
      <w:r>
        <w:rPr>
          <w:i/>
          <w:iCs/>
        </w:rPr>
        <w:t>Metode Penelitian Kuantitatif, Kualitatif, Da R&amp;D. Bandung: CV Alfabeta.</w:t>
      </w:r>
      <w:r>
        <w:t>, 2013.</w:t>
      </w:r>
    </w:p>
    <w:p w14:paraId="3B093B2A">
      <w:pPr>
        <w:widowControl w:val="0"/>
        <w:autoSpaceDE w:val="0"/>
        <w:autoSpaceDN w:val="0"/>
        <w:adjustRightInd w:val="0"/>
        <w:spacing w:after="0" w:line="240" w:lineRule="auto"/>
        <w:ind w:left="480" w:hanging="480"/>
        <w:jc w:val="both"/>
      </w:pPr>
      <w:r>
        <w:t xml:space="preserve">Thiagarajan, S., Semmel, D. S., &amp; Semmel, M. I. </w:t>
      </w:r>
      <w:r>
        <w:rPr>
          <w:i/>
          <w:iCs/>
        </w:rPr>
        <w:t>Instructional Development for Training Teachers of Exceptional Children: A Sourcebook. Council for Exceptional Children.</w:t>
      </w:r>
      <w:r>
        <w:t>, 1974.</w:t>
      </w:r>
    </w:p>
    <w:p w14:paraId="6C2F7DD7">
      <w:pPr>
        <w:widowControl w:val="0"/>
        <w:autoSpaceDE w:val="0"/>
        <w:autoSpaceDN w:val="0"/>
        <w:adjustRightInd w:val="0"/>
        <w:spacing w:after="0" w:line="240" w:lineRule="auto"/>
        <w:ind w:left="480" w:hanging="480"/>
        <w:jc w:val="both"/>
      </w:pPr>
      <w:r>
        <w:t>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w:t>
      </w:r>
    </w:p>
    <w:p w14:paraId="74FB9B29">
      <w:pPr>
        <w:widowControl w:val="0"/>
        <w:autoSpaceDE w:val="0"/>
        <w:autoSpaceDN w:val="0"/>
        <w:adjustRightInd w:val="0"/>
        <w:spacing w:after="0" w:line="240" w:lineRule="auto"/>
        <w:ind w:left="480" w:hanging="480"/>
        <w:jc w:val="both"/>
      </w:pPr>
      <w:r>
        <w:t xml:space="preserve">Wijayanti, E., Sari, D. K., &amp; Prasetyo, B. “Shadow Teacher’s Role in Inclusive Education in Indonesia: A Case Study. Https://Doi.Org/10.12928/Jiesn.V11i3.418.” </w:t>
      </w:r>
      <w:r>
        <w:rPr>
          <w:i/>
          <w:iCs/>
        </w:rPr>
        <w:t>Journal of Inclusive Education and Special Needs,</w:t>
      </w:r>
      <w:r>
        <w:t xml:space="preserve"> 11, 210–22, no. 3 (2021): 11(3), 210–225.</w:t>
      </w:r>
    </w:p>
    <w:p w14:paraId="7DC3C034">
      <w:pPr>
        <w:pStyle w:val="11"/>
        <w:jc w:val="both"/>
        <w:rPr>
          <w:sz w:val="24"/>
          <w:szCs w:val="24"/>
        </w:rPr>
      </w:pPr>
      <w:r>
        <w:rPr>
          <w:sz w:val="24"/>
          <w:szCs w:val="24"/>
        </w:rPr>
        <w:fldChar w:fldCharType="end"/>
      </w:r>
    </w:p>
    <w:sectPr>
      <w:footerReference r:id="rId5" w:type="default"/>
      <w:pgSz w:w="11907" w:h="16840"/>
      <w:pgMar w:top="2268" w:right="1701" w:bottom="1701" w:left="2268" w:header="737" w:footer="0" w:gutter="0"/>
      <w:pgNumType w:start="1"/>
      <w:cols w:space="72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8595449"/>
      <w:docPartObj>
        <w:docPartGallery w:val="AutoText"/>
      </w:docPartObj>
    </w:sdtPr>
    <w:sdtContent>
      <w:p w14:paraId="365C8DAD">
        <w:pPr>
          <w:pStyle w:val="9"/>
          <w:jc w:val="center"/>
        </w:pPr>
        <w:r>
          <w:fldChar w:fldCharType="begin"/>
        </w:r>
        <w:r>
          <w:instrText xml:space="preserve"> PAGE   \* MERGEFORMAT </w:instrText>
        </w:r>
        <w:r>
          <w:fldChar w:fldCharType="separate"/>
        </w:r>
        <w:r>
          <w:t>12</w:t>
        </w:r>
        <w:r>
          <w:fldChar w:fldCharType="end"/>
        </w:r>
      </w:p>
    </w:sdtContent>
  </w:sdt>
  <w:p w14:paraId="17B3F7BF">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76">
    <w:p>
      <w:pPr>
        <w:spacing w:before="0" w:after="0" w:line="276" w:lineRule="auto"/>
      </w:pPr>
      <w:r>
        <w:separator/>
      </w:r>
    </w:p>
  </w:footnote>
  <w:footnote w:type="continuationSeparator" w:id="77">
    <w:p>
      <w:pPr>
        <w:spacing w:before="0" w:after="0" w:line="276" w:lineRule="auto"/>
      </w:pPr>
      <w:r>
        <w:continuationSeparator/>
      </w:r>
    </w:p>
  </w:footnote>
  <w:footnote w:id="0">
    <w:p w14:paraId="6273871E">
      <w:pPr>
        <w:pStyle w:val="11"/>
      </w:pPr>
      <w:r>
        <w:rPr>
          <w:rStyle w:val="10"/>
        </w:rPr>
        <w:footnoteRef/>
      </w:r>
      <w:r>
        <w:t xml:space="preserve"> </w:t>
      </w:r>
      <w:r>
        <w:fldChar w:fldCharType="begin" w:fldLock="1"/>
      </w:r>
      <w:r>
        <w:instrText xml:space="preserve">ADDIN CSL_CITATION {"citationItems":[{"id":"ITEM-1","itemData":{"author":[{"dropping-particle":"","family":"Indonesia.","given":"Kementerian Pendidikan dan Kebudayaan Republik","non-dropping-particle":"","parse-names":false,"suffix":""}],"id":"ITEM-1","issued":{"date-parts":[["2009"]]},"title":"Peraturan Menteri Pendidikan dan Kebudayaan Nomor 70 Tahun 2009 tentang Pendidikan Inklusif.","type":"legislation"},"uris":["http://www.mendeley.com/documents/?uuid=d86250a0-29ac-4d0e-a6ac-b41180812c89"]}],"mendeley":{"formattedCitation":"Kementerian Pendidikan dan Kebudayaan Republik Indonesia., “Peraturan Menteri Pendidikan Dan Kebudayaan Nomor 70 Tahun 2009 Tentang Pendidikan Inklusif.” (2009).","plainTextFormattedCitation":"Kementerian Pendidikan dan Kebudayaan Republik Indonesia., “Peraturan Menteri Pendidikan Dan Kebudayaan Nomor 70 Tahun 2009 Tentang Pendidikan Inklusif.” (2009).","previouslyFormattedCitation":"Kementerian Pendidikan dan Kebudayaan Republik Indonesia., “Peraturan Menteri Pendidikan Dan Kebudayaan Nomor 70 Tahun 2009 Tentang Pendidikan Inklusif.” (2009)."},"properties":{"noteIndex":1},"schema":"https://github.com/citation-style-language/schema/raw/master/csl-citation.json"}</w:instrText>
      </w:r>
      <w:r>
        <w:fldChar w:fldCharType="separate"/>
      </w:r>
      <w:r>
        <w:t>Kementerian Pendidikan dan Kebudayaan Republik Indonesia., “Peraturan Menteri Pendidikan Dan Kebudayaan Nomor 70 Tahun 2009 Tentang Pendidikan Inklusif.” (2009).</w:t>
      </w:r>
      <w:r>
        <w:fldChar w:fldCharType="end"/>
      </w:r>
    </w:p>
  </w:footnote>
  <w:footnote w:id="1">
    <w:p w14:paraId="064C1FB9">
      <w:pPr>
        <w:pStyle w:val="11"/>
        <w:jc w:val="both"/>
      </w:pPr>
      <w:r>
        <w:rPr>
          <w:rStyle w:val="10"/>
        </w:rPr>
        <w:footnoteRef/>
      </w:r>
      <w:r>
        <w:t xml:space="preserve"> </w:t>
      </w:r>
      <w:r>
        <w:fldChar w:fldCharType="begin" w:fldLock="1"/>
      </w:r>
      <w:r>
        <w:instrText xml:space="preserve">ADDIN CSL_CITATION {"citationItems":[{"id":"ITEM-1","itemData":{"author":[{"dropping-particle":"","family":"Sharma, U., Loreman, T., &amp; Forlin","given":"C.","non-dropping-particle":"","parse-names":false,"suffix":""}],"container-title":"Journal of Research in Special Educational Needs","id":"ITEM-1","issue":"1","issued":{"date-parts":[["2022"]]},"page":"15-25","title":"Improving teacher efficacy in inclusive classrooms: A systematic review.DOI: 10.1111/1471-3802.12611 (https://doi.org/10.1111/1471-3802.12611)","type":"article-journal","volume":"22"},"uris":["http://www.mendeley.com/documents/?uuid=be48cd66-b57e-47b3-a861-47cb22e71d59"]}],"mendeley":{"formattedCitation":"C. Sharma, U., Loreman, T., &amp; Forlin, “Improving Teacher Efficacy in Inclusive Classrooms: A Systematic Review.DOI: 10.1111/1471-3802.12611 (Https://Doi.Org/10.1111/1471-3802.12611),” &lt;i&gt;Journal of Research in Special Educational Needs&lt;/i&gt; 22, no. 1 (2022): 15–25.","plainTextFormattedCitation":"C. Sharma, U., Loreman, T., &amp; Forlin, “Improving Teacher Efficacy in Inclusive Classrooms: A Systematic Review.DOI: 10.1111/1471-3802.12611 (Https://Doi.Org/10.1111/1471-3802.12611),” Journal of Research in Special Educational Needs 22, no. 1 (2022): 15–25.","previouslyFormattedCitation":"C. Sharma, U., Loreman, T., &amp; Forlin, “Improving Teacher Efficacy in Inclusive Classrooms: A Systematic Review.DOI: 10.1111/1471-3802.12611 (Https://Doi.Org/10.1111/1471-3802.12611),” &lt;i&gt;Journal of Research in Special Educational Needs&lt;/i&gt; 22, no. 1 (2022): 15–25."},"properties":{"noteIndex":2},"schema":"https://github.com/citation-style-language/schema/raw/master/csl-citation.json"}</w:instrText>
      </w:r>
      <w:r>
        <w:fldChar w:fldCharType="separate"/>
      </w:r>
      <w:r>
        <w:t xml:space="preserve">C. Sharma, U., Loreman, T., &amp; Forlin, “Improving Teacher Efficacy in Inclusive Classrooms: A Systematic Review.DOI: 10.1111/1471-3802.12611 (Https://Doi.Org/10.1111/1471-3802.12611),” </w:t>
      </w:r>
      <w:r>
        <w:rPr>
          <w:i/>
        </w:rPr>
        <w:t>Journal of Research in Special Educational Needs</w:t>
      </w:r>
      <w:r>
        <w:t xml:space="preserve"> 22, no. 1 (2022): 15–25.</w:t>
      </w:r>
      <w:r>
        <w:fldChar w:fldCharType="end"/>
      </w:r>
    </w:p>
  </w:footnote>
  <w:footnote w:id="2">
    <w:p w14:paraId="0A4B302C">
      <w:pPr>
        <w:pStyle w:val="11"/>
        <w:jc w:val="both"/>
      </w:pPr>
      <w:r>
        <w:rPr>
          <w:rStyle w:val="10"/>
        </w:rPr>
        <w:footnoteRef/>
      </w:r>
      <w:r>
        <w:t xml:space="preserve"> </w:t>
      </w:r>
      <w:r>
        <w:fldChar w:fldCharType="begin" w:fldLock="1"/>
      </w:r>
      <w:r>
        <w:instrText xml:space="preserve">ADDIN CSL_CITATION {"citationItems":[{"id":"ITEM-1","itemData":{"author":[{"dropping-particle":"","family":"Saloviita","given":"T.","non-dropping-particle":"","parse-names":false,"suffix":""}],"container-title":"Scandinavian Journal of Educational Research,","id":"ITEM-1","issue":"2","issued":{"date-parts":[["2020"]]},"page":"270-282.","title":"Attitudes of teachers towards inclusive education in Finland: The role of teacher training. DOI:10.1080/00313831.2018.1543590 (https://doi.org/10.1080/00313831.2018.1543590)","type":"article-journal","volume":"64"},"uris":["http://www.mendeley.com/documents/?uuid=87493d16-e31c-4541-902e-80eb82681746"]}],"mendeley":{"formattedCitation":"T. Saloviita, “Attitudes of Teachers towards Inclusive Education in Finland: The Role of Teacher Training. DOI:10.1080/00313831.2018.1543590 (Https://Doi.Org/10.1080/00313831.2018.1543590),” &lt;i&gt;Scandinavian Journal of Educational Research,&lt;/i&gt; 64, no. 2 (2020): 270-282.","manualFormatting":"T. Saloviita, “Attitudes of Teachers towards Inclusive Education in Finland: The Role of Teacher Training.DOI:10.1080/00313831.2018.1543590 (Https://Doi.Org/10.1080/00313831.2018.1543590),” Scandinavian Journal of Educational Research, 64, no. 2 (2020): 270-282.","plainTextFormattedCitation":"T. Saloviita, “Attitudes of Teachers towards Inclusive Education in Finland: The Role of Teacher Training. DOI:10.1080/00313831.2018.1543590 (Https://Doi.Org/10.1080/00313831.2018.1543590),” Scandinavian Journal of Educational Research, 64, no. 2 (2020): 270-282.","previouslyFormattedCitation":"T. Saloviita, “Attitudes of Teachers towards Inclusive Education in Finland: The Role of Teacher Training. DOI:10.1080/00313831.2018.1543590 (Https://Doi.Org/10.1080/00313831.2018.1543590),” &lt;i&gt;Scandinavian Journal of Educational Research,&lt;/i&gt; 64, no. 2 (2020): 270-282."},"properties":{"noteIndex":3},"schema":"https://github.com/citation-style-language/schema/raw/master/csl-citation.json"}</w:instrText>
      </w:r>
      <w:r>
        <w:fldChar w:fldCharType="separate"/>
      </w:r>
      <w:r>
        <w:t xml:space="preserve">T. Saloviita, “Attitudes of Teachers towards Inclusive Education in Finland: The Role of Teacher Training.DOI:10.1080/00313831.2018.1543590 (Https://Doi.Org/10.1080/00313831.2018.1543590),” </w:t>
      </w:r>
      <w:r>
        <w:rPr>
          <w:i/>
        </w:rPr>
        <w:t>Scandinavian Journal of Educational Research,</w:t>
      </w:r>
      <w:r>
        <w:t xml:space="preserve"> 64, no. 2 (2020): 270-282.</w:t>
      </w:r>
      <w:r>
        <w:fldChar w:fldCharType="end"/>
      </w:r>
    </w:p>
  </w:footnote>
  <w:footnote w:id="3">
    <w:p w14:paraId="325C89B7">
      <w:pPr>
        <w:pStyle w:val="11"/>
        <w:jc w:val="both"/>
      </w:pPr>
      <w:r>
        <w:rPr>
          <w:rStyle w:val="10"/>
        </w:rPr>
        <w:footnoteRef/>
      </w:r>
      <w:r>
        <w:t xml:space="preserve"> </w:t>
      </w:r>
      <w:r>
        <w:fldChar w:fldCharType="begin" w:fldLock="1"/>
      </w:r>
      <w:r>
        <w:instrText xml:space="preserve">ADDIN CSL_CITATION {"citationItems":[{"id":"ITEM-1","itemData":{"author":[{"dropping-particle":"","family":"Anderson, C., Boyle, C., &amp; Deppeler","given":"J.","non-dropping-particle":"","parse-names":false,"suffix":""}],"container-title":"International Journal of Inclusive Education,","id":"ITEM-1","issue":"5","issued":{"date-parts":[["2021"]]},"page":"489–503.","title":"The challenges of inclusion: Examining the role of teacher support in inclusive classrooms. https://doi.org/10.1080/13603116.2019.1580921","type":"article-journal","volume":"25"},"uris":["http://www.mendeley.com/documents/?uuid=b5d54ef7-bf93-4b29-bde4-fc8743edd4f8"]}],"mendeley":{"formattedCitation":"J. Anderson, C., Boyle, C., &amp; Deppeler, “The Challenges of Inclusion: Examining the Role of Teacher Support in Inclusive Classrooms. Https://Doi.Org/10.1080/13603116.2019.1580921,” &lt;i&gt;International Journal of Inclusive Education,&lt;/i&gt; 25, no. 5 (2021): 489–503.","plainTextFormattedCitation":"J. Anderson, C., Boyle, C., &amp; Deppeler, “The Challenges of Inclusion: Examining the Role of Teacher Support in Inclusive Classrooms. Https://Doi.Org/10.1080/13603116.2019.1580921,” International Journal of Inclusive Education, 25, no. 5 (2021): 489–503.","previouslyFormattedCitation":"J. Anderson, C., Boyle, C., &amp; Deppeler, “The Challenges of Inclusion: Examining the Role of Teacher Support in Inclusive Classrooms. Https://Doi.Org/10.1080/13603116.2019.1580921,” &lt;i&gt;International Journal of Inclusive Education,&lt;/i&gt; 25, no. 5 (2021): 489–503."},"properties":{"noteIndex":4},"schema":"https://github.com/citation-style-language/schema/raw/master/csl-citation.json"}</w:instrText>
      </w:r>
      <w:r>
        <w:fldChar w:fldCharType="separate"/>
      </w:r>
      <w:r>
        <w:t xml:space="preserve">J. Anderson, C., Boyle, C., &amp; Deppeler, “The Challenges of Inclusion: Examining the Role of Teacher Support in Inclusive Classrooms. Https://Doi.Org/10.1080/13603116.2019.1580921,” </w:t>
      </w:r>
      <w:r>
        <w:rPr>
          <w:i/>
        </w:rPr>
        <w:t>International Journal of Inclusive Education,</w:t>
      </w:r>
      <w:r>
        <w:t xml:space="preserve"> 25, no. 5 (2021): 489–503.</w:t>
      </w:r>
      <w:r>
        <w:fldChar w:fldCharType="end"/>
      </w:r>
    </w:p>
  </w:footnote>
  <w:footnote w:id="4">
    <w:p w14:paraId="75990CDB">
      <w:pPr>
        <w:pStyle w:val="11"/>
      </w:pPr>
      <w:r>
        <w:rPr>
          <w:rStyle w:val="10"/>
        </w:rPr>
        <w:footnoteRef/>
      </w:r>
      <w:r>
        <w:t xml:space="preserve"> </w:t>
      </w:r>
      <w:r>
        <w:fldChar w:fldCharType="begin" w:fldLock="1"/>
      </w:r>
      <w:r>
        <w:instrText xml:space="preserve">ADDIN CSL_CITATION {"citationItems":[{"id":"ITEM-1","itemData":{"author":[{"dropping-particle":"","family":"Anggraeni.","given":"Silvia","non-dropping-particle":"","parse-names":false,"suffix":""}],"container-title":"Kompas.","id":"ITEM-1","issued":{"date-parts":[["2023"]]},"title":"Defisit guru pendamping khusus hambat pendidikan inklusi. Kompas.id. Diakses dari https://www.kompas.id/baca/humaniora/2023/11/12/defisit-guru-khusus-menghambat-pendidikan-inklusi","type":"article-newspaper"},"uris":["http://www.mendeley.com/documents/?uuid=cc90c804-42b4-4789-a58a-48369d386c2b"]}],"mendeley":{"formattedCitation":"Silvia Anggraeni., “Defisit Guru Pendamping Khusus Hambat Pendidikan Inklusi. Kompas.Id. Diakses Dari Https://Www.Kompas.Id/Baca/Humaniora/2023/11/12/Defisit-Guru-Khusus-Menghambat-Pendidikan-Inklusi,” &lt;i&gt;Kompas.&lt;/i&gt;, 2023.","plainTextFormattedCitation":"Silvia Anggraeni., “Defisit Guru Pendamping Khusus Hambat Pendidikan Inklusi. Kompas.Id. Diakses Dari Https://Www.Kompas.Id/Baca/Humaniora/2023/11/12/Defisit-Guru-Khusus-Menghambat-Pendidikan-Inklusi,” Kompas., 2023.","previouslyFormattedCitation":"Silvia Anggraeni., “Defisit Guru Pendamping Khusus Hambat Pendidikan Inklusi. Kompas.Id. Diakses Dari Https://Www.Kompas.Id/Baca/Humaniora/2023/11/12/Defisit-Guru-Khusus-Menghambat-Pendidikan-Inklusi,” &lt;i&gt;Kompas.&lt;/i&gt;, 2023."},"properties":{"noteIndex":5},"schema":"https://github.com/citation-style-language/schema/raw/master/csl-citation.json"}</w:instrText>
      </w:r>
      <w:r>
        <w:fldChar w:fldCharType="separate"/>
      </w:r>
      <w:r>
        <w:t xml:space="preserve">Silvia Anggraeni., “Defisit Guru Pendamping Khusus Hambat Pendidikan Inklusi. Kompas.Id. Diakses Dari Https://Www.Kompas.Id/Baca/Humaniora/2023/11/12/Defisit-Guru-Khusus-Menghambat-Pendidikan-Inklusi,” </w:t>
      </w:r>
      <w:r>
        <w:rPr>
          <w:i/>
        </w:rPr>
        <w:t>Kompas.</w:t>
      </w:r>
      <w:r>
        <w:t>, 2023.</w:t>
      </w:r>
      <w:r>
        <w:fldChar w:fldCharType="end"/>
      </w:r>
    </w:p>
  </w:footnote>
  <w:footnote w:id="5">
    <w:p w14:paraId="4F90DB4A">
      <w:pPr>
        <w:pStyle w:val="11"/>
      </w:pPr>
      <w:r>
        <w:rPr>
          <w:rStyle w:val="10"/>
        </w:rPr>
        <w:footnoteRef/>
      </w:r>
      <w:r>
        <w:t xml:space="preserve"> </w:t>
      </w:r>
      <w:r>
        <w:fldChar w:fldCharType="begin" w:fldLock="1"/>
      </w:r>
      <w:r>
        <w:instrText xml:space="preserve">ADDIN CSL_CITATION {"citationItems":[{"id":"ITEM-1","itemData":{"author":[{"dropping-particle":"","family":"Putri, A., Zikri, H., &amp; Mustika","given":"D.","non-dropping-particle":"","parse-names":false,"suffix":""}],"container-title":"Tsaqofah: Jurnal Penelitian Guru Indonesia,","id":"ITEM-1","issue":"4","issued":{"date-parts":[["2024"]]},"page":"3052–3058.","title":"Pihak yang Berperan dalam Implementasi Pendidikan Inklusi. https://doi.org/10.58578/tsaqofah.v4i4.3147","type":"article-journal","volume":"4"},"uris":["http://www.mendeley.com/documents/?uuid=38d3a174-7de5-478f-9772-ac3d8f8b9b16"]}],"mendeley":{"formattedCitation":"D. Putri, A., Zikri, H., &amp; Mustika, “Pihak Yang Berperan Dalam Implementasi Pendidikan Inklusi. Https://Doi.Org/10.58578/Tsaqofah.V4i4.3147,” &lt;i&gt;Tsaqofah: Jurnal Penelitian Guru Indonesia,&lt;/i&gt; 4, no. 4 (2024): 3052–3058.","plainTextFormattedCitation":"D. Putri, A., Zikri, H., &amp; Mustika, “Pihak Yang Berperan Dalam Implementasi Pendidikan Inklusi. Https://Doi.Org/10.58578/Tsaqofah.V4i4.3147,” Tsaqofah: Jurnal Penelitian Guru Indonesia, 4, no. 4 (2024): 3052–3058.","previouslyFormattedCitation":"D. Putri, A., Zikri, H., &amp; Mustika, “Pihak Yang Berperan Dalam Implementasi Pendidikan Inklusi. Https://Doi.Org/10.58578/Tsaqofah.V4i4.3147,” &lt;i&gt;Tsaqofah: Jurnal Penelitian Guru Indonesia,&lt;/i&gt; 4, no. 4 (2024): 3052–3058."},"properties":{"noteIndex":6},"schema":"https://github.com/citation-style-language/schema/raw/master/csl-citation.json"}</w:instrText>
      </w:r>
      <w:r>
        <w:fldChar w:fldCharType="separate"/>
      </w:r>
      <w:r>
        <w:t xml:space="preserve">D. Putri, A., Zikri, H., &amp; Mustika, “Pihak Yang Berperan Dalam Implementasi Pendidikan Inklusi. Https://Doi.Org/10.58578/Tsaqofah.V4i4.3147,” </w:t>
      </w:r>
      <w:r>
        <w:rPr>
          <w:i/>
        </w:rPr>
        <w:t>Tsaqofah: Jurnal Penelitian Guru Indonesia,</w:t>
      </w:r>
      <w:r>
        <w:t xml:space="preserve"> 4, no. 4 (2024): 3052–3058.</w:t>
      </w:r>
      <w:r>
        <w:fldChar w:fldCharType="end"/>
      </w:r>
    </w:p>
  </w:footnote>
  <w:footnote w:id="6">
    <w:p w14:paraId="62349494">
      <w:pPr>
        <w:pStyle w:val="11"/>
      </w:pPr>
      <w:r>
        <w:rPr>
          <w:rStyle w:val="10"/>
        </w:rPr>
        <w:footnoteRef/>
      </w:r>
      <w:r>
        <w:t xml:space="preserve"> </w:t>
      </w:r>
      <w:r>
        <w:fldChar w:fldCharType="begin" w:fldLock="1"/>
      </w:r>
      <w:r>
        <w:instrText xml:space="preserve">ADDIN CSL_CITATION {"citationItems":[{"id":"ITEM-1","itemData":{"author":[{"dropping-particle":"","family":"Rahmawati, A., Muthohar, S., &amp; Elnurianda","given":"F.","non-dropping-particle":"","parse-names":false,"suffix":""}],"container-title":"Jurnal Pendidikan Agama Islam,","id":"ITEM-1","issue":"1","issued":{"date-parts":[["2021"]]},"page":"102–121.","title":"Developing the Islamic Religious Education Curriculum in Inclusive Schools or Madrasah and Its Implementation: A Systematic Literature Review. https://doi.org/10.14421/jpai.v21i1.6907","type":"article-journal","volume":"21"},"uris":["http://www.mendeley.com/documents/?uuid=6e889e35-2f53-42b3-8d10-048a042de6e6"]}],"mendeley":{"formattedCitation":"F. Rahmawati, A., Muthohar, S., &amp; Elnurianda, “Developing the Islamic Religious Education Curriculum in Inclusive Schools or Madrasah and Its Implementation: A Systematic Literature Review. Https://Doi.Org/10.14421/Jpai.V21i1.6907,” &lt;i&gt;Jurnal Pendidikan Agama Islam,&lt;/i&gt; 21, no. 1 (2021): 102–121.","plainTextFormattedCitation":"F. Rahmawati, A., Muthohar, S., &amp; Elnurianda, “Developing the Islamic Religious Education Curriculum in Inclusive Schools or Madrasah and Its Implementation: A Systematic Literature Review. Https://Doi.Org/10.14421/Jpai.V21i1.6907,” Jurnal Pendidikan Agama Islam, 21, no. 1 (2021): 102–121.","previouslyFormattedCitation":"F. Rahmawati, A., Muthohar, S., &amp; Elnurianda, “Developing the Islamic Religious Education Curriculum in Inclusive Schools or Madrasah and Its Implementation: A Systematic Literature Review. Https://Doi.Org/10.14421/Jpai.V21i1.6907,” &lt;i&gt;Jurnal Pendidikan Agama Islam,&lt;/i&gt; 21, no. 1 (2021): 102–121."},"properties":{"noteIndex":7},"schema":"https://github.com/citation-style-language/schema/raw/master/csl-citation.json"}</w:instrText>
      </w:r>
      <w:r>
        <w:fldChar w:fldCharType="separate"/>
      </w:r>
      <w:r>
        <w:t xml:space="preserve">F. Rahmawati, A., Muthohar, S., &amp; Elnurianda, “Developing the Islamic Religious Education Curriculum in Inclusive Schools or Madrasah and Its Implementation: A Systematic Literature Review. Https://Doi.Org/10.14421/Jpai.V21i1.6907,” </w:t>
      </w:r>
      <w:r>
        <w:rPr>
          <w:i/>
        </w:rPr>
        <w:t>Jurnal Pendidikan Agama Islam,</w:t>
      </w:r>
      <w:r>
        <w:t xml:space="preserve"> 21, no. 1 (2021): 102–121.</w:t>
      </w:r>
      <w:r>
        <w:fldChar w:fldCharType="end"/>
      </w:r>
    </w:p>
  </w:footnote>
  <w:footnote w:id="7">
    <w:p w14:paraId="786D559A">
      <w:pPr>
        <w:pStyle w:val="11"/>
      </w:pPr>
      <w:r>
        <w:rPr>
          <w:rStyle w:val="10"/>
        </w:rPr>
        <w:footnoteRef/>
      </w:r>
      <w:r>
        <w:t xml:space="preserve"> </w:t>
      </w:r>
      <w:r>
        <w:fldChar w:fldCharType="begin" w:fldLock="1"/>
      </w:r>
      <w:r>
        <w:instrText xml:space="preserve">ADDIN CSL_CITATION {"citationItems":[{"id":"ITEM-1","itemData":{"author":[{"dropping-particle":"","family":"Farrell, P., Ainscow, M., &amp; Howes","given":"A.","non-dropping-particle":"","parse-names":false,"suffix":""}],"container-title":"International Journal of Inclusive Education, 23(7),","id":"ITEM-1","issue":"7","issued":{"date-parts":[["2019"]]},"page":"711–725.","title":"Contributing Factors to the Progress of Inclusive Education Implementation in Indonesia. https://doi.org/10.1080/13603116.2019.1576790","type":"article-journal","volume":"23"},"uris":["http://www.mendeley.com/documents/?uuid=3536377a-25b6-440b-8c31-99f87488f3cf"]}],"mendeley":{"formattedCitation":"A. Farrell, P., Ainscow, M., &amp; Howes, “Contributing Factors to the Progress of Inclusive Education Implementation in Indonesia. Https://Doi.Org/10.1080/13603116.2019.1576790,” &lt;i&gt;International Journal of Inclusive Education, 23(7),&lt;/i&gt; 23, no. 7 (2019): 711–725.","plainTextFormattedCitation":"A. Farrell, P., Ainscow, M., &amp; Howes, “Contributing Factors to the Progress of Inclusive Education Implementation in Indonesia. Https://Doi.Org/10.1080/13603116.2019.1576790,” International Journal of Inclusive Education, 23(7), 23, no. 7 (2019): 711–725.","previouslyFormattedCitation":"A. Farrell, P., Ainscow, M., &amp; Howes, “Contributing Factors to the Progress of Inclusive Education Implementation in Indonesia. Https://Doi.Org/10.1080/13603116.2019.1576790,” &lt;i&gt;International Journal of Inclusive Education, 23(7),&lt;/i&gt; 23, no. 7 (2019): 711–725."},"properties":{"noteIndex":8},"schema":"https://github.com/citation-style-language/schema/raw/master/csl-citation.json"}</w:instrText>
      </w:r>
      <w:r>
        <w:fldChar w:fldCharType="separate"/>
      </w:r>
      <w:r>
        <w:t xml:space="preserve">A. Farrell, P., Ainscow, M., &amp; Howes, “Contributing Factors to the Progress of Inclusive Education Implementation in Indonesia. Https://Doi.Org/10.1080/13603116.2019.1576790,” </w:t>
      </w:r>
      <w:r>
        <w:rPr>
          <w:i/>
        </w:rPr>
        <w:t>International Journal of Inclusive Education, 23(7),</w:t>
      </w:r>
      <w:r>
        <w:t xml:space="preserve"> 23, no. 7 (2019): 711–725.</w:t>
      </w:r>
      <w:r>
        <w:fldChar w:fldCharType="end"/>
      </w:r>
    </w:p>
  </w:footnote>
  <w:footnote w:id="8">
    <w:p w14:paraId="6BD69B8A">
      <w:pPr>
        <w:pStyle w:val="11"/>
      </w:pPr>
      <w:r>
        <w:rPr>
          <w:rStyle w:val="10"/>
        </w:rPr>
        <w:footnoteRef/>
      </w:r>
      <w:r>
        <w:t xml:space="preserve"> </w:t>
      </w:r>
      <w:r>
        <w:fldChar w:fldCharType="begin" w:fldLock="1"/>
      </w:r>
      <w:r>
        <w:instrText xml:space="preserve">ADDIN CSL_CITATION {"citationItems":[{"id":"ITEM-1","itemData":{"author":[{"dropping-particle":"","family":"Anderson, C., Boyle, C., &amp; Deppeler","given":"J.","non-dropping-particle":"","parse-names":false,"suffix":""}],"container-title":"International Journal of Inclusive Education,","id":"ITEM-1","issue":"5","issued":{"date-parts":[["2021"]]},"page":"489–503.","title":"The challenges of inclusion: Examining the role of teacher support in inclusive classrooms. https://doi.org/10.1080/13603116.2019.1580921","type":"article-journal","volume":"25"},"uris":["http://www.mendeley.com/documents/?uuid=b5d54ef7-bf93-4b29-bde4-fc8743edd4f8"]}],"mendeley":{"formattedCitation":"Anderson, C., Boyle, C., &amp; Deppeler, “The Challenges of Inclusion: Examining the Role of Teacher Support in Inclusive Classrooms. Https://Doi.Org/10.1080/13603116.2019.1580921.”","plainTextFormattedCitation":"Anderson, C., Boyle, C., &amp; Deppeler, “The Challenges of Inclusion: Examining the Role of Teacher Support in Inclusive Classrooms. Https://Doi.Org/10.1080/13603116.2019.1580921.”","previouslyFormattedCitation":"Anderson, C., Boyle, C., &amp; Deppeler, “The Challenges of Inclusion: Examining the Role of Teacher Support in Inclusive Classrooms. Https://Doi.Org/10.1080/13603116.2019.1580921.”"},"properties":{"noteIndex":9},"schema":"https://github.com/citation-style-language/schema/raw/master/csl-citation.json"}</w:instrText>
      </w:r>
      <w:r>
        <w:fldChar w:fldCharType="separate"/>
      </w:r>
      <w:r>
        <w:t>Anderson, C., Boyle, C., &amp; Deppeler, “The Challenges of Inclusion: Examining the Role of Teacher Support in Inclusive Classrooms. Https://Doi.Org/10.1080/13603116.2019.1580921.”</w:t>
      </w:r>
      <w:r>
        <w:fldChar w:fldCharType="end"/>
      </w:r>
    </w:p>
  </w:footnote>
  <w:footnote w:id="9">
    <w:p w14:paraId="4D72832D">
      <w:pPr>
        <w:pStyle w:val="11"/>
      </w:pPr>
      <w:r>
        <w:rPr>
          <w:rStyle w:val="10"/>
        </w:rPr>
        <w:footnoteRef/>
      </w:r>
      <w:r>
        <w:t xml:space="preserve"> </w:t>
      </w:r>
      <w:r>
        <w:fldChar w:fldCharType="begin" w:fldLock="1"/>
      </w:r>
      <w:r>
        <w:instrText xml:space="preserve">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T. J. McLeskey, J., Maheady, L., Billingsley, B., Brownell, M. T., &amp; Lewis, “Https://Doi.Org/10.4324/9781003148609,” in &lt;i&gt;High-Leverage Practices for Inclusive Classrooms (2nd Ed.). Routledge.Https://Doi.Org/10.4324/9781003148609&lt;/i&gt;, 2022.","plainTextFormattedCitation":"T. J. McLeskey, J., Maheady, L., Billingsley, B., Brownell, M. T., &amp; Lewis, “Https://Doi.Org/10.4324/9781003148609,” in High-Leverage Practices for Inclusive Classrooms (2nd Ed.). Routledge.Https://Doi.Org/10.4324/9781003148609, 2022.","previouslyFormattedCitation":"T. J. McLeskey, J., Maheady, L., Billingsley, B., Brownell, M. T., &amp; Lewis, “Https://Doi.Org/10.4324/9781003148609,” in &lt;i&gt;High-Leverage Practices for Inclusive Classrooms (2nd Ed.). Routledge.Https://Doi.Org/10.4324/9781003148609&lt;/i&gt;, 2022."},"properties":{"noteIndex":10},"schema":"https://github.com/citation-style-language/schema/raw/master/csl-citation.json"}</w:instrText>
      </w:r>
      <w:r>
        <w:fldChar w:fldCharType="separate"/>
      </w:r>
      <w:r>
        <w:t xml:space="preserve">T. J. McLeskey, J., Maheady, L., Billingsley, B., Brownell, M. T., &amp; Lewis, “Https://Doi.Org/10.4324/9781003148609,” in </w:t>
      </w:r>
      <w:r>
        <w:rPr>
          <w:i/>
        </w:rPr>
        <w:t>High-Leverage Practices for Inclusive Classrooms (2nd Ed.). Routledge.Https://Doi.Org/10.4324/9781003148609</w:t>
      </w:r>
      <w:r>
        <w:t>, 2022.</w:t>
      </w:r>
      <w:r>
        <w:fldChar w:fldCharType="end"/>
      </w:r>
    </w:p>
  </w:footnote>
  <w:footnote w:id="10">
    <w:p w14:paraId="567A4464">
      <w:pPr>
        <w:pStyle w:val="11"/>
        <w:jc w:val="both"/>
      </w:pPr>
      <w:r>
        <w:rPr>
          <w:rStyle w:val="10"/>
        </w:rPr>
        <w:footnoteRef/>
      </w:r>
      <w:r>
        <w:t xml:space="preserve"> </w:t>
      </w:r>
      <w:r>
        <w:fldChar w:fldCharType="begin" w:fldLock="1"/>
      </w:r>
      <w:r>
        <w:instrText xml:space="preserve">ADDIN CSL_CITATION {"citationItems":[{"id":"ITEM-1","itemData":{"ISBN":"0243331940","ISSN":"23322039","PMID":"30499086","abstract":"Never read too much into the results of one experiment. © 2007 Reed Business Information Ltd, England.","author":[{"dropping-particle":"","family":"E","given":"Itemized","non-dropping-particle":"","parse-names":false,"suffix":""},{"dropping-particle":"","family":"Travel","given":"O F","non-dropping-particle":"","parse-names":false,"suffix":""},{"dropping-particle":"","family":"Expenses","given":"Other","non-dropping-particle":"","parse-names":false,"suffix":""},{"dropping-particle":"","family":"Hancock","given":"Adam David","non-dropping-particle":"","parse-names":false,"suffix":""},{"dropping-particle":"","family":"Formation","given":"Asco Formation","non-dropping-particle":"","parse-names":false,"suffix":""},{"dropping-particle":"","family":"Armstrong","given":"Neil","non-dropping-particle":"","parse-names":false,"suffix":""},{"dropping-particle":"","family":"Le","given":"Faux","non-dropping-particle":"","parse-names":false,"suffix":""},{"dropping-particle":"","family":"Faso","given":"Burkina","non-dropping-particle":"","parse-names":false,"suffix":""},{"dropping-particle":"","family":"Le","given":"Faux","non-dropping-particle":"","parse-names":false,"suffix":""},{"dropping-particle":"","family":"On","given":"Faux","non-dropping-particle":"","parse-names":false,"suffix":""},{"dropping-particle":"","family":"Le","given":"Loroum Libiche Louis Pauwels Londres","non-dropping-particle":"","parse-names":false,"suffix":""},{"dropping-particle":"","family":"Kone","given":"Issaka","non-dropping-particle":"","parse-names":false,"suffix":""},{"dropping-particle":"","family":"Ou","given":"Idrissa","non-dropping-particle":"","parse-names":false,"suffix":""},{"dropping-particle":"","family":"Laquelle","given":"Indice","non-dropping-particle":"","parse-names":false,"suffix":""},{"dropping-particle":"","family":"Quelle","given":"Tothologie","non-dropping-particle":"","parse-names":false,"suffix":""},{"dropping-particle":"","family":"Scheme","given":"New Grading","non-dropping-particle":"","parse-names":false,"suffix":""},{"dropping-particle":"","family":"Pizer","given":"William A.","non-dropping-particle":"","parse-names":false,"suffix":""},{"dropping-particle":"","family":"Weintraub","given":"Sidney","non-dropping-particle":"","parse-names":false,"suffix":""},{"dropping-particle":"","family":"Formation","given":"Asco Formation","non-dropping-particle":"","parse-names":false,"suffix":""},{"dropping-particle":"","family":"On","given":"Faux","non-dropping-particle":"","parse-names":false,"suffix":""},{"dropping-particle":"","family":"Bolt","given":"Usain","non-dropping-particle":"","parse-names":false,"suffix":""},{"dropping-particle":"","family":"Les","given":"Faux","non-dropping-particle":"","parse-names":false,"suffix":""},{"dropping-particle":"","family":"La","given":"Faux","non-dropping-particle":"","parse-names":false,"suffix":""},{"dropping-particle":"","family":"Pour","given":"Faux","non-dropping-particle":"","parse-names":false,"suffix":""},{"dropping-particle":"","family":"Par","given":"Faux","non-dropping-particle":"","parse-names":false,"suffix":""},{"dropping-particle":"","family":"Adotevi","given":"Stanilas","non-dropping-particle":"","parse-names":false,"suffix":""},{"dropping-particle":"","family":"Lors","given":"Cesaire","non-dropping-particle":"","parse-names":false,"suffix":""},{"dropping-particle":"","family":"Clemenceau","given":"Georges","non-dropping-particle":"","parse-names":false,"suffix":""},{"dropping-particle":"","family":"Le","given":"Loroum Libiche Louis Pauwels Londres","non-dropping-particle":"","parse-names":false,"suffix":""},{"dropping-particle":"","family":"Verne","given":"Jules","non-dropping-particle":"","parse-names":false,"suffix":""},{"dropping-particle":"","family":"Verne","given":"Jules","non-dropping-particle":"","parse-names":false,"suffix":""},{"dropping-particle":"","family":"Multiples","given":"Choix","non-dropping-particle":"","parse-names":false,"suffix":""},{"dropping-particle":"","family":"Publique","given":"Fonction","non-dropping-particle":"","parse-names":false,"suffix":""},{"dropping-particle":"","family":"Sociale","given":"Protection","non-dropping-particle":"","parse-names":false,"suffix":""},{"dropping-particle":"","family":"Internet","given":"","non-dropping-particle":"","parse-names":false,"suffix":""},{"dropping-particle":"","family":"Formation","given":"Asco Formation","non-dropping-particle":"","parse-names":false,"suffix":""},{"dropping-particle":"","family":"Cheriaa","given":"Tahar","non-dropping-particle":"","parse-names":false,"suffix":""},{"dropping-particle":"","family":"Faso","given":"Burkina","non-dropping-particle":"","parse-names":false,"suffix":""},{"dropping-particle":"","family":"Mont","given":"Gaby","non-dropping-particle":"","parse-names":false,"suffix":""},{"dropping-particle":"","family":"Ali","given":"Rose","non-dropping-particle":"","parse-names":false,"suffix":""},{"dropping-particle":"","family":"Zerbo","given":"Ki","non-dropping-particle":"","parse-names":false,"suffix":""},{"dropping-particle":"","family":"La","given":"Faux","non-dropping-particle":"","parse-names":false,"suffix":""},{"dropping-particle":"","family":"Faso","given":"Burkina","non-dropping-particle":"","parse-names":false,"suffix":""},{"dropping-particle":"","family":"Dakoure","given":"Haridiata","non-dropping-particle":"","parse-names":false,"suffix":""},{"dropping-particle":"","family":"Kabre","given":"Edouard","non-dropping-particle":"","parse-names":false,"suffix":""},{"dropping-particle":"","family":"Dans","given":"Nazi Boni","non-dropping-particle":"","parse-names":false,"suffix":""},{"dropping-particle":"","family":"Mongo","given":"Faux","non-dropping-particle":"","parse-names":false,"suffix":""},{"dropping-particle":"","family":"Day","given":"May","non-dropping-particle":"","parse-names":false,"suffix":""},{"dropping-particle":"","family":"Monday","given":"Easter","non-dropping-particle":"","parse-names":false,"suffix":""},{"dropping-particle":"","family":"Romer","given":"David","non-dropping-particle":"","parse-names":false,"suffix":""},{"dropping-particle":"","family":"Formation","given":"Asco Formation","non-dropping-particle":"","parse-names":false,"suffix":""},{"dropping-particle":"","family":"Mabanckou","given":"Alain","non-dropping-particle":"","parse-names":false,"suffix":""},{"dropping-particle":"","family":"Renaudot","given":"Prix","non-dropping-particle":"","parse-names":false,"suffix":""},{"dropping-particle":"","family":"Cass","given":"Verre","non-dropping-particle":"","parse-names":false,"suffix":""},{"dropping-particle":"","family":"Beyala","given":"Ecrivaine Calixte","non-dropping-particle":"","parse-names":false,"suffix":""},{"dropping-particle":"","family":"Comment","given":"Faux","non-dropping-particle":"","parse-names":false,"suffix":""},{"dropping-particle":"","family":"Bergerac","given":"Cyano","non-dropping-particle":"","parse-names":false,"suffix":""},{"dropping-particle":"","family":"Camus","given":"Abert Albert","non-dropping-particle":"","parse-names":false,"suffix":""},{"dropping-particle":"","family":"Rostand","given":"Edmond","non-dropping-particle":"","parse-names":false,"suffix":""},{"dropping-particle":"","family":"Qui","given":"Hector Malot","non-dropping-particle":"","parse-names":false,"suffix":""},{"dropping-particle":"","family":"Dumas","given":"Alexandre","non-dropping-particle":"","parse-names":false,"suffix":""},{"dropping-particle":"","family":"Rostand","given":"Edmond","non-dropping-particle":"","parse-names":false,"suffix":""},{"dropping-particle":"","family":"Celne","given":"Louis Ferdinand","non-dropping-particle":"","parse-names":false,"suffix":""},{"dropping-particle":"","family":"Corneille","given":"Pierre Pierrre","non-dropping-particle":"","parse-names":false,"suffix":""},{"dropping-particle":"","family":"Ils","given":"Faux","non-dropping-particle":"","parse-names":false,"suffix":""},{"dropping-particle":"","family":"Parmi","given":"Ai","non-dropping-particle":"","parse-names":false,"suffix":""},{"dropping-particle":"","family":"Parmi","given":"Rester","non-dropping-particle":"","parse-names":false,"suffix":""},{"dropping-particle":"","family":"Quel","given":"La Chine Louis Pasteur","non-dropping-particle":"","parse-names":false,"suffix":""},{"dropping-particle":"","family":"Domingue","given":"Saint","non-dropping-particle":"","parse-names":false,"suffix":""},{"dropping-particle":"","family":"Hamp","given":"Amadou","non-dropping-particle":"","parse-names":false,"suffix":""},{"dropping-particle":"","family":"Qui","given":"Nazi Boni","non-dropping-particle":"","parse-names":false,"suffix":""},{"dropping-particle":"","family":"Hien","given":"Ansomwin Ignace","non-dropping-particle":"","parse-names":false,"suffix":""},{"dropping-particle":"","family":"Градик","given":"Тетяна","non-dropping-particle":"","parse-names":false,"suffix":""},{"dropping-particle":"","family":"Циснецька","given":"Аліна","non-dropping-particle":"","parse-names":false,"suffix":""},{"dropping-particle":"","family":"Formation","given":"Asco Formation","non-dropping-particle":"","parse-names":false,"suffix":""},{"dropping-particle":"","family":"Ou","given":"Philipe","non-dropping-particle":"","parse-names":false,"suffix":""},{"dropping-particle":"","family":"Loada","given":"Augustin","non-dropping-particle":"","parse-names":false,"suffix":""},{"dropping-particle":"","family":"Sankara","given":"Me Stanilas","non-dropping-particle":"","parse-names":false,"suffix":""},{"dropping-particle":"","family":"En","given":"France","non-dropping-particle":"","parse-names":false,"suffix":""},{"dropping-particle":"","family":"Freud","given":"Sigmund","non-dropping-particle":"","parse-names":false,"suffix":""},{"dropping-particle":"","family":"Bettrlheim","given":"Bruno","non-dropping-particle":"","parse-names":false,"suffix":""},{"dropping-particle":"","family":"Lincoln","given":"Abraham","non-dropping-particle":"","parse-names":false,"suffix":""},{"dropping-particle":"","family":"Le","given":"Doto","non-dropping-particle":"","parse-names":false,"suffix":""},{"dropping-particle":"","family":"Retour","given":"Le","non-dropping-particle":"","parse-names":false,"suffix":""},{"dropping-particle":"","family":"Rousseau","given":"Jean-jacques Jacques","non-dropping-particle":"","parse-names":false,"suffix":""},{"dropping-particle":"","family":"Choisissez","given":"Martinet","non-dropping-particle":"","parse-names":false,"suffix":""},{"dropping-particle":"","family":"Fontaine","given":"La","non-dropping-particle":"","parse-names":false,"suffix":""},{"dropping-particle":"","family":"Pasteur","given":"Louis","non-dropping-particle":"","parse-names":false,"suffix":""},{"dropping-particle":"","family":"Curie","given":"Marie","non-dropping-particle":"","parse-names":false,"suffix":""},{"dropping-particle":"","family":"Qui","given":"Pascal","non-dropping-particle":"","parse-names":false,"suffix":""},{"dropping-particle":"","family":"Dadi","given":"Bernad B","non-dropping-particle":"","parse-names":false,"suffix":""},{"dropping-particle":"","family":"Cond","given":"Maryse","non-dropping-particle":"","parse-names":false,"suffix":""},{"dropping-particle":"","family":"Oyono","given":"Ferdinand","non-dropping-particle":"","parse-names":false,"suffix":""},{"dropping-particle":"","family":"Semb","given":"Ousmane","non-dropping-particle":"","parse-names":false,"suffix":""},{"dropping-particle":"","family":"Wendbenedo","given":"Emmanuel","non-dropping-particle":"","parse-names":false,"suffix":""},{"dropping-particle":"","family":"Zida","given":"Rachid","non-dropping-particle":"","parse-names":false,"suffix":""},{"dropping-particle":"","family":"Formation","given":"Asco Formation","non-dropping-particle":"","parse-names":false,"suffix":""},{"dropping-particle":"","family":"Kant","given":"Emmanuel","non-dropping-particle":"","parse-names":false,"suffix":""},{"dropping-particle":"","family":"Kant","given":"Emmanuel","non-dropping-particle":"","parse-names":false,"suffix":""},{"dropping-particle":"","family":"Organisation","given":"Aristote","non-dropping-particle":"","parse-names":false,"suffix":""},{"dropping-particle":"","family":"Organisation","given":"I N G","non-dropping-particle":"","parse-names":false,"suffix":""},{"dropping-particle":"","family":"Quel","given":"O N U","non-dropping-particle":"","parse-names":false,"suffix":""},{"dropping-particle":"","family":"Marshall","given":"Rapport","non-dropping-particle":"","parse-names":false,"suffix":""},{"dropping-particle":"","family":"Jdanov","given":"Rapport","non-dropping-particle":"","parse-names":false,"suffix":""},{"dropping-particle":"","family":"Truman","given":"Rapport","non-dropping-particle":"","parse-names":false,"suffix":""},{"dropping-particle":"","family":"Mot","given":"Rapport Eisenhower","non-dropping-particle":"","parse-names":false,"suffix":""},{"dropping-particle":"","family":"Attitude","given":"Langage","non-dropping-particle":"","parse-names":false,"suffix":""},{"dropping-particle":"","family":"Action","given":"Rationalisme","non-dropping-particle":"","parse-names":false,"suffix":""},{"dropping-particle":"","family":"Fgpa","given":"Calculation O F","non-dropping-particle":"","parse-names":false,"suffix":""},{"dropping-particle":"","family":"Formation","given":"Asco Formation","non-dropping-particle":"","parse-names":false,"suffix":""},{"dropping-particle":"","family":"Gogh","given":"Van","non-dropping-particle":"","parse-names":false,"suffix":""},{"dropping-particle":"","family":"Quel","given":"Autoportraire Africaine","non-dropping-particle":"","parse-names":false,"suffix":""},{"dropping-particle":"","family":"Faso","given":"Burkina","non-dropping-particle":"","parse-names":false,"suffix":""},{"dropping-particle":"","family":"Unies","given":"Nation","non-dropping-particle":"","parse-names":false,"suffix":""},{"dropping-particle":"","family":"Ama","given":"Phyllis","non-dropping-particle":"","parse-names":false,"suffix":""},{"dropping-particle":"","family":"Osei","given":"Tebuah","non-dropping-particle":"","parse-names":false,"suffix":""},{"dropping-particle":"","family":"Kinda","given":"Alizeta Kabore","non-dropping-particle":"","parse-names":false,"suffix":""},{"dropping-particle":"","family":"Malambo","given":"Doreen","non-dropping-particle":"","parse-names":false,"suffix":""},{"dropping-particle":"","family":"Faso","given":"Burkina","non-dropping-particle":"","parse-names":false,"suffix":""},{"dropping-particle":"","family":"Jaillon-riviere","given":"V","non-dropping-particle":"","parse-names":false,"suffix":""},{"dropping-particle":"","family":"Year","given":"Academic","non-dropping-particle":"","parse-names":false,"suffix":""},{"dropping-particle":"","family":"Bayt","given":"Al","non-dropping-particle":"","parse-names":false,"suffix":""},{"dropping-particle":"","family":"Schmalensee","given":"Richard","non-dropping-particle":"","parse-names":false,"suffix":""},{"dropping-particle":"","family":"Stavins","given":"Robert N.","non-dropping-particle":"","parse-names":false,"suffix":""},{"dropping-particle":"V.","family":"Chari","given":"V.","non-dropping-particle":"","parse-names":false,"suffix":""},{"dropping-particle":"","family":"Kehoe","given":"Patrick J.","non-dropping-particle":"","parse-names":false,"suffix":""},{"dropping-particle":"","family":"Moorehead","given":"Caroline","non-dropping-particle":"","parse-names":false,"suffix":""},{"dropping-particle":"","family":"Politiques Agricoles","given":"Analyse","non-dropping-particle":"des","parse-names":false,"suffix":""},{"dropping-particle":"","family":"- Fao","given":"Alimentaires","non-dropping-particle":"","parse-names":false,"suffix":""},{"dropping-particle":"","family":"Diancoumba","given":"Doulaye","non-dropping-particle":"","parse-names":false,"suffix":""},{"dropping-particle":"","family":"Pr","given":"Centre","non-dropping-particle":"","parse-names":false,"suffix":""},{"dropping-particle":"","family":"Naana","given":"Nafa","non-dropping-particle":"","parse-names":false,"suffix":""},{"dropping-particle":"","family":"Formation","given":"Asco Formation","non-dropping-particle":"","parse-names":false,"suffix":""},{"dropping-particle":"","family":"Clement","given":"Jean-baptiste","non-dropping-particle":"","parse-names":false,"suffix":""},{"dropping-particle":"","family":"Michel","given":"Louise","non-dropping-particle":"","parse-names":false,"suffix":""},{"dropping-particle":"","family":"Dans","given":"Paul Verlaine","non-dropping-particle":"","parse-names":false,"suffix":""},{"dropping-particle":"","family":"Dans","given":"Tunis","non-dropping-particle":"","parse-names":false,"suffix":""},{"dropping-particle":"","family":"Renoir","given":"Auguste","non-dropping-particle":"","parse-names":false,"suffix":""},{"dropping-particle":"","family":"Sky","given":"African","non-dropping-particle":"","parse-names":false,"suffix":""},{"dropping-particle":"","family":"Burkina","given":"Air","non-dropping-particle":"","parse-names":false,"suffix":""},{"dropping-particle":"","family":"Ivoire","given":"Air","non-dropping-particle":"","parse-names":false,"suffix":""},{"dropping-particle":"","family":"Poutine","given":"Vladimir","non-dropping-particle":"","parse-names":false,"suffix":""},{"dropping-particle":"","family":"Quelle","given":"Krouchtchev","non-dropping-particle":"","parse-names":false,"suffix":""},{"dropping-particle":"","family":"Einstein","given":"Nobel Albert","non-dropping-particle":"","parse-names":false,"suffix":""},{"dropping-particle":"","family":"En","given":"Medecine","non-dropping-particle":"","parse-names":false,"suffix":""},{"dropping-particle":"","family":"Agulhon","given":"Maurice","non-dropping-particle":"","parse-names":false,"suffix":""},{"dropping-particle":"Le","family":"Roy","given":"Emmanuel","non-dropping-particle":"","parse-names":false,"suffix":""},{"dropping-particle":"","family":"Le","given":"Loroum Libiche Louis Pauwels Londres","non-dropping-particle":"","parse-names":false,"suffix":""},{"dropping-particle":"","family":"Du","given":"Departement","non-dropping-particle":"","parse-names":false,"suffix":""},{"dropping-particle":"","family":"Humain","given":"Developpement","non-dropping-particle":"","parse-names":false,"suffix":""},{"dropping-particle":"","family":"Des","given":"E T","non-dropping-particle":"","parse-names":false,"suffix":""},{"dropping-particle":"","family":"Sociales","given":"Affaires","non-dropping-particle":"","parse-names":false,"suffix":""},{"dropping-particle":"","family":"Education","given":"Direction","non-dropping-particle":"","parse-names":false,"suffix":""},{"dropping-particle":"","family":"Culture","given":"Science E T","non-dropping-particle":"","parse-names":false,"suffix":""},{"dropping-particle":"","family":"Lacrosse","given":"Joachim","non-dropping-particle":"","parse-names":false,"suffix":""},{"dropping-particle":"","family":"Hugo","given":"Victor","non-dropping-particle":"","parse-names":false,"suffix":""},{"dropping-particle":"","family":"Bado","given":"Laurent","non-dropping-particle":"","parse-names":false,"suffix":""},{"dropping-particle":"","family":"Kriesler","given":"Peter","non-dropping-particle":"","parse-names":false,"suffix":""},{"dropping-particle":"","family":"Nevile","given":"John","non-dropping-particle":"","parse-names":false,"suffix":""},{"dropping-particle":"","family":"Stroh","given":"Alexander","non-dropping-particle":"","parse-names":false,"suffix":""},{"dropping-particle":"Van Der","family":"Beek","given":"Karine","non-dropping-particle":"","parse-names":false,"suffix":""},{"dropping-particle":"","family":"Shurtz","given":"Ity","non-dropping-particle":"","parse-names":false,"suffix":""},{"dropping-particle":"","family":"Times","given":"Course Meeting","non-dropping-particle":"","parse-names":false,"suffix":""},{"dropping-particle":"","family":"Requirements","given":"Course","non-dropping-particle":"","parse-names":false,"suffix":""},{"dropping-particle":"","family":"Fontaine","given":"La","non-dropping-particle":"","parse-names":false,"suffix":""},{"dropping-particle":"","family":"Cobbinah","given":"Patrick Brandful","non-dropping-particle":"","parse-names":false,"suffix":""},{"dropping-particle":"","family":"Poku-Boansi","given":"Michael","non-dropping-particle":"","parse-names":false,"suffix":""},{"dropping-particle":"","family":"Peprah","given":"Charles","non-dropping-particle":"","parse-names":false,"suffix":""},{"dropping-particle":"","family":"McEvoy","given":"James","non-dropping-particle":"","parse-names":false,"suffix":""},{"dropping-particle":"","family":"Formation","given":"Asco Formation","non-dropping-particle":"","parse-names":false,"suffix":""},{"dropping-particle":"","family":"Faso","given":"Le Burkina","non-dropping-particle":"","parse-names":false,"suffix":""},{"dropping-particle":"","family":"Unknown","given":"","non-dropping-particle":"","parse-names":false,"suffix":""},{"dropping-particle":"","family":"Day","given":"May","non-dropping-particle":"","parse-names":false,"suffix":""},{"dropping-particle":"","family":"Monday","given":"Easter","non-dropping-particle":"","parse-names":false,"suffix":""},{"dropping-particle":"","family":"Formation","given":"Asco Formation","non-dropping-particle":"","parse-names":false,"suffix":""},{"dropping-particle":"","family":"Naismith","given":"James","non-dropping-particle":"","parse-names":false,"suffix":""},{"dropping-particle":"","family":"Cooper","given":"Martin","non-dropping-particle":"","parse-names":false,"suffix":""},{"dropping-particle":"","family":"Moreno","given":"Roland","non-dropping-particle":"","parse-names":false,"suffix":""},{"dropping-particle":"","family":"Qui","given":"Albert Camus Aristide Rougon Abou Ghraib","non-dropping-particle":"","parse-names":false,"suffix":""},{"dropping-particle":"","family":"Naismith","given":"James","non-dropping-particle":"","parse-names":false,"suffix":""},{"dropping-particle":"","family":"Qui","given":"Roland Moreno","non-dropping-particle":"","parse-names":false,"suffix":""},{"dropping-particle":"","family":"Graham","given":"Alexandre","non-dropping-particle":"","parse-names":false,"suffix":""},{"dropping-particle":"","family":"Martin","given":"Cooper","non-dropping-particle":"","parse-names":false,"suffix":""},{"dropping-particle":"","family":"Pour","given":"Philip Reis","non-dropping-particle":"","parse-names":false,"suffix":""},{"dropping-particle":"","family":"La","given":"Faux","non-dropping-particle":"","parse-names":false,"suffix":""},{"dropping-particle":"","family":"Zida","given":"Boubacar","non-dropping-particle":"","parse-names":false,"suffix":""},{"dropping-particle":"","family":"Naaba","given":"Sid","non-dropping-particle":"","parse-names":false,"suffix":""},{"dropping-particle":"","family":"Bado","given":"Laurent","non-dropping-particle":"","parse-names":false,"suffix":""},{"dropping-particle":"","family":"Les","given":"Quelle Queques","non-dropping-particle":"","parse-names":false,"suffix":""},{"dropping-particle":"","family":"Les","given":"Quelle Queques","non-dropping-particle":"","parse-names":false,"suffix":""},{"dropping-particle":"","family":"Kpi","given":"Which","non-dropping-particle":"","parse-names":false,"suffix":""},{"dropping-particle":"","family":"Sinek","given":"Simon","non-dropping-particle":"","parse-names":false,"suffix":""},{"dropping-particle":"","family":"Holistic","given":"The","non-dropping-particle":"","parse-names":false,"suffix":""},{"dropping-particle":"","family":"Du","given":"Departement","non-dropping-particle":"","parse-names":false,"suffix":""},{"dropping-particle":"","family":"Humain","given":"Developpement","non-dropping-particle":"","parse-names":false,"suffix":""},{"dropping-particle":"","family":"Des","given":"E T","non-dropping-particle":"","parse-names":false,"suffix":""},{"dropping-particle":"","family":"Sociales","given":"Affaires","non-dropping-particle":"","parse-names":false,"suffix":""},{"dropping-particle":"","family":"Education","given":"Direction","non-dropping-particle":"","parse-names":false,"suffix":""},{"dropping-particle":"","family":"Culture","given":"Science E T","non-dropping-particle":"","parse-names":false,"suffix":""},{"dropping-particle":"","family":"Stage","given":"Objectifs D U","non-dropping-particle":"","parse-names":false,"suffix":""},{"dropping-particle":"","family":"Attendus","given":"Resultats","non-dropping-particle":"","parse-names":false,"suffix":""},{"dropping-particle":"","family":"Crozet","given":"Pascal","non-dropping-particle":"","parse-names":false,"suffix":""},{"dropping-particle":"","family":"Moseley","given":"Alice","non-dropping-particle":"","parse-names":false,"suffix":""},{"dropping-particle":"","family":"Stoker","given":"Gerry","non-dropping-particle":"","parse-names":false,"suffix":""},{"dropping-particle":"","family":"Occidental","given":"Afrique","non-dropping-particle":"","parse-names":false,"suffix":""},{"dropping-particle":"","family":"Mifsud","given":"Sarah","non-dropping-particle":"","parse-names":false,"suffix":""},{"dropping-particle":"","family":"Castillo","given":"Joseph","non-dropping-particle":"","parse-names":false,"suffix":""},{"dropping-particle":"","family":"Formation","given":"Asco Formation","non-dropping-particle":"","parse-names":false,"suffix":""},{"dropping-particle":"","family":"Quel","given":"Faux","non-dropping-particle":"","parse-names":false,"suffix":""},{"dropping-particle":"","family":"Apollinaire","given":"Guillaume","non-dropping-particle":"","parse-names":false,"suffix":""},{"dropping-particle":"","family":"Boni","given":"Parnasse Nazi","non-dropping-particle":"","parse-names":false,"suffix":""},{"dropping-particle":"","family":"Qui","given":"Faux","non-dropping-particle":"","parse-names":false,"suffix":""},{"dropping-particle":"","family":"Diop","given":"David","non-dropping-particle":"","parse-names":false,"suffix":""},{"dropping-particle":"","family":"Chinualumogu","given":"Albert","non-dropping-particle":"","parse-names":false,"suffix":""},{"dropping-particle":"","family":"Quand","given":"Achebe","non-dropping-particle":"","parse-names":false,"suffix":""},{"dropping-particle":"","family":"Faso","given":"Burkina","non-dropping-particle":"","parse-names":false,"suffix":""},{"dropping-particle":"","family":"Sankara","given":"Thomas","non-dropping-particle":"","parse-names":false,"suffix":""},{"dropping-particle":"","family":"Ilboudo","given":"Patrick","non-dropping-particle":"","parse-names":false,"suffix":""},{"dropping-particle":"","family":"Bovary","given":"Madame","non-dropping-particle":"","parse-names":false,"suffix":""},{"dropping-particle":"","family":"Flaubert","given":"Gustave","non-dropping-particle":"","parse-names":false,"suffix":""},{"dropping-particle":"","family":"Qui","given":"Albert Camus Aristide Rougon Abou Ghraib","non-dropping-particle":"","parse-names":false,"suffix":""},{"dropping-particle":"","family":"Prince","given":"Le Petit","non-dropping-particle":"","parse-names":false,"suffix":""},{"dropping-particle":"","family":"Hugo","given":"Victor","non-dropping-particle":"","parse-names":false,"suffix":""},{"dropping-particle":"","family":"Exup","given":"Saint","non-dropping-particle":"","parse-names":false,"suffix":""},{"dropping-particle":"","family":"Efobi","given":"Uchenna","non-dropping-particle":"","parse-names":false,"suffix":""},{"dropping-particle":"","family":"Belmondo","given":"Tanankem","non-dropping-particle":"","parse-names":false,"suffix":""},{"dropping-particle":"","family":"Orkoh","given":"Emmanuel","non-dropping-particle":"","parse-names":false,"suffix":""},{"dropping-particle":"","family":"Atata","given":"Scholastica Ngozi","non-dropping-particle":"","parse-names":false,"suffix":""},{"dropping-particle":"","family":"Akinyemi","given":"Opeyemi","non-dropping-particle":"","parse-names":false,"suffix":""},{"dropping-particle":"","family":"Beecroft","given":"Ibukun","non-dropping-particle":"","parse-names":false,"suffix":""},{"dropping-particle":"","family":"Anderson","given":"J. R.","non-dropping-particle":"","parse-names":false,"suffix":""},{"dropping-particle":"","family":"Feder","given":"G.","non-dropping-particle":"","parse-names":false,"suffix":""},{"dropping-particle":"","family":"Ruskin","given":"John","non-dropping-particle":"","parse-names":false,"suffix":""},{"dropping-particle":"","family":"Combes","given":"Jean-Louis","non-dropping-particle":"","parse-names":false,"suffix":""},{"dropping-particle":"","family":"Kinda","given":"Tidiane","non-dropping-particle":"","parse-names":false,"suffix":""},{"dropping-particle":"","family":"Plane","given":"Patrick","non-dropping-particle":"","parse-names":false,"suffix":""},{"dropping-particle":"","family":"LinkedIn Corporation","given":"","non-dropping-particle":"","parse-names":false,"suffix":""},{"dropping-particle":"","family":"Spoor","given":"Chris","non-dropping-particle":"","parse-names":false,"suffix":""},{"dropping-particle":"","family":"Wikipedia","given":"From","non-dropping-particle":"","parse-names":false,"suffix":""},{"dropping-particle":"","family":"Formation","given":"Asco Formation","non-dropping-particle":"","parse-names":false,"suffix":""},{"dropping-particle":"","family":"En","given":"Gambie","non-dropping-particle":"","parse-names":false,"suffix":""},{"dropping-particle":"","family":"Russie","given":"La","non-dropping-particle":"","parse-names":false,"suffix":""},{"dropping-particle":"","family":"France","given":"La","non-dropping-particle":"","parse-names":false,"suffix":""},{"dropping-particle":"","family":"Unis","given":"Etat","non-dropping-particle":"","parse-names":false,"suffix":""},{"dropping-particle":"","family":"Quel","given":"La Chine Louis Pasteur","non-dropping-particle":"","parse-names":false,"suffix":""},{"dropping-particle":"","family":"Unis","given":"Etat","non-dropping-particle":"","parse-names":false,"suffix":""},{"dropping-particle":"","family":"Parmi","given":"Camara Laye Chine","non-dropping-particle":"","parse-names":false,"suffix":""},{"dropping-particle":"","family":"Yoda","given":"Alain","non-dropping-particle":"","parse-names":false,"suffix":""},{"dropping-particle":"","family":"Sartre","given":"Vrai Jean-paul","non-dropping-particle":"","parse-names":false,"suffix":""},{"dropping-particle":"","family":"Nobel","given":"Prix","non-dropping-particle":"","parse-names":false,"suffix":""},{"dropping-particle":"","family":"Faso","given":"Le Burkina","non-dropping-particle":"","parse-names":false,"suffix":""},{"dropping-particle":"","family":"Le","given":"Vrai","non-dropping-particle":"","parse-names":false,"suffix":""},{"dropping-particle":"","family":"Faso","given":"Burkina","non-dropping-particle":"","parse-names":false,"suffix":""},{"dropping-particle":"","family":"Traore","given":"Herbert","non-dropping-particle":"","parse-names":false,"suffix":""},{"dropping-particle":"","family":"Boly","given":"Abdouramane","non-dropping-particle":"","parse-names":false,"suffix":""},{"dropping-particle":"","family":"Badini","given":"Boureima","non-dropping-particle":"","parse-names":false,"suffix":""},{"dropping-particle":"","family":"Pourquoi","given":"Marc Garango","non-dropping-particle":"","parse-names":false,"suffix":""},{"dropping-particle":"","family":"Nobel","given":"Alfred","non-dropping-particle":"","parse-names":false,"suffix":""},{"dropping-particle":"","family":"Formation","given":"Asco Formation","non-dropping-particle":"","parse-names":false,"suffix":""},{"dropping-particle":"","family":"Re","given":"Camus","non-dropping-particle":"","parse-names":false,"suffix":""},{"dropping-particle":"","family":"Quel","given":"Bonbon","non-dropping-particle":"","parse-names":false,"suffix":""},{"dropping-particle":"","family":"Gogh","given":"Van","non-dropping-particle":"","parse-names":false,"suffix":""},{"dropping-particle":"","family":"Quelle","given":"Iris","non-dropping-particle":"","parse-names":false,"suffix":""},{"dropping-particle":"","family":"Quelle","given":"Faux","non-dropping-particle":"","parse-names":false,"suffix":""},{"dropping-particle":"","family":"Bill","given":"Fondation","non-dropping-particle":"","parse-names":false,"suffix":""},{"dropping-particle":"","family":"Gates","given":"Melinda","non-dropping-particle":"","parse-names":false,"suffix":""},{"dropping-particle":"","family":"Formation","given":"Asco Formation","non-dropping-particle":"","parse-names":false,"suffix":""},{"dropping-particle":"","family":"Savadogo","given":"Youssouf","non-dropping-particle":"","parse-names":false,"suffix":""},{"dropping-particle":"","family":"Jackson","given":"Michael","non-dropping-particle":"","parse-names":false,"suffix":""},{"dropping-particle":"","family":"Faso","given":"Burkina","non-dropping-particle":"","parse-names":false,"suffix":""},{"dropping-particle":"","family":"Qu","given":"Vrai","non-dropping-particle":"","parse-names":false,"suffix":""},{"dropping-particle":"","family":"Les","given":"Faux","non-dropping-particle":"","parse-names":false,"suffix":""},{"dropping-particle":"","family":"Les","given":"Faux","non-dropping-particle":"","parse-names":false,"suffix":""},{"dropping-particle":"","family":"Apr","given":"Faux","non-dropping-particle":"","parse-names":false,"suffix":""},{"dropping-particle":"","family":"Le","given":"Faux","non-dropping-particle":"","parse-names":false,"suffix":""},{"dropping-particle":"","family":"Un","given":"Faux","non-dropping-particle":"","parse-names":false,"suffix":""},{"dropping-particle":"","family":"La","given":"Faux","non-dropping-particle":"","parse-names":false,"suffix":""},{"dropping-particle":"","family":"Sankara","given":"Thomas","non-dropping-particle":"","parse-names":false,"suffix":""},{"dropping-particle":"","family":"Mandela","given":"Nelson","non-dropping-particle":"","parse-names":false,"suffix":""},{"dropping-particle":"","family":"Zongo","given":"Norbert","non-dropping-particle":"","parse-names":false,"suffix":""},{"dropping-particle":"","family":"King","given":"Robert G","non-dropping-particle":"","parse-names":false,"suffix":""},{"dropping-particle":"","family":"Manuel Alcántara","given":"","non-dropping-particle":"","parse-names":false,"suffix":""},{"dropping-particle":"","family":"Mark C. Aldrich","given":"","non-dropping-particle":"","parse-names":false,"suffix":""},{"dropping-particle":"","family":"Formation","given":"Asco Formation","non-dropping-particle":"","parse-names":false,"suffix":""},{"dropping-particle":"","family":"Rousseau","given":"Jean-jacques Jacques","non-dropping-particle":"","parse-names":false,"suffix":""},{"dropping-particle":"","family":"Marx","given":"Vrai Karl","non-dropping-particle":"","parse-names":false,"suffix":""},{"dropping-particle":"","family":"Le","given":"Loroum Libiche Louis Pauwels Londres","non-dropping-particle":"","parse-names":false,"suffix":""},{"dropping-particle":"","family":"Jelinck","given":"Henriette","non-dropping-particle":"","parse-names":false,"suffix":""},{"dropping-particle":"","family":"University of Ghana","given":"School of Graduate Studies","non-dropping-particle":"","parse-names":false,"suffix":""},{"dropping-particle":"","family":"Justice","given":"Unité Progrès","non-dropping-particle":"","parse-names":false,"suffix":""},{"dropping-particle":"","family":"Bank","given":"Standard Chartered","non-dropping-particle":"","parse-names":false,"suffix":""},{"dropping-particle":"","family":"Bank","given":"Barclays","non-dropping-particle":"","parse-names":false,"suffix":""},{"dropping-particle":"","family":"Paediatric","given":"C O Y","non-dropping-particle":"","parse-names":false,"suffix":""},{"dropping-particle":"","family":"Atakora","given":"Williams K.","non-dropping-particle":"","parse-names":false,"suffix":""},{"dropping-particle":"","family":"Emmanuel","given":"Zida","non-dropping-particle":"","parse-names":false,"suffix":""},{"dropping-particle":"","family":"Rachid","given":"Wendbenedo","non-dropping-particle":"","parse-names":false,"suffix":""},{"dropping-particle":"","family":"Hanemann","given":"Michael","non-dropping-particle":"","parse-names":false,"suffix":""},{"dropping-particle":"","family":"Formation","given":"Asco Formation","non-dropping-particle":"","parse-names":false,"suffix":""},{"dropping-particle":"","family":"Civilisation","given":"Des","non-dropping-particle":"","parse-names":false,"suffix":""},{"dropping-particle":"","family":"Diop","given":"Cheikh Anta","non-dropping-particle":"","parse-names":false,"suffix":""},{"dropping-particle":"","family":"Parmi","given":"Camara Laye Chine","non-dropping-particle":"","parse-names":false,"suffix":""},{"dropping-particle":"","family":"Beyala","given":"Calixte","non-dropping-particle":"","parse-names":false,"suffix":""},{"dropping-particle":"","family":"Prix","given":"Grand","non-dropping-particle":"","parse-names":false,"suffix":""},{"dropping-particle":"","family":"Honneur","given":"Les","non-dropping-particle":"","parse-names":false,"suffix":""},{"dropping-particle":"","family":"Quel","given":"Autoportraire Africaine","non-dropping-particle":"","parse-names":false,"suffix":""},{"dropping-particle":"","family":"Zola","given":"Emile","non-dropping-particle":"","parse-names":false,"suffix":""},{"dropping-particle":"","family":"Coupeau","given":"Octave","non-dropping-particle":"","parse-names":false,"suffix":""},{"dropping-particle":"","family":"Lantier","given":"Etienne","non-dropping-particle":"","parse-names":false,"suffix":""},{"dropping-particle":"","family":"Qui","given":"Albert Camus Aristide Rougon Abou Ghraib","non-dropping-particle":"","parse-names":false,"suffix":""},{"dropping-particle":"","family":"Corneille","given":"Pierre Pierrre","non-dropping-particle":"","parse-names":false,"suffix":""},{"dropping-particle":"","family":"Malot","given":"Hector","non-dropping-particle":"","parse-names":false,"suffix":""},{"dropping-particle":"","family":"Dumas","given":"Alexandre","non-dropping-particle":"","parse-names":false,"suffix":""},{"dropping-particle":"","family":"Qui","given":"Edmond Rostand","non-dropping-particle":"","parse-names":false,"suffix":""},{"dropping-particle":"","family":"Yourcenar","given":"Marguerite","non-dropping-particle":"","parse-names":false,"suffix":""},{"dropping-particle":"","family":"Duras","given":"Marguerite","non-dropping-particle":"","parse-names":false,"suffix":""},{"dropping-particle":"","family":"Camus","given":"Abert Albert","non-dropping-particle":"","parse-names":false,"suffix":""},{"dropping-particle":"","family":"De","given":"Louis-ferdinand Celine","non-dropping-particle":"","parse-names":false,"suffix":""},{"dropping-particle":"","family":"Jatoe","given":"John Baptist D","non-dropping-particle":"","parse-names":false,"suffix":""},{"dropping-particle":"","family":"Bordo","given":"Michael D","non-dropping-particle":"","parse-names":false,"suffix":""},{"dropping-particle":"","family":"Schwartz","given":"Anna J","non-dropping-particle":"","parse-names":false,"suffix":""},{"dropping-particle":"","family":"Wooldridge","given":"Jeffrey M.","non-dropping-particle":"","parse-names":false,"suffix":""},{"dropping-particle":"","family":"Cameron","given":"","non-dropping-particle":"","parse-names":false,"suffix":""},{"dropping-particle":"","family":"Trivedi","given":"","non-dropping-particle":"","parse-names":false,"suffix":""},{"dropping-particle":"","family":"Anaman","given":"Kwabena Asomanin","non-dropping-particle":"","parse-names":false,"suffix":""},{"dropping-particle":"","family":"Adjei","given":"Kinsley Delanyo","non-dropping-particle":"","parse-names":false,"suffix":""},{"dropping-particle":"","family":"Onumah","given":"Edward Ebo","non-dropping-particle":"","parse-names":false,"suffix":""},{"dropping-particle":"","family":"Al-Hassan","given":"Ramatu Mahama","non-dropping-particle":"","parse-names":false,"suffix":""},{"dropping-particle":"","family":"Ocran","given":"Joseph","non-dropping-particle":"","parse-names":false,"suffix":""},{"dropping-particle":"","family":"Béné","given":"Christophe","non-dropping-particle":"","parse-names":false,"suffix":""},{"dropping-particle":"","family":"Chakuri","given":"Dominic","non-dropping-particle":"","parse-names":false,"suffix":""},{"dropping-particle":"","family":"Asem","given":"Freda Elikplim","non-dropping-particle":"","parse-names":false,"suffix":""},{"dropping-particle":"","family":"Ebo Onumah","given":"Edward","non-dropping-particle":"","parse-names":false,"suffix":""},{"dropping-particle":"","family":"Onumah","given":"Edward Ebo","non-dropping-particle":"","parse-names":false,"suffix":""},{"dropping-particle":"","family":"Joycelyn","given":"Martha","non-dropping-particle":"","parse-names":false,"suffix":""},{"dropping-particle":"","family":"Dogbey","given":"Makafui","non-dropping-particle":"","parse-names":false,"suffix":""},{"dropping-particle":"","family":"Elikplim","given":"Freda","non-dropping-particle":"","parse-names":false,"suffix":""},{"dropping-particle":"","family":"Onumah","given":"Justina Adwoa","non-dropping-particle":"","parse-names":false,"suffix":""},{"dropping-particle":"","family":"Al-Hassan","given":"Ramatu Mahama","non-dropping-particle":"","parse-names":false,"suffix":""},{"dropping-particle":"","family":"Onumah","given":"Edward Ebo","non-dropping-particle":"","parse-names":false,"suffix":""},{"dropping-particle":"","family":"Colander","given":"David","non-dropping-particle":"","parse-names":false,"suffix":""},{"dropping-particle":"De","family":"Vroey","given":"Michel","non-dropping-particle":"","parse-names":false,"suffix":""},{"dropping-particle":"","family":"Hoover","given":"Kevin D.","non-dropping-particle":"","parse-names":false,"suffix":""},{"dropping-particle":"","family":"Professionnelles","given":"Experiences","non-dropping-particle":"","parse-names":false,"suffix":""},{"dropping-particle":"","family":"Crystallography","given":"X-ray Diffraction","non-dropping-particle":"","parse-names":false,"suffix":""},{"dropping-particle":"","family":"Algerienne","given":"Republique","non-dropping-particle":"","parse-names":false,"suffix":""},{"dropping-particle":"","family":"Et","given":"Democratique","non-dropping-particle":"","parse-names":false,"suffix":""},{"dropping-particle":"","family":"Scientifique","given":"Recherche","non-dropping-particle":"","parse-names":false,"suffix":""},{"dropping-particle":"","family":"Des","given":"Faculte","non-dropping-particle":"","parse-names":false,"suffix":""},{"dropping-particle":"","family":"Etrangeres","given":"Langues","non-dropping-particle":"","parse-names":false,"suffix":""},{"dropping-particle":"","family":"Formation","given":"Asco Formation","non-dropping-particle":"","parse-names":false,"suffix":""},{"dropping-particle":"","family":"Un","given":"Newton","non-dropping-particle":"","parse-names":false,"suffix":""},{"dropping-particle":"","family":"Si","given":"Noire","non-dropping-particle":"","parse-names":false,"suffix":""},{"dropping-particle":"","family":"Une","given":"Faux","non-dropping-particle":"","parse-names":false,"suffix":""},{"dropping-particle":"","family":"Faso","given":"Le Burkina","non-dropping-particle":"","parse-names":false,"suffix":""},{"dropping-particle":"","family":"hidayat fahrul","given":"Dkk","non-dropping-particle":"","parse-names":false,"suffix":""},{"dropping-particle":"","family":"Zhang","given":"Ming","non-dropping-particle":"","parse-names":false,"suffix":""},{"dropping-particle":"","family":"Zhao","given":"Yingxue","non-dropping-particle":"","parse-names":false,"suffix":""},{"dropping-particle":"","family":"Shahbaz","given":"Muhammad","non-dropping-particle":"","parse-names":false,"suffix":""},{"dropping-particle":"","family":"Solarin","given":"Sakiru Adebola","non-dropping-particle":"","parse-names":false,"suffix":""},{"dropping-particle":"","family":"Ozturk","given":"Ilhan","non-dropping-particle":"","parse-names":false,"suffix":""},{"dropping-particle":"","family":"Tian","given":"Zhihua","non-dropping-particle":"","parse-names":false,"suffix":""},{"dropping-particle":"","family":"Tian","given":"Yanfang","non-dropping-particle":"","parse-names":false,"suffix":""},{"dropping-particle":"","family":"Chen","given":"Yang","non-dropping-particle":"","parse-names":false,"suffix":""},{"dropping-particle":"","family":"Shao","given":"Shuai","non-dropping-particle":"","parse-names":false,"suffix":""},{"dropping-particle":"","family":"Helwig","given":"Nathaniel E","non-dropping-particle":"","parse-names":false,"suffix":""},{"dropping-particle":"","family":"Hong","given":"Sungjin","non-dropping-particle":"","parse-names":false,"suffix":""},{"dropping-particle":"","family":"Hsiao-wecksler","given":"Elizabeth T","non-dropping-particle":"","parse-names":false,"suffix":""},{"dropping-particle":"","family":"Rice","given":"Maize","non-dropping-particle":"","parse-names":false,"suffix":""},{"dropping-particle":"","family":"Shepherd","given":"A","non-dropping-particle":"","parse-names":false,"suffix":""},{"dropping-particle":"","family":"Almwd Hafi","given":"","non-dropping-particle":"","parse-names":false,"suffix":""},{"dropping-particle":"","family":"Gearhart","given":"Amanda","non-dropping-particle":"","parse-names":false,"suffix":""},{"dropping-particle":"","family":"Booth","given":"D. Terrance","non-dropping-particle":"","parse-names":false,"suffix":""},{"dropping-particle":"","family":"Sedivec","given":"Kevin","non-dropping-particle":"","parse-names":false,"suffix":""},{"dropping-particle":"","family":"Schauer","given":"Christopher","non-dropping-particle":"","parse-names":false,"suffix":""},{"dropping-particle":"","family":"Bidzakin","given":"John K.","non-dropping-particle":"","parse-names":false,"suffix":""},{"dropping-particle":"","family":"Graves","given":"Anil","non-dropping-particle":"","parse-names":false,"suffix":""},{"dropping-particle":"","family":"Awunyo-Vitor","given":"Dadson","non-dropping-particle":"","parse-names":false,"suffix":""},{"dropping-particle":"","family":"Yeboah","given":"Osei","non-dropping-particle":"","parse-names":false,"suffix":""},{"dropping-particle":"","family":"Yahaya","given":"Iddrisu","non-dropping-particle":"","parse-names":false,"suffix":""},{"dropping-particle":"","family":"Wahaga","given":"Esther","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Addai","given":"Kwabena Nyarko","non-dropping-particle":"","parse-names":false,"suffix":""},{"dropping-particle":"","family":"Report","given":"Synthesis","non-dropping-particle":"","parse-names":false,"suffix":""},{"dropping-particle":"","family":"Danso-Abbeam","given":"Gideon","non-dropping-particle":"","parse-names":false,"suffix":""},{"dropping-particle":"","family":"Bosiako","given":"Joshua Antwi","non-dropping-particle":"","parse-names":false,"suffix":""},{"dropping-particle":"","family":"Ehiakpor","given":"Dennis Sedem","non-dropping-particle":"","parse-names":false,"suffix":""},{"dropping-particle":"","family":"Mabe","given":"Franklin Nantui","non-dropping-particle":"","parse-names":false,"suffix":""},{"dropping-particle":"","family":"MPOC","given":"","non-dropping-particle":"","parse-names":false,"suffix":""},{"dropping-particle":"","family":"lia dwi jayanti","given":"","non-dropping-particle":"","parse-names":false,"suffix":""},{"dropping-particle":"","family":"Brier","given":"Jennifer","non-dropping-particle":"","parse-names":false,"suffix":""},{"dropping-particle":"","family":"Котлер","given":"Филип","non-dropping-particle":"","parse-names":false,"suffix":""},{"dropping-particle":"","family":"Cardon","given":"Alain","non-dropping-particle":"","parse-names":false,"suffix":""},{"dropping-particle":"","family":"Obxlie","given":"Eric Mantey","non-dropping-particle":"","parse-names":false,"suffix":""},{"dropping-particle":"","family":"Science","given":"Food","non-dropping-particle":"","parse-names":false,"suffix":""},{"dropping-particle":"","family":"Robinson","given":"Elizabeth J Z","non-dropping-particle":"","parse-names":false,"suffix":""},{"dropping-particle":"","family":"Kolavalli","given":"Shashi L","non-dropping-particle":"","parse-names":false,"suffix":""},{"dropping-particle":"","family":"Abdel-latif","given":"Hany","non-dropping-particle":"","parse-names":false,"suffix":""},{"dropping-particle":"","family":"Boullouz","given":"Mohamed","non-dropping-particle":"","parse-names":false,"suffix":""},{"dropping-particle":"","family":"Bindraban","given":"Prem S.","non-dropping-particle":"","parse-names":false,"suffix":""},{"dropping-particle":"","family":"Kissiedu","given":"Isaac N.","non-dropping-particle":"","parse-names":false,"suffix":""},{"dropping-particle":"","family":"Kouame","given":"Anselme K.K.","non-dropping-particle":"","parse-names":false,"suffix":""},{"dropping-particle":"","family":"Devkota","given":"Krishna P.","non-dropping-particle":"","parse-names":false,"suffix":""},{"dropping-particle":"","family":"Atakora","given":"Williams K.","non-dropping-particle":"","parse-names":false,"suffix":""},{"dropping-particle":"","family":"IFDC","given":"","non-dropping-particle":"","parse-names":false,"suffix":""},{"dropping-particle":"","family":"Gibbons","given":"Jean","non-dropping-particle":"","parse-names":false,"suffix":""},{"dropping-particle":"","family":"Bournois","given":"Frank","non-dropping-particle":"","parse-names":false,"suffix":""},{"dropping-particle":"","family":"Chavel","given":"Thierry","non-dropping-particle":"","parse-names":false,"suffix":""},{"dropping-particle":"","family":"Filleron","given":"Alain","non-dropping-particle":"","parse-names":false,"suffix":""},{"dropping-particle":"","family":"Brocas","given":"Alexis","non-dropping-particle":"","parse-names":false,"suffix":""},{"dropping-particle":"","family":"Gendron","given":"Benedicte","non-dropping-particle":"","parse-names":false,"suffix":""},{"dropping-particle":"","family":"LaFortune","given":"Lous","non-dropping-particle":"","parse-names":false,"suffix":""},{"dropping-particle":"","family":"Thornton","given":"D. S.","non-dropping-particle":"","parse-names":false,"suffix":""},{"dropping-particle":"","family":"Buteikis","given":"Andrius","non-dropping-particle":"","parse-names":false,"suffix":""},{"dropping-particle":"","family":"Perrin","given":"Annie","non-dropping-particle":"","parse-names":false,"suffix":""},{"dropping-particle":"","family":"Saillard","given":"Philippe","non-dropping-particle":"","parse-names":false,"suffix":""},{"dropping-particle":"","family":"Coulon","given":"Patrick","non-dropping-particle":"","parse-names":false,"suffix":""},{"dropping-particle":"","family":"Druet","given":"Marion","non-dropping-particle":"","parse-names":false,"suffix":""},{"dropping-particle":"","family":"Hoover","given":"Kevin D.","non-dropping-particle":"","parse-names":false,"suffix":""},{"dropping-particle":"","family":"Jeevanand.","given":"E.S.","non-dropping-particle":"","parse-names":false,"suffix":""},{"dropping-particle":"","family":"St","given":"Great","non-dropping-particle":"","parse-names":false,"suffix":""},{"dropping-particle":"","family":"Christ","given":"Through","non-dropping-particle":"","parse-names":false,"suffix":""},{"dropping-particle":"","family":"Ghost","given":"Holy","non-dropping-particle":"","parse-names":false,"suffix":""},{"dropping-particle":"","family":"Lady","given":"Our","non-dropping-particle":"","parse-names":false,"suffix":""},{"dropping-particle":"","family":"Studies","given":"Good","non-dropping-particle":"","parse-names":false,"suffix":""},{"dropping-particle":"","family":"Head","given":"Sacred","non-dropping-particle":"","parse-names":false,"suffix":""},{"dropping-particle":"","family":"Borjas","given":"George J.","non-dropping-particle":"","parse-names":false,"suffix":""},{"dropping-particle":"","family":"For","given":"Guidelines","non-dropping-particle":"","parse-names":false,"suffix":""},{"dropping-particle":"","family":"Courses","given":"Postgraduate","non-dropping-particle":"","parse-names":false,"suffix":""},{"dropping-particle":"","family":"Day","given":"May","non-dropping-particle":"","parse-names":false,"suffix":""},{"dropping-particle":"","family":"Monday","given":"Easter","non-dropping-particle":"","parse-names":false,"suffix":""},{"dropping-particle":"","family":"Sciences","given":"Allied Health","non-dropping-particle":"","parse-names":false,"suffix":""},{"dropping-particle":"","family":"Tweneboah Kodua","given":"Theophilus","non-dropping-particle":"","parse-names":false,"suffix":""},{"dropping-particle":"","family":"Ebo Onumah","given":"Edward","non-dropping-particle":"","parse-names":false,"suffix":""},{"dropping-particle":"","family":"Mensah-Bonsu","given":"Akwasi","non-dropping-particle":"","parse-names":false,"suffix":""},{"dropping-particle":"","family":"Котлер","given":"Филип","non-dropping-particle":"","parse-names":false,"suffix":""},{"dropping-particle":"","family":"Jatoe","given":"John Baptist D","non-dropping-particle":"","parse-names":false,"suffix":""},{"dropping-particle":"","family":"From","given":"Evidence","non-dropping-particle":"","parse-names":false,"suffix":""},{"dropping-particle":"","family":"Eirst","given":"T H E","non-dropping-particle":"","parse-names":false,"suffix":""},{"dropping-particle":"","family":"For","given":"Handbook","non-dropping-particle":"","parse-names":false,"suffix":""},{"dropping-particle":"","family":"Degree","given":"Masters","non-dropping-particle":"","parse-names":false,"suffix":""},{"dropping-particle":"","family":"Gbago","given":"M Laurent","non-dropping-particle":"","parse-names":false,"suffix":""},{"dropping-particle":"","family":"Ryan","given":"Suzanne","non-dropping-particle":"","parse-names":false,"suffix":""},{"dropping-particle":"","family":"Emmanuel","given":"Zida","non-dropping-particle":"","parse-names":false,"suffix":""},{"dropping-particle":"","family":"Rachid","given":"Wendbenedo","non-dropping-particle":"","parse-names":false,"suffix":""},{"dropping-particle":"","family":"Egh","given":"Branch","non-dropping-particle":"","parse-names":false,"suffix":""},{"dropping-particle":"","family":"Gh","given":"Ecobank","non-dropping-particle":"","parse-names":false,"suffix":""}],"container-title":"Journal of Economic Perspectives","id":"ITEM-1","issue":"1","issued":{"date-parts":[["2022"]]},"note":"Cited By (since 2020): 2","number-of-pages":"1-4","publisher":"repository.bku.ac.id","title":"Yohanna","type":"book","volume":"2"},"uris":["http://www.mendeley.com/documents/?uuid=cd160eb0-8896-46af-838d-91e8511f7f42"]}],"mendeley":{"formattedCitation":"Itemized E et al., &lt;i&gt;Yohanna&lt;/i&gt;, &lt;i&gt;Journal of Economic Perspectives&lt;/i&gt;, vol. 2 (repository.bku.ac.id, 2022), http://www.ifpri.org/themes/gssp/gssp.htm%0Ahttp://files/171/Cardon - 2008 - Coaching d’équipe.pdf%0Ahttp://journal.um-surabaya.ac.id/index.php/JKM/article/view/2203%0Ahttp://mpoc.org.my/malaysian-palm-oil-industry/%0Ahttps://doi.org/10.1080/23322039.2017.","manualFormatting":"Itemized E et al., Yohanna, Journal of Economic Perspectives, vol. 2 (repository.bk.ac.id, 2022), http://www.ifpri.org/themes/gssp/gssp.htm%0Ahttp://files/171/Cardon - 2008 - Coaching d’équipe.pdf%0Ahttp://journal.um-Surabaya.ac.id/index.php/JKM/article/view/2203%0Ahttp://mpoc.org.my/malaysian-palm-oil-industry/%0Ahttps://doi.org/10.1080/23322039.2017.","plainTextFormattedCitation":"Itemized E et al., Yohanna, Journal of Economic Perspectives, vol. 2 (repository.bku.ac.id, 2022), http://www.ifpri.org/themes/gssp/gssp.htm%0Ahttp://files/171/Cardon - 2008 - Coaching d’équipe.pdf%0Ahttp://journal.um-surabaya.ac.id/index.php/JKM/article/view/2203%0Ahttp://mpoc.org.my/malaysian-palm-oil-industry/%0Ahttps://doi.org/10.1080/23322039.2017.","previouslyFormattedCitation":"Itemized E et al., &lt;i&gt;Yohanna&lt;/i&gt;, &lt;i&gt;Journal of Economic Perspectives&lt;/i&gt;, vol. 2 (repository.bku.ac.id, 2022), http://www.ifpri.org/themes/gssp/gssp.htm%0Ahttp://files/171/Cardon - 2008 - Coaching d’équipe.pdf%0Ahttp://journal.um-surabaya.ac.id/index.php/JKM/article/view/2203%0Ahttp://mpoc.org.my/malaysian-palm-oil-industry/%0Ahttps://doi.org/10.1080/23322039.2017."},"properties":{"noteIndex":11},"schema":"https://github.com/citation-style-language/schema/raw/master/csl-citation.json"}</w:instrText>
      </w:r>
      <w:r>
        <w:fldChar w:fldCharType="separate"/>
      </w:r>
      <w:r>
        <w:t xml:space="preserve">Itemized E et al., </w:t>
      </w:r>
      <w:r>
        <w:rPr>
          <w:i/>
        </w:rPr>
        <w:t>Yohanna</w:t>
      </w:r>
      <w:r>
        <w:t xml:space="preserve">, </w:t>
      </w:r>
      <w:r>
        <w:rPr>
          <w:i/>
        </w:rPr>
        <w:t>Journal of Economic Perspectives</w:t>
      </w:r>
      <w:r>
        <w:t>, vol. 2 (repository.bk.ac.id, 2022), http://www.ifpri.org/themes/gssp/gssp.htm%0Ahttp://files/171/Cardon - 2008 - Coaching d’équipe.pdf%0Ahttp://journal.um-Surabaya.ac.id/index.php/JKM/article/view/2203%0Ahttp://mpoc.org.my/malaysian-palm-oil-industry/%0Ahttps://doi.org/10.1080/23322039.2017.</w:t>
      </w:r>
      <w:r>
        <w:fldChar w:fldCharType="end"/>
      </w:r>
    </w:p>
  </w:footnote>
  <w:footnote w:id="11">
    <w:p w14:paraId="2A7BA0FA">
      <w:pPr>
        <w:pStyle w:val="11"/>
        <w:jc w:val="both"/>
      </w:pPr>
      <w:r>
        <w:rPr>
          <w:rStyle w:val="10"/>
        </w:rPr>
        <w:footnoteRef/>
      </w:r>
      <w:r>
        <w:t xml:space="preserve"> </w:t>
      </w:r>
      <w:r>
        <w:fldChar w:fldCharType="begin" w:fldLock="1"/>
      </w:r>
      <w:r>
        <w:instrText xml:space="preserve">ADDIN CSL_CITATION {"citationItems":[{"id":"ITEM-1","itemData":{"author":[{"dropping-particle":"","family":"Sharma, U., Loreman, T., &amp; Forlin","given":"C.","non-dropping-particle":"","parse-names":false,"suffix":""}],"container-title":"Journal of Research in Special Educational Needs,","id":"ITEM-1","issue":"1","issued":{"date-parts":[["2012"]]},"page":"12(1), 12–21.","title":"Measuring teacher efficacy to implement inclusive practices. https://doi.org/10.1111/j.1471-3802.2011.01200.x","type":"article-journal","volume":"12"},"uris":["http://www.mendeley.com/documents/?uuid=c165d717-a612-417c-85e0-addaefeb4b39"]}],"mendeley":{"formattedCitation":"C. Sharma, U., Loreman, T., &amp; Forlin, “Measuring Teacher Efficacy to Implement Inclusive Practices. Https://Doi.Org/10.1111/j.1471-3802.2011.01200.X,” &lt;i&gt;Journal of Research in Special Educational Needs,&lt;/i&gt; 12, no. 1 (2012): 12(1), 12–21.","plainTextFormattedCitation":"C. Sharma, U., Loreman, T., &amp; Forlin, “Measuring Teacher Efficacy to Implement Inclusive Practices. Https://Doi.Org/10.1111/j.1471-3802.2011.01200.X,” Journal of Research in Special Educational Needs, 12, no. 1 (2012): 12(1), 12–21.","previouslyFormattedCitation":"C. Sharma, U., Loreman, T., &amp; Forlin, “Measuring Teacher Efficacy to Implement Inclusive Practices. Https://Doi.Org/10.1111/j.1471-3802.2011.01200.X,” &lt;i&gt;Journal of Research in Special Educational Needs,&lt;/i&gt; 12, no. 1 (2012): 12(1), 12–21."},"properties":{"noteIndex":12},"schema":"https://github.com/citation-style-language/schema/raw/master/csl-citation.json"}</w:instrText>
      </w:r>
      <w:r>
        <w:fldChar w:fldCharType="separate"/>
      </w:r>
      <w:r>
        <w:t xml:space="preserve">C. Sharma, U., Loreman, T., &amp; Forlin, “Measuring Teacher Efficacy to Implement Inclusive Practices. Https://Doi.Org/10.1111/j.1471-3802.2011.01200.X,” </w:t>
      </w:r>
      <w:r>
        <w:rPr>
          <w:i/>
        </w:rPr>
        <w:t>Journal of Research in Special Educational Needs,</w:t>
      </w:r>
      <w:r>
        <w:t xml:space="preserve"> 12, no. 1 (2012): 12(1), 12–21.</w:t>
      </w:r>
      <w:r>
        <w:fldChar w:fldCharType="end"/>
      </w:r>
    </w:p>
  </w:footnote>
  <w:footnote w:id="12">
    <w:p w14:paraId="2237920C">
      <w:pPr>
        <w:pStyle w:val="11"/>
        <w:jc w:val="both"/>
      </w:pPr>
      <w:r>
        <w:rPr>
          <w:rStyle w:val="10"/>
        </w:rPr>
        <w:footnoteRef/>
      </w:r>
      <w:r>
        <w:t xml:space="preserve"> </w:t>
      </w:r>
      <w:r>
        <w:fldChar w:fldCharType="begin" w:fldLock="1"/>
      </w:r>
      <w:r>
        <w:instrText xml:space="preserve">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McLeskey, J., Maheady, L., Billingsley, B., Brownell, M. T., &amp; Lewis, “Https://Doi.Org/10.4324/9781003148609.”","plainTextFormattedCitation":"McLeskey, J., Maheady, L., Billingsley, B., Brownell, M. T., &amp; Lewis, “Https://Doi.Org/10.4324/9781003148609.”","previouslyFormattedCitation":"McLeskey, J., Maheady, L., Billingsley, B., Brownell, M. T., &amp; Lewis, “Https://Doi.Org/10.4324/9781003148609.”"},"properties":{"noteIndex":13},"schema":"https://github.com/citation-style-language/schema/raw/master/csl-citation.json"}</w:instrText>
      </w:r>
      <w:r>
        <w:fldChar w:fldCharType="separate"/>
      </w:r>
      <w:r>
        <w:t>McLeskey, J., Maheady, L., Billingsley, B., Brownell, M. T., &amp; Lewis, “Https://Doi.Org/10.4324/9781003148609.”</w:t>
      </w:r>
      <w:r>
        <w:fldChar w:fldCharType="end"/>
      </w:r>
    </w:p>
  </w:footnote>
  <w:footnote w:id="13">
    <w:p w14:paraId="25433CCA">
      <w:pPr>
        <w:pStyle w:val="11"/>
        <w:jc w:val="both"/>
      </w:pPr>
      <w:r>
        <w:rPr>
          <w:rStyle w:val="10"/>
        </w:rPr>
        <w:footnoteRef/>
      </w:r>
      <w:r>
        <w:t xml:space="preserve"> </w:t>
      </w:r>
      <w:r>
        <w:fldChar w:fldCharType="begin" w:fldLock="1"/>
      </w:r>
      <w:r>
        <w:instrText xml:space="preserve">ADDIN CSL_CITATION {"citationItems":[{"id":"ITEM-1","itemData":{"author":[{"dropping-particle":"","family":"Wijayanti, E., Sari, D. K., &amp; Prasetyo","given":"B.","non-dropping-particle":"","parse-names":false,"suffix":""}],"container-title":"Journal of Inclusive Education and Special Needs,","id":"ITEM-1","issue":"3","issued":{"date-parts":[["2021"]]},"page":"11(3), 210–225.","title":"Shadow teacher’s role in inclusive education in Indonesia: A case study. https://doi.org/10.12928/jiesn.v11i3.418","type":"article-journal","volume":"11, 210–22"},"uris":["http://www.mendeley.com/documents/?uuid=e85bb548-ee72-439b-ac6b-97955c96d26e"]}],"mendeley":{"formattedCitation":"B. Wijayanti, E., Sari, D. K., &amp; Prasetyo, “Shadow Teacher’s Role in Inclusive Education in Indonesia: A Case Study. Https://Doi.Org/10.12928/Jiesn.V11i3.418,” &lt;i&gt;Journal of Inclusive Education and Special Needs,&lt;/i&gt; 11, 210–22, no. 3 (2021): 11(3), 210–225.","plainTextFormattedCitation":"B. Wijayanti, E., Sari, D. K., &amp; Prasetyo, “Shadow Teacher’s Role in Inclusive Education in Indonesia: A Case Study. Https://Doi.Org/10.12928/Jiesn.V11i3.418,” Journal of Inclusive Education and Special Needs, 11, 210–22, no. 3 (2021): 11(3), 210–225.","previouslyFormattedCitation":"B. Wijayanti, E., Sari, D. K., &amp; Prasetyo, “Shadow Teacher’s Role in Inclusive Education in Indonesia: A Case Study. Https://Doi.Org/10.12928/Jiesn.V11i3.418,” &lt;i&gt;Journal of Inclusive Education and Special Needs,&lt;/i&gt; 11, 210–22, no. 3 (2021): 11(3), 210–225."},"properties":{"noteIndex":14},"schema":"https://github.com/citation-style-language/schema/raw/master/csl-citation.json"}</w:instrText>
      </w:r>
      <w:r>
        <w:fldChar w:fldCharType="separate"/>
      </w:r>
      <w:r>
        <w:t xml:space="preserve">B. Wijayanti, E., Sari, D. K., &amp; Prasetyo, “Shadow Teacher’s Role in Inclusive Education in Indonesia: A Case Study. Https://Doi.Org/10.12928/Jiesn.V11i3.418,” </w:t>
      </w:r>
      <w:r>
        <w:rPr>
          <w:i/>
        </w:rPr>
        <w:t>Journal of Inclusive Education and Special Needs,</w:t>
      </w:r>
      <w:r>
        <w:t xml:space="preserve"> 11, 210–22, no. 3 (2021): 11(3), 210–225.</w:t>
      </w:r>
      <w:r>
        <w:fldChar w:fldCharType="end"/>
      </w:r>
    </w:p>
  </w:footnote>
  <w:footnote w:id="14">
    <w:p w14:paraId="0C4BCA67">
      <w:pPr>
        <w:pStyle w:val="11"/>
        <w:jc w:val="both"/>
      </w:pPr>
      <w:r>
        <w:rPr>
          <w:rStyle w:val="10"/>
        </w:rPr>
        <w:footnoteRef/>
      </w:r>
      <w:r>
        <w:t xml:space="preserve"> </w:t>
      </w:r>
      <w:r>
        <w:fldChar w:fldCharType="begin" w:fldLock="1"/>
      </w:r>
      <w:r>
        <w:instrText xml:space="preserve">ADDIN CSL_CITATION {"citationItems":[{"id":"ITEM-1","itemData":{"author":[{"dropping-particle":"","family":"Sari, D. K., Wijayanti, E., &amp; Prasetyo","given":"B.","non-dropping-particle":"","parse-names":false,"suffix":""}],"container-title":"Journal of Inclusive Education and Special Needs,","id":"ITEM-1","issue":"3","issued":{"date-parts":[["2022"]]},"page":"210–225.","title":"Shadow teacher’s role in inclusive education in Indonesia: A case study. https://doi.org/10.12928/jiesn.v11i3.418","type":"article-journal","volume":"11"},"uris":["http://www.mendeley.com/documents/?uuid=6397cc56-efd8-42d4-9999-ab8a945d8be1"]}],"mendeley":{"formattedCitation":"B. Sari, D. K., Wijayanti, E., &amp; Prasetyo, “Shadow Teacher’s Role in Inclusive Education in Indonesia: A Case Study. Https://Doi.Org/10.12928/Jiesn.V11i3.418,” &lt;i&gt;Journal of Inclusive Education and Special Needs,&lt;/i&gt; 11, no. 3 (2022): 210–225.","plainTextFormattedCitation":"B. Sari, D. K., Wijayanti, E., &amp; Prasetyo, “Shadow Teacher’s Role in Inclusive Education in Indonesia: A Case Study. Https://Doi.Org/10.12928/Jiesn.V11i3.418,” Journal of Inclusive Education and Special Needs, 11, no. 3 (2022): 210–225.","previouslyFormattedCitation":"B. Sari, D. K., Wijayanti, E., &amp; Prasetyo, “Shadow Teacher’s Role in Inclusive Education in Indonesia: A Case Study. Https://Doi.Org/10.12928/Jiesn.V11i3.418,” &lt;i&gt;Journal of Inclusive Education and Special Needs,&lt;/i&gt; 11, no. 3 (2022): 210–225."},"properties":{"noteIndex":15},"schema":"https://github.com/citation-style-language/schema/raw/master/csl-citation.json"}</w:instrText>
      </w:r>
      <w:r>
        <w:fldChar w:fldCharType="separate"/>
      </w:r>
      <w:r>
        <w:t xml:space="preserve">B. Sari, D. K., Wijayanti, E., &amp; Prasetyo, “Shadow Teacher’s Role in Inclusive Education in Indonesia: A Case Study. Https://Doi.Org/10.12928/Jiesn.V11i3.418,” </w:t>
      </w:r>
      <w:r>
        <w:rPr>
          <w:i/>
        </w:rPr>
        <w:t>Journal of Inclusive Education and Special Needs,</w:t>
      </w:r>
      <w:r>
        <w:t xml:space="preserve"> 11, no. 3 (2022): 210–225.</w:t>
      </w:r>
      <w:r>
        <w:fldChar w:fldCharType="end"/>
      </w:r>
    </w:p>
  </w:footnote>
  <w:footnote w:id="15">
    <w:p w14:paraId="3FC21511">
      <w:pPr>
        <w:pStyle w:val="11"/>
        <w:jc w:val="both"/>
      </w:pPr>
      <w:r>
        <w:rPr>
          <w:rStyle w:val="10"/>
        </w:rPr>
        <w:footnoteRef/>
      </w:r>
      <w:r>
        <w:t xml:space="preserve"> </w:t>
      </w:r>
      <w:r>
        <w:fldChar w:fldCharType="begin" w:fldLock="1"/>
      </w:r>
      <w:r>
        <w:instrText xml:space="preserve">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McLeskey, J., Maheady, L., Billingsley, B., Brownell, M. T., &amp; Lewis, “Https://Doi.Org/10.4324/9781003148609.”","plainTextFormattedCitation":"McLeskey, J., Maheady, L., Billingsley, B., Brownell, M. T., &amp; Lewis, “Https://Doi.Org/10.4324/9781003148609.”","previouslyFormattedCitation":"McLeskey, J., Maheady, L., Billingsley, B., Brownell, M. T., &amp; Lewis, “Https://Doi.Org/10.4324/9781003148609.”"},"properties":{"noteIndex":16},"schema":"https://github.com/citation-style-language/schema/raw/master/csl-citation.json"}</w:instrText>
      </w:r>
      <w:r>
        <w:fldChar w:fldCharType="separate"/>
      </w:r>
      <w:r>
        <w:t>McLeskey, J., Maheady, L., Billingsley, B., Brownell, M. T., &amp; Lewis, “Https://Doi.Org/10.4324/9781003148609.”</w:t>
      </w:r>
      <w:r>
        <w:fldChar w:fldCharType="end"/>
      </w:r>
    </w:p>
  </w:footnote>
  <w:footnote w:id="16">
    <w:p w14:paraId="58BF0F39">
      <w:pPr>
        <w:pStyle w:val="11"/>
        <w:jc w:val="both"/>
      </w:pPr>
      <w:r>
        <w:rPr>
          <w:rStyle w:val="10"/>
        </w:rPr>
        <w:footnoteRef/>
      </w:r>
      <w:r>
        <w:t xml:space="preserve"> </w:t>
      </w:r>
      <w:r>
        <w:fldChar w:fldCharType="begin" w:fldLock="1"/>
      </w:r>
      <w:r>
        <w:instrText xml:space="preserve">ADDIN CSL_CITATION {"citationItems":[{"id":"ITEM-1","itemData":{"author":[{"dropping-particle":"","family":"Ekins, A., &amp; Grimes","given":"P.","non-dropping-particle":"","parse-names":false,"suffix":""}],"container-title":"Inclusion: Developing an Effective Whole School Approach. Routledge. https://doi.org/10.4324/9780429443583","id":"ITEM-1","issued":{"date-parts":[["2020"]]},"title":"Inclusion: Developing an Effective Whole School Approach. Routledge. https://doi.org/10.4324/9780429443583","type":"chapter"},"uris":["http://www.mendeley.com/documents/?uuid=e93d12b1-1e72-4890-92ed-4302c0c40942"]}],"mendeley":{"formattedCitation":"P. Ekins, A., &amp; Grimes, “Inclusion: Developing an Effective Whole School Approach. Routledge. Https://Doi.Org/10.4324/9780429443583,” in &lt;i&gt;Inclusion: Developing an Effective Whole School Approach. Routledge. Https://Doi.Org/10.4324/9780429443583&lt;/i&gt;, 2020.","plainTextFormattedCitation":"P. Ekins, A., &amp; Grimes, “Inclusion: Developing an Effective Whole School Approach. Routledge. Https://Doi.Org/10.4324/9780429443583,” in Inclusion: Developing an Effective Whole School Approach. Routledge. Https://Doi.Org/10.4324/9780429443583, 2020.","previouslyFormattedCitation":"P. Ekins, A., &amp; Grimes, “Inclusion: Developing an Effective Whole School Approach. Routledge. Https://Doi.Org/10.4324/9780429443583,” in &lt;i&gt;Inclusion: Developing an Effective Whole School Approach. Routledge. Https://Doi.Org/10.4324/9780429443583&lt;/i&gt;, 2020."},"properties":{"noteIndex":17},"schema":"https://github.com/citation-style-language/schema/raw/master/csl-citation.json"}</w:instrText>
      </w:r>
      <w:r>
        <w:fldChar w:fldCharType="separate"/>
      </w:r>
      <w:r>
        <w:t xml:space="preserve">P. Ekins, A., &amp; Grimes, “Inclusion: Developing an Effective Whole School Approach. Routledge. Https://Doi.Org/10.4324/9780429443583,” in </w:t>
      </w:r>
      <w:r>
        <w:rPr>
          <w:i/>
        </w:rPr>
        <w:t>Inclusion: Developing an Effective Whole School Approach. Routledge. Https://Doi.Org/10.4324/9780429443583</w:t>
      </w:r>
      <w:r>
        <w:t>, 2020.</w:t>
      </w:r>
      <w:r>
        <w:fldChar w:fldCharType="end"/>
      </w:r>
    </w:p>
  </w:footnote>
  <w:footnote w:id="17">
    <w:p w14:paraId="01E9A7A8">
      <w:pPr>
        <w:pStyle w:val="11"/>
        <w:jc w:val="both"/>
      </w:pPr>
      <w:r>
        <w:rPr>
          <w:rStyle w:val="10"/>
        </w:rPr>
        <w:footnoteRef/>
      </w:r>
      <w:r>
        <w:t xml:space="preserve"> </w:t>
      </w:r>
      <w:r>
        <w:fldChar w:fldCharType="begin" w:fldLock="1"/>
      </w:r>
      <w:r>
        <w:instrText xml:space="preserve">ADDIN CSL_CITATION {"citationItems":[{"id":"ITEM-1","itemData":{"author":[{"dropping-particle":"","family":"UNESCO.","given":"","non-dropping-particle":"","parse-names":false,"suffix":""}],"container-title":"Policy Guidelines on Inclusion in Education. United Nations Educational, Scientific and Cultural Organization. https://unesdoc.unesco.org/ark:/48223/pf0000177849","id":"ITEM-1","issued":{"date-parts":[["2009"]]},"title":"Policy Guidelines on Inclusion in Education. United Nations Educational, Scientific and Cultural Organization. https://unesdoc.unesco.org/ark:/48223/pf0000177849","type":"webpage"},"uris":["http://www.mendeley.com/documents/?uuid=d01c9846-6015-473f-ab9f-efe170bd9083"]}],"mendeley":{"formattedCitation":"UNESCO.,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2009.","manualFormatting":"UNESCO., “Policy Guidelines on Inclusion in Education. United Nations Educational, Scientific and Cultural Organization. Https://Unesdoc.Unesco.Org/Ark:/48223/Pf0000177849,” Policy Guidelines on Inclusion in Education. United Nations Educational, Scientificfic and Cultural Organization. https://unesdoc.unesco.org/ark:/48223/pf0000177849, 2009.","plainTextFormattedCitation":"UNESCO.,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2009.","previouslyFormattedCitation":"UNESCO.,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2009."},"properties":{"noteIndex":18},"schema":"https://github.com/citation-style-language/schema/raw/master/csl-citation.json"}</w:instrText>
      </w:r>
      <w:r>
        <w:fldChar w:fldCharType="separate"/>
      </w:r>
      <w:r>
        <w:t>UNESCO., “Policy Guidelines on Inclusion in Education. United Nations Educational, Scientific and Cultural Organization. Https://Unesdoc.Unesco.Org/Ark:/48223/Pf0000177849,” Policy Guidelines on Inclusion in Education. United Nations Educational, Scientificfic and Cultural Organization. https://unesdoc.unesco.org/ark:/48223/pf0000177849, 2009.</w:t>
      </w:r>
      <w:r>
        <w:fldChar w:fldCharType="end"/>
      </w:r>
    </w:p>
  </w:footnote>
  <w:footnote w:id="18">
    <w:p w14:paraId="45F11AC1">
      <w:pPr>
        <w:pStyle w:val="11"/>
        <w:jc w:val="both"/>
      </w:pPr>
      <w:r>
        <w:rPr>
          <w:rStyle w:val="10"/>
        </w:rPr>
        <w:footnoteRef/>
      </w:r>
      <w:r>
        <w:t xml:space="preserve"> </w:t>
      </w:r>
      <w:r>
        <w:fldChar w:fldCharType="begin" w:fldLock="1"/>
      </w:r>
      <w:r>
        <w:instrText xml:space="preserve">ADDIN CSL_CITATION {"citationItems":[{"id":"ITEM-1","itemData":{"author":[{"dropping-particle":"","family":"Ainscow","given":"M.","non-dropping-particle":"","parse-names":false,"suffix":""}],"container-title":"International Journal of Inclusive Education,","id":"ITEM-1","issue":"1","issued":{"date-parts":[["2022"]]},"page":"1–14.","title":"The Next Step for nclusive Education: Building on the Work of the Salamanca Statement. https://doi.org/10.1080/13603116.2021.1880190","type":"article-journal","volume":"26"},"uris":["http://www.mendeley.com/documents/?uuid=9d5375de-0d98-4388-9dd1-7299d7e9b5c8"]}],"mendeley":{"formattedCitation":"M. Ainscow, “The Next Step for Nclusive Education: Building on the Work of the Salamanca Statement. Https://Doi.Org/10.1080/13603116.2021.1880190,” &lt;i&gt;International Journal of Inclusive Education,&lt;/i&gt; 26, no. 1 (2022): 1–14.","manualFormatting":"M. Ainscow, “The Next Step for Inclusive Education: Building on the Work of the Salamanca Statement. Https://Doi.Org/10.1080/13603116.2021.1880190,” International Journal of Inclusive Education, 26, no. 1 (2022): 1–14.","plainTextFormattedCitation":"M. Ainscow, “The Next Step for Nclusive Education: Building on the Work of the Salamanca Statement. Https://Doi.Org/10.1080/13603116.2021.1880190,” International Journal of Inclusive Education, 26, no. 1 (2022): 1–14.","previouslyFormattedCitation":"M. Ainscow, “The Next Step for Nclusive Education: Building on the Work of the Salamanca Statement. Https://Doi.Org/10.1080/13603116.2021.1880190,” &lt;i&gt;International Journal of Inclusive Education,&lt;/i&gt; 26, no. 1 (2022): 1–14."},"properties":{"noteIndex":19},"schema":"https://github.com/citation-style-language/schema/raw/master/csl-citation.json"}</w:instrText>
      </w:r>
      <w:r>
        <w:fldChar w:fldCharType="separate"/>
      </w:r>
      <w:r>
        <w:t xml:space="preserve">M. Ainscow, “The Next Step for Inclusive Education: Building on the Work of the Salamanca Statement. Https://Doi.Org/10.1080/13603116.2021.1880190,” </w:t>
      </w:r>
      <w:r>
        <w:rPr>
          <w:i/>
        </w:rPr>
        <w:t>International Journal of Inclusive Education,</w:t>
      </w:r>
      <w:r>
        <w:t xml:space="preserve"> 26, no. 1 (2022): 1–14.</w:t>
      </w:r>
      <w:r>
        <w:fldChar w:fldCharType="end"/>
      </w:r>
    </w:p>
  </w:footnote>
  <w:footnote w:id="19">
    <w:p w14:paraId="6C9C140A">
      <w:pPr>
        <w:pStyle w:val="11"/>
        <w:jc w:val="both"/>
      </w:pPr>
      <w:r>
        <w:rPr>
          <w:rStyle w:val="10"/>
        </w:rPr>
        <w:footnoteRef/>
      </w:r>
      <w:r>
        <w:t xml:space="preserve"> </w:t>
      </w:r>
      <w:r>
        <w:fldChar w:fldCharType="begin" w:fldLock="1"/>
      </w:r>
      <w:r>
        <w:instrText xml:space="preserve">ADDIN CSL_CITATION {"citationItems":[{"id":"ITEM-1","itemData":{"author":[{"dropping-particle":"","family":"Carter, E. W., Tuttle, M., Asmus, J. A., Moss, C. K., &amp; Lloyd","given":"B. P.","non-dropping-particle":"","parse-names":false,"suffix":""}],"container-title":"Focus on Autism and Other Developmental Disabilities,","id":"ITEM-1","issue":"1","issued":{"date-parts":[["0"]]},"page":"3–13.","title":"Observations of students with and without severe disabilities in general education classrooms: A portrait of inclusion? https://doi.org/10.1177/10883576231178268","type":"article-journal","volume":"39"},"uris":["http://www.mendeley.com/documents/?uuid=b9a8c154-009f-444a-8c01-c211f960bf58"]}],"mendeley":{"formattedCitation":"B. P. Carter, E. W., Tuttle, M., Asmus, J. A., Moss, C. K., &amp; Lloyd, “Observations of Students with and without Severe Disabilities in General Education Classrooms: A Portrait of Inclusion? Https://Doi.Org/10.1177/10883576231178268,” &lt;i&gt;Focus on Autism and Other Developmental Disabilities,&lt;/i&gt; 39, no. 1 (n.d.): 3–13.","plainTextFormattedCitation":"B. P. Carter, E. W., Tuttle, M., Asmus, J. A., Moss, C. K., &amp; Lloyd, “Observations of Students with and without Severe Disabilities in General Education Classrooms: A Portrait of Inclusion? Https://Doi.Org/10.1177/10883576231178268,” Focus on Autism and Other Developmental Disabilities, 39, no. 1 (n.d.): 3–13.","previouslyFormattedCitation":"B. P. Carter, E. W., Tuttle, M., Asmus, J. A., Moss, C. K., &amp; Lloyd, “Observations of Students with and without Severe Disabilities in General Education Classrooms: A Portrait of Inclusion? Https://Doi.Org/10.1177/10883576231178268,” &lt;i&gt;Focus on Autism and Other Developmental Disabilities,&lt;/i&gt; 39, no. 1 (n.d.): 3–13."},"properties":{"noteIndex":20},"schema":"https://github.com/citation-style-language/schema/raw/master/csl-citation.json"}</w:instrText>
      </w:r>
      <w:r>
        <w:fldChar w:fldCharType="separate"/>
      </w:r>
      <w:r>
        <w:t xml:space="preserve">B. P. Carter, E. W., Tuttle, M., Asmus, J. A., Moss, C. K., &amp; Lloyd, “Observations of Students with and without Severe Disabilities in General Education Classrooms: A Portrait of Inclusion? Https://Doi.Org/10.1177/10883576231178268,” </w:t>
      </w:r>
      <w:r>
        <w:rPr>
          <w:i/>
        </w:rPr>
        <w:t>Focus on Autism and Other Developmental Disabilities,</w:t>
      </w:r>
      <w:r>
        <w:t xml:space="preserve"> 39, no. 1 (n.d.): 3–13.</w:t>
      </w:r>
      <w:r>
        <w:fldChar w:fldCharType="end"/>
      </w:r>
    </w:p>
  </w:footnote>
  <w:footnote w:id="20">
    <w:p w14:paraId="41CA8D4D">
      <w:pPr>
        <w:pStyle w:val="11"/>
        <w:jc w:val="both"/>
      </w:pPr>
      <w:r>
        <w:rPr>
          <w:rStyle w:val="10"/>
        </w:rPr>
        <w:footnoteRef/>
      </w:r>
      <w:r>
        <w:rPr>
          <w:lang w:val="sv-SE"/>
        </w:rPr>
        <w:t xml:space="preserve"> </w:t>
      </w:r>
      <w:r>
        <w:fldChar w:fldCharType="begin" w:fldLock="1"/>
      </w:r>
      <w:r>
        <w:rPr>
          <w:lang w:val="sv-SE"/>
        </w:rPr>
        <w:instrText xml:space="preserve">ADDIN CSL_CITATION {"citationItems":[{"id":"ITEM-1","itemData":{"author":[{"dropping-particle":"","family":"Amti.","given":"Prayitno&amp; Erman","non-dropping-particle":"","parse-names":false,"suffix":""}],"id":"ITEM-1","issued":{"date-parts":[["2004"]]},"title":"Dasar-Dasar Bimbingan Konseling. Cetakan ke dua. Jakarta: Rineka Cipta.","type":"book"},"uris":["http://www.mendeley.com/documents/?uuid=5f2359ed-75b4-41fb-9cca-8cb731a7b8b8"]}],"mendeley":{"formattedCitation":"Prayitno&amp; Erman Amti., &lt;i&gt;Dasar-Dasar Bimbingan Konseling. Cetakan Ke Dua. Jakarta: Rineka Cipta.&lt;/i&gt;, 2004.","plainTextFormattedCitation":"Prayitno&amp; Erman Amti., Dasar-Dasar Bimbingan Konseling. Cetakan Ke Dua. Jakarta: Rineka Cipta., 2004.","previouslyFormattedCitation":"Prayitno&amp; Erman Amti., &lt;i&gt;Dasar-Dasar Bimbingan Konseling. Cetakan Ke Dua. Jakarta: Rineka Cipta.&lt;/i&gt;, 2004."},"properties":{"noteIndex":21},"schema":"https://github.com/citation-style-language/schema/raw/master/csl-citation.json"}</w:instrText>
      </w:r>
      <w:r>
        <w:fldChar w:fldCharType="separate"/>
      </w:r>
      <w:r>
        <w:rPr>
          <w:lang w:val="sv-SE"/>
        </w:rPr>
        <w:t xml:space="preserve">Prayitno&amp; Erman Amti., </w:t>
      </w:r>
      <w:r>
        <w:rPr>
          <w:i/>
          <w:lang w:val="sv-SE"/>
        </w:rPr>
        <w:t xml:space="preserve">Dasar-Dasar Bimbingan Konseling. </w:t>
      </w:r>
      <w:r>
        <w:rPr>
          <w:i/>
        </w:rPr>
        <w:t>Cetakan Ke Dua. Jakarta: Rineka Cipta.</w:t>
      </w:r>
      <w:r>
        <w:t>, 2004.</w:t>
      </w:r>
      <w:r>
        <w:fldChar w:fldCharType="end"/>
      </w:r>
    </w:p>
  </w:footnote>
  <w:footnote w:id="21">
    <w:p w14:paraId="3D9B43AB">
      <w:pPr>
        <w:pStyle w:val="11"/>
        <w:jc w:val="both"/>
      </w:pPr>
      <w:r>
        <w:rPr>
          <w:rStyle w:val="10"/>
        </w:rPr>
        <w:footnoteRef/>
      </w:r>
      <w:r>
        <w:t xml:space="preserve"> </w:t>
      </w:r>
      <w:r>
        <w:fldChar w:fldCharType="begin" w:fldLock="1"/>
      </w:r>
      <w:r>
        <w:instrText xml:space="preserve">ADDIN CSL_CITATION {"citationItems":[{"id":"ITEM-1","itemData":{"DOI":"10.31004/basicedu.v5i3.941","ISSN":"2580-3735","abstract":"Negara Indonesia telah melaksanakan pendidikan inklusif, bahkan di sekolah dasar. Seorang pendidik masih meyakini bahwa menghadapi anak yang mengalami kesulitan belajar adalah hal yang sulit. Hal ini dikarenakan guru belum berpengalaman dan minim pengetahuan tentang anak berkebutuhan khusus. Penelitian ini bertujuan untuk mendeskripsikan mengenai siswa learning disabilities di sekolah dasar. Peneliti melakukan wawancara terhadap guru kelas dan guru pendamping ABK dan melakukan observasi pada siswa learning disabilities dan melakukan kajian literature mengenai siswa learning disabilities di sekolah dasar. Ada beberapa penanganan yang dapat dilakukan bagi siswa dengan learning disabilities seperti Salah satu bentuk layanan belajar bagi anak berkebutuhan khusus adalah pemberian treatment agar kesulitan dan hambatan belajar yang dialami siswa berkebutuhan khusus dapat diatasi. Harapannya adalah melalui layanan belajar yang tepat siswa yang berkebutuhan khusus dapat mengembangkan secara optimal potensi yang ada pada dirinya. Terdapat berbagai macam treatment yang dapat dilakukan untuk mengatasi kesulitan belajar pada anak disleksia, salah satunya adalah dengan penggunaan media sebagai alat bantu belajar. Peranan media sangat penting dalam pembelajaran mengingat media dapat bermanfaat untuk membantu menyampaikan informasi dari pembelajar kepada subjek ajar secara efektif. Media berbasis digital atau pemanfaatan teknologi pun dapat menjadi solusi dalam pembelajaran","author":[{"dropping-particle":"","family":"Romadhon","given":"Muhamad","non-dropping-particle":"","parse-names":false,"suffix":""},{"dropping-particle":"","family":"Supena","given":"Asep","non-dropping-particle":"","parse-names":false,"suffix":""}],"container-title":"Jurnal Basicedu","id":"ITEM-1","issue":"3","issued":{"date-parts":[["2021"]]},"note":"Query date: 2023-11-25 05:18:46","page":"1471-1478","publisher":"jbasic.org","title":"Penanganan Siswa Learning Disabilities di Sekolah Dasar Inklusi","type":"article-journal","volume":"5"},"uris":["http://www.mendeley.com/documents/?uuid=c16d33f3-9b69-412d-a3a8-7c3f560da146"]}],"mendeley":{"formattedCitation":"Muhamad Romadhon and Asep Supena, “Penanganan Siswa Learning Disabilities Di Sekolah Dasar Inklusi,” &lt;i&gt;Jurnal Basicedu&lt;/i&gt; 5, no. 3 (2021): 1471–78, https://doi.org/10.31004/basicedu.v5i3.941.","plainTextFormattedCitation":"Muhamad Romadhon and Asep Supena, “Penanganan Siswa Learning Disabilities Di Sekolah Dasar Inklusi,” Jurnal Basicedu 5, no. 3 (2021): 1471–78, https://doi.org/10.31004/basicedu.v5i3.941.","previouslyFormattedCitation":"Muhamad Romadhon and Asep Supena, “Penanganan Siswa Learning Disabilities Di Sekolah Dasar Inklusi,” &lt;i&gt;Jurnal Basicedu&lt;/i&gt; 5, no. 3 (2021): 1471–78, https://doi.org/10.31004/basicedu.v5i3.941."},"properties":{"noteIndex":22},"schema":"https://github.com/citation-style-language/schema/raw/master/csl-citation.json"}</w:instrText>
      </w:r>
      <w:r>
        <w:fldChar w:fldCharType="separate"/>
      </w:r>
      <w:r>
        <w:t xml:space="preserve">Muhamad Romadhon and Asep Supena, “Penanganan Siswa Learning Disabilities Di Sekolah Dasar Inklusi,” </w:t>
      </w:r>
      <w:r>
        <w:rPr>
          <w:i/>
        </w:rPr>
        <w:t>Jurnal Basicedu</w:t>
      </w:r>
      <w:r>
        <w:t xml:space="preserve"> 5, no. 3 (2021): 1471–78, https://doi.org/10.31004/basicedu.v5i3.941.</w:t>
      </w:r>
      <w:r>
        <w:fldChar w:fldCharType="end"/>
      </w:r>
    </w:p>
  </w:footnote>
  <w:footnote w:id="22">
    <w:p w14:paraId="5B9557FF">
      <w:pPr>
        <w:pStyle w:val="11"/>
        <w:jc w:val="both"/>
      </w:pPr>
      <w:r>
        <w:rPr>
          <w:rStyle w:val="10"/>
        </w:rPr>
        <w:footnoteRef/>
      </w:r>
      <w:r>
        <w:t xml:space="preserve"> </w:t>
      </w:r>
      <w:r>
        <w:fldChar w:fldCharType="begin" w:fldLock="1"/>
      </w:r>
      <w:r>
        <w:instrText xml:space="preserve">ADDIN CSL_CITATION {"citationItems":[{"id":"ITEM-1","itemData":{"author":[{"dropping-particle":"","family":"McLeod","given":"A.","non-dropping-particle":"","parse-names":false,"suffix":""}],"container-title":"Sampling and asymptotic network properties of spatial multi-trophic networks. Oikos, 130(10), 1531–1542. https://doi.org/10.1111/oik.08650","id":"ITEM-1","issued":{"date-parts":[["2021"]]},"title":"Sampling and asymptotic network properties of spatial multi-trophic networks. Oikos, 130(10), 1531–1542. https://doi.org/10.1111/oik.08650","type":"chapter"},"uris":["http://www.mendeley.com/documents/?uuid=89e0b943-ee9c-4e3d-9e3b-a7e30e6f1d7a"]}],"mendeley":{"formattedCitation":"A. McLeod, “Sampling and Asymptotic Network Properties of Spatial Multi-Trophic Networks. Oikos, 130(10), 1531–1542. Https://Doi.Org/10.1111/Oik.08650,” in &lt;i&gt;Sampling and Asymptotic Network Properties of Spatial Multi-Trophic Networks. Oikos, 130(10), 1531–1542. Https://Doi.Org/10.1111/Oik.08650&lt;/i&gt;, 2021.","plainTextFormattedCitation":"A. McLeod, “Sampling and Asymptotic Network Properties of Spatial Multi-Trophic Networks. Oikos, 130(10), 1531–1542. Https://Doi.Org/10.1111/Oik.08650,” in Sampling and Asymptotic Network Properties of Spatial Multi-Trophic Networks. Oikos, 130(10), 1531–1542. Https://Doi.Org/10.1111/Oik.08650, 2021.","previouslyFormattedCitation":"A. McLeod, “Sampling and Asymptotic Network Properties of Spatial Multi-Trophic Networks. Oikos, 130(10), 1531–1542. Https://Doi.Org/10.1111/Oik.08650,” in &lt;i&gt;Sampling and Asymptotic Network Properties of Spatial Multi-Trophic Networks. Oikos, 130(10), 1531–1542. Https://Doi.Org/10.1111/Oik.08650&lt;/i&gt;, 2021."},"properties":{"noteIndex":23},"schema":"https://github.com/citation-style-language/schema/raw/master/csl-citation.json"}</w:instrText>
      </w:r>
      <w:r>
        <w:fldChar w:fldCharType="separate"/>
      </w:r>
      <w:r>
        <w:t xml:space="preserve">A. McLeod, “Sampling and Asymptotic Network Properties of Spatial Multi-Trophic Networks. Oikos, 130(10), 1531–1542. Https://Doi.Org/10.1111/Oik.08650,” in </w:t>
      </w:r>
      <w:r>
        <w:rPr>
          <w:i/>
        </w:rPr>
        <w:t>Sampling and Asymptotic Network Properties of Spatial Multi-Trophic Networks. Oikos, 130(10), 1531–1542. Https://Doi.Org/10.1111/Oik.08650</w:t>
      </w:r>
      <w:r>
        <w:t>, 2021.</w:t>
      </w:r>
      <w:r>
        <w:fldChar w:fldCharType="end"/>
      </w:r>
    </w:p>
  </w:footnote>
  <w:footnote w:id="23">
    <w:p w14:paraId="252FF93B">
      <w:pPr>
        <w:pStyle w:val="11"/>
        <w:jc w:val="both"/>
      </w:pPr>
      <w:r>
        <w:rPr>
          <w:rStyle w:val="10"/>
        </w:rPr>
        <w:footnoteRef/>
      </w:r>
      <w:r>
        <w:t xml:space="preserve"> </w:t>
      </w:r>
      <w:r>
        <w:fldChar w:fldCharType="begin" w:fldLock="1"/>
      </w:r>
      <w:r>
        <w:instrText xml:space="preserve">ADDIN CSL_CITATION {"citationItems":[{"id":"ITEM-1","itemData":{"author":[{"dropping-particle":"","family":"Cerniglia, L., Guicciardi, M., Sinatra, M., Monacis, L., Simonelli, A., &amp; Cimino","given":"S.","non-dropping-particle":"","parse-names":false,"suffix":""}],"container-title":"Behavioral Sciences,","id":"ITEM-1","issue":"8","issued":{"date-parts":[["2022"]]},"page":"282.","title":"Body image concerns: The impact of digital technologies on adolescents. https://doi.org/10.3390/bs12080282","type":"article-journal","volume":"12"},"uris":["http://www.mendeley.com/documents/?uuid=d1754658-6e3f-4a32-a0b6-51f252fcd39b"]}],"mendeley":{"formattedCitation":"S. Cerniglia, L., Guicciardi, M., Sinatra, M., Monacis, L., Simonelli, A., &amp; Cimino, “Body Image Concerns: The Impact of Digital Technologies on Adolescents. Https://Doi.Org/10.3390/Bs12080282,” &lt;i&gt;Behavioral Sciences,&lt;/i&gt; 12, no. 8 (2022): 282.","plainTextFormattedCitation":"S. Cerniglia, L., Guicciardi, M., Sinatra, M., Monacis, L., Simonelli, A., &amp; Cimino, “Body Image Concerns: The Impact of Digital Technologies on Adolescents. Https://Doi.Org/10.3390/Bs12080282,” Behavioral Sciences, 12, no. 8 (2022): 282.","previouslyFormattedCitation":"S. Cerniglia, L., Guicciardi, M., Sinatra, M., Monacis, L., Simonelli, A., &amp; Cimino, “Body Image Concerns: The Impact of Digital Technologies on Adolescents. Https://Doi.Org/10.3390/Bs12080282,” &lt;i&gt;Behavioral Sciences,&lt;/i&gt; 12, no. 8 (2022): 282."},"properties":{"noteIndex":24},"schema":"https://github.com/citation-style-language/schema/raw/master/csl-citation.json"}</w:instrText>
      </w:r>
      <w:r>
        <w:fldChar w:fldCharType="separate"/>
      </w:r>
      <w:r>
        <w:t xml:space="preserve">S. Cerniglia, L., Guicciardi, M., Sinatra, M., Monacis, L., Simonelli, A., &amp; Cimino, “Body Image Concerns: The Impact of Digital Technologies on Adolescents. Https://Doi.Org/10.3390/Bs12080282,” </w:t>
      </w:r>
      <w:r>
        <w:rPr>
          <w:i/>
        </w:rPr>
        <w:t>Behavioral Sciences,</w:t>
      </w:r>
      <w:r>
        <w:t xml:space="preserve"> 12, no. 8 (2022): 282.</w:t>
      </w:r>
      <w:r>
        <w:fldChar w:fldCharType="end"/>
      </w:r>
    </w:p>
  </w:footnote>
  <w:footnote w:id="24">
    <w:p w14:paraId="60AD968A">
      <w:pPr>
        <w:pStyle w:val="11"/>
        <w:jc w:val="both"/>
      </w:pPr>
      <w:r>
        <w:rPr>
          <w:rStyle w:val="10"/>
        </w:rPr>
        <w:footnoteRef/>
      </w:r>
      <w:r>
        <w:t xml:space="preserve"> </w:t>
      </w:r>
      <w:r>
        <w:fldChar w:fldCharType="begin" w:fldLock="1"/>
      </w:r>
      <w:r>
        <w:instrText xml:space="preserve">ADDIN CSL_CITATION {"citationItems":[{"id":"ITEM-1","itemData":{"author":[{"dropping-particle":"","family":"Kim, N., &amp; Lee","given":"K.","non-dropping-particle":"","parse-names":false,"suffix":""}],"container-title":"International Journal of Environmental Research and Public Health,","id":"ITEM-1","issue":"7","issued":{"date-parts":[["2023"]]},"page":"5312.","title":"Environmental consciousness, purchase intention, and actual purchase behavior of eco-friendly products: The moderating impact of situational context. https://doi.org/10.3390/ijerph20075312","type":"article-journal","volume":"20"},"uris":["http://www.mendeley.com/documents/?uuid=23719695-8601-4140-b627-0a15d8b1e9c3"]}],"mendeley":{"formattedCitation":"K. Kim, N., &amp; Lee, “Environmental Consciousness, Purchase Intention, and Actual Purchase Behavior of Eco-Friendly Products: The Moderating Impact of Situational Context. Https://Doi.Org/10.3390/Ijerph20075312,” &lt;i&gt;International Journal of Environmental Research and Public Health,&lt;/i&gt; 20, no. 7 (2023): 5312.","plainTextFormattedCitation":"K. Kim, N., &amp; Lee, “Environmental Consciousness, Purchase Intention, and Actual Purchase Behavior of Eco-Friendly Products: The Moderating Impact of Situational Context. Https://Doi.Org/10.3390/Ijerph20075312,” International Journal of Environmental Research and Public Health, 20, no. 7 (2023): 5312.","previouslyFormattedCitation":"K. Kim, N., &amp; Lee, “Environmental Consciousness, Purchase Intention, and Actual Purchase Behavior of Eco-Friendly Products: The Moderating Impact of Situational Context. Https://Doi.Org/10.3390/Ijerph20075312,” &lt;i&gt;International Journal of Environmental Research and Public Health,&lt;/i&gt; 20, no. 7 (2023): 5312."},"properties":{"noteIndex":25},"schema":"https://github.com/citation-style-language/schema/raw/master/csl-citation.json"}</w:instrText>
      </w:r>
      <w:r>
        <w:fldChar w:fldCharType="separate"/>
      </w:r>
      <w:r>
        <w:t xml:space="preserve">K. Kim, N., &amp; Lee, “Environmental Consciousness, Purchase Intention, and Actual Purchase Behavior of Eco-Friendly Products: The Moderating Impact of Situational Context. Https://Doi.Org/10.3390/Ijerph20075312,” </w:t>
      </w:r>
      <w:r>
        <w:rPr>
          <w:i/>
        </w:rPr>
        <w:t>International Journal of Environmental Research and Public Health,</w:t>
      </w:r>
      <w:r>
        <w:t xml:space="preserve"> 20, no. 7 (2023): 5312.</w:t>
      </w:r>
      <w:r>
        <w:fldChar w:fldCharType="end"/>
      </w:r>
    </w:p>
  </w:footnote>
  <w:footnote w:id="25">
    <w:p w14:paraId="634CA04B">
      <w:pPr>
        <w:pStyle w:val="11"/>
        <w:jc w:val="both"/>
      </w:pPr>
      <w:r>
        <w:rPr>
          <w:rStyle w:val="10"/>
        </w:rPr>
        <w:footnoteRef/>
      </w:r>
      <w:r>
        <w:t xml:space="preserve"> </w:t>
      </w:r>
      <w:r>
        <w:fldChar w:fldCharType="begin" w:fldLock="1"/>
      </w:r>
      <w:r>
        <w:instrText xml:space="preserve">ADDIN CSL_CITATION {"citationItems":[{"id":"ITEM-1","itemData":{"author":[{"dropping-particle":"","family":"Masten","given":"A S","non-dropping-particle":"","parse-names":false,"suffix":""}],"id":"ITEM-1","issued":{"date-parts":[["2014"]]},"title":"Ordinary magic: Resilience in development","type":"book"},"uris":["http://www.mendeley.com/documents/?uuid=9c15aa81-078a-4394-b9d3-4d80776c4992"]}],"mendeley":{"formattedCitation":"A S Masten, &lt;i&gt;Ordinary Magic: Resilience in Development&lt;/i&gt;, 2014.","plainTextFormattedCitation":"A S Masten, Ordinary Magic: Resilience in Development, 2014.","previouslyFormattedCitation":"A S Masten, &lt;i&gt;Ordinary Magic: Resilience in Development&lt;/i&gt;, 2014."},"properties":{"noteIndex":26},"schema":"https://github.com/citation-style-language/schema/raw/master/csl-citation.json"}</w:instrText>
      </w:r>
      <w:r>
        <w:fldChar w:fldCharType="separate"/>
      </w:r>
      <w:r>
        <w:t xml:space="preserve">A S Masten, </w:t>
      </w:r>
      <w:r>
        <w:rPr>
          <w:i/>
        </w:rPr>
        <w:t>Ordinary Magic: Resilience in Development</w:t>
      </w:r>
      <w:r>
        <w:t>, 2014.</w:t>
      </w:r>
      <w:r>
        <w:fldChar w:fldCharType="end"/>
      </w:r>
    </w:p>
  </w:footnote>
  <w:footnote w:id="26">
    <w:p w14:paraId="6BE832B5">
      <w:pPr>
        <w:pStyle w:val="11"/>
        <w:jc w:val="both"/>
      </w:pPr>
      <w:r>
        <w:rPr>
          <w:rStyle w:val="10"/>
        </w:rPr>
        <w:footnoteRef/>
      </w:r>
      <w:r>
        <w:rPr>
          <w:lang w:val="fi-FI"/>
        </w:rPr>
        <w:t xml:space="preserve"> </w:t>
      </w:r>
      <w:r>
        <w:fldChar w:fldCharType="begin" w:fldLock="1"/>
      </w:r>
      <w:r>
        <w:rPr>
          <w:lang w:val="fi-FI"/>
        </w:rPr>
        <w:instrText xml:space="preserve">ADDIN CSL_CITATION {"citationItems":[{"id":"ITEM-1","itemData":{"author":[{"dropping-particle":"","family":"Goleman","given":"Daniel","non-dropping-particle":"","parse-names":false,"suffix":""}],"id":"ITEM-1","issued":{"date-parts":[["2001"]]},"publisher":"Gramedia Pustaka Utama","publisher-place":"Jakarta","title":"Kecerdasan Emosi untuk Mencapai Puncak Prestasi. Alih Bahasa: Widodo, A.T.","type":"book"},"uris":["http://www.mendeley.com/documents/?uuid=162922fb-a790-4e03-8786-51905d694300"]}],"mendeley":{"formattedCitation":"Daniel Goleman, &lt;i&gt;Kecerdasan Emosi Untuk Mencapai Puncak Prestasi. Alih Bahasa: Widodo, A.T.&lt;/i&gt; (Jakarta: Gramedia Pustaka Utama, 2001).","plainTextFormattedCitation":"Daniel Goleman, Kecerdasan Emosi Untuk Mencapai Puncak Prestasi. Alih Bahasa: Widodo, A.T. (Jakarta: Gramedia Pustaka Utama, 2001).","previouslyFormattedCitation":"Daniel Goleman, &lt;i&gt;Kecerdasan Emosi Untuk Mencapai Puncak Prestasi. Alih Bahasa: Widodo, A.T.&lt;/i&gt; (Jakarta: Gramedia Pustaka Utama, 2001)."},"properties":{"noteIndex":27},"schema":"https://github.com/citation-style-language/schema/raw/master/csl-citation.json"}</w:instrText>
      </w:r>
      <w:r>
        <w:fldChar w:fldCharType="separate"/>
      </w:r>
      <w:r>
        <w:rPr>
          <w:lang w:val="fi-FI"/>
        </w:rPr>
        <w:t xml:space="preserve">Daniel Goleman, </w:t>
      </w:r>
      <w:r>
        <w:rPr>
          <w:i/>
          <w:lang w:val="fi-FI"/>
        </w:rPr>
        <w:t xml:space="preserve">Kecerdasan Emosi Untuk Mencapai Puncak Prestasi. </w:t>
      </w:r>
      <w:r>
        <w:rPr>
          <w:i/>
        </w:rPr>
        <w:t>Alih Bahasa: Widodo, A.T.</w:t>
      </w:r>
      <w:r>
        <w:t xml:space="preserve"> (Jakarta: Gramedia Pustaka Utama, 2001).</w:t>
      </w:r>
      <w:r>
        <w:fldChar w:fldCharType="end"/>
      </w:r>
    </w:p>
  </w:footnote>
  <w:footnote w:id="27">
    <w:p w14:paraId="33B5168E">
      <w:pPr>
        <w:pStyle w:val="11"/>
        <w:jc w:val="both"/>
      </w:pPr>
      <w:r>
        <w:rPr>
          <w:rStyle w:val="10"/>
        </w:rPr>
        <w:footnoteRef/>
      </w:r>
      <w:r>
        <w:t xml:space="preserve"> </w:t>
      </w:r>
      <w:r>
        <w:fldChar w:fldCharType="begin" w:fldLock="1"/>
      </w:r>
      <w:r>
        <w:instrText xml:space="preserve">ADDIN CSL_CITATION {"citationItems":[{"id":"ITEM-1","itemData":{"author":[{"dropping-particle":"","family":"Epstein","given":"J. L.","non-dropping-particle":"","parse-names":false,"suffix":""}],"id":"ITEM-1","issued":{"date-parts":[["2011"]]},"title":"School, Family, and Community Partnerships: Preparing Educators and Improving Schools (2nd ed.). Westview Press.","type":"book"},"uris":["http://www.mendeley.com/documents/?uuid=e9cfede0-0a40-4790-b834-c130aa941f0d"]}],"mendeley":{"formattedCitation":"J. L. Epstein, &lt;i&gt;School, Family, and Community Partnerships: Preparing Educators and Improving Schools (2nd Ed.). Westview Press.&lt;/i&gt;, 2011.","plainTextFormattedCitation":"J. L. Epstein, School, Family, and Community Partnerships: Preparing Educators and Improving Schools (2nd Ed.). Westview Press., 2011.","previouslyFormattedCitation":"J. L. Epstein, &lt;i&gt;School, Family, and Community Partnerships: Preparing Educators and Improving Schools (2nd Ed.). Westview Press.&lt;/i&gt;, 2011."},"properties":{"noteIndex":28},"schema":"https://github.com/citation-style-language/schema/raw/master/csl-citation.json"}</w:instrText>
      </w:r>
      <w:r>
        <w:fldChar w:fldCharType="separate"/>
      </w:r>
      <w:r>
        <w:t xml:space="preserve">J. L. Epstein, </w:t>
      </w:r>
      <w:r>
        <w:rPr>
          <w:i/>
        </w:rPr>
        <w:t>School, Family, and Community Partnerships: Preparing Educators and Improving Schools (2nd Ed.). Westview Press.</w:t>
      </w:r>
      <w:r>
        <w:t>, 2011.</w:t>
      </w:r>
      <w:r>
        <w:fldChar w:fldCharType="end"/>
      </w:r>
    </w:p>
  </w:footnote>
  <w:footnote w:id="28">
    <w:p w14:paraId="67172A7F">
      <w:pPr>
        <w:pStyle w:val="11"/>
        <w:jc w:val="both"/>
      </w:pPr>
      <w:r>
        <w:rPr>
          <w:rStyle w:val="10"/>
        </w:rPr>
        <w:footnoteRef/>
      </w:r>
      <w:r>
        <w:t xml:space="preserve"> </w:t>
      </w:r>
      <w:r>
        <w:fldChar w:fldCharType="begin" w:fldLock="1"/>
      </w:r>
      <w:r>
        <w:instrText xml:space="preserve">ADDIN CSL_CITATION {"citationItems":[{"id":"ITEM-1","itemData":{"author":[{"dropping-particle":"","family":"Dube, S., Sharma, I., Mishra, S., Cats, O., &amp; Bansal","given":"P.","non-dropping-particle":"","parse-names":false,"suffix":""}],"container-title":"Transportation Research Part B: Methodological,","id":"ITEM-1","issue":"2","issued":{"date-parts":[["2022"]]},"page":", 63–95.","title":"A general framework to forecast the adoption of novel products: A case of autonomous vehicles. https://doi.org/10.1016/j.trb.2022.09.009","type":"article-journal","volume":"165"},"uris":["http://www.mendeley.com/documents/?uuid=3ba223a9-6eb5-4d22-948a-9a8890441905"]}],"mendeley":{"formattedCitation":"P. Dube, S., Sharma, I., Mishra, S., Cats, O., &amp; Bansal, “A General Framework to Forecast the Adoption of Novel Products: A Case of Autonomous Vehicles. Https://Doi.Org/10.1016/j.Trb.2022.09.009,” &lt;i&gt;Transportation Research Part B: Methodological,&lt;/i&gt; 165, no. 2 (2022): 63–95.","plainTextFormattedCitation":"P. Dube, S., Sharma, I., Mishra, S., Cats, O., &amp; Bansal, “A General Framework to Forecast the Adoption of Novel Products: A Case of Autonomous Vehicles. Https://Doi.Org/10.1016/j.Trb.2022.09.009,” Transportation Research Part B: Methodological, 165, no. 2 (2022): 63–95.","previouslyFormattedCitation":"P. Dube, S., Sharma, I., Mishra, S., Cats, O., &amp; Bansal, “A General Framework to Forecast the Adoption of Novel Products: A Case of Autonomous Vehicles. Https://Doi.Org/10.1016/j.Trb.2022.09.009,” &lt;i&gt;Transportation Research Part B: Methodological,&lt;/i&gt; 165, no. 2 (2022): 63–95."},"properties":{"noteIndex":29},"schema":"https://github.com/citation-style-language/schema/raw/master/csl-citation.json"}</w:instrText>
      </w:r>
      <w:r>
        <w:fldChar w:fldCharType="separate"/>
      </w:r>
      <w:r>
        <w:t xml:space="preserve">P. Dube, S., Sharma, I., Mishra, S., Cats, O., &amp; Bansal, “A General Framework to Forecast the Adoption of Novel Products: A Case of Autonomous Vehicles. Https://Doi.Org/10.1016/j.Trb.2022.09.009,” </w:t>
      </w:r>
      <w:r>
        <w:rPr>
          <w:i/>
        </w:rPr>
        <w:t>Transportation Research Part B: Methodological,</w:t>
      </w:r>
      <w:r>
        <w:t xml:space="preserve"> 165, no. 2 (2022): 63–95.</w:t>
      </w:r>
      <w:r>
        <w:fldChar w:fldCharType="end"/>
      </w:r>
    </w:p>
  </w:footnote>
  <w:footnote w:id="29">
    <w:p w14:paraId="37C2732A">
      <w:pPr>
        <w:pStyle w:val="11"/>
        <w:jc w:val="both"/>
      </w:pPr>
      <w:r>
        <w:rPr>
          <w:rStyle w:val="10"/>
        </w:rPr>
        <w:footnoteRef/>
      </w:r>
      <w:r>
        <w:t xml:space="preserve"> </w:t>
      </w:r>
      <w:r>
        <w:fldChar w:fldCharType="begin" w:fldLock="1"/>
      </w:r>
      <w:r>
        <w:instrText xml:space="preserve">ADDIN CSL_CITATION {"citationItems":[{"id":"ITEM-1","itemData":{"author":[{"dropping-particle":"","family":"M. D., Kavazis, A. N., Reidy, P. T., Ogasawara, R., Libardi, C. A., Ugrinowitsch, C., Booth, F. W., &amp; Esser","given":"K. A.","non-dropping-particle":"","parse-names":false,"suffix":""}],"container-title":"Physiological Reviews,","id":"ITEM-1","issue":"4","issued":{"date-parts":[["2023"]]},"page":"2679–2757.","title":"Mechanisms of mechanical overload-induced skeletal muscle hypertrophy: Current understanding and future directions. https://doi.org/10.1152/physrev.00039.2022","type":"article-journal","volume":"103"},"uris":["http://www.mendeley.com/documents/?uuid=5649520b-83c5-4ee9-9c97-e94a5db58307"]}],"mendeley":{"formattedCitation":"K. A. M. D., Kavazis, A. N., Reidy, P. T., Ogasawara, R., Libardi, C. A., Ugrinowitsch, C., Booth, F. W., &amp; Esser, “Mechanisms of Mechanical Overload-Induced Skeletal Muscle Hypertrophy: Current Understanding and Future Directions. Https://Doi.Org/10.1152/Physrev.00039.2022,” &lt;i&gt;Physiological Reviews,&lt;/i&gt; 103, no. 4 (2023): 2679–2757.","plainTextFormattedCitation":"K. A. M. D., Kavazis, A. N., Reidy, P. T., Ogasawara, R., Libardi, C. A., Ugrinowitsch, C., Booth, F. W., &amp; Esser, “Mechanisms of Mechanical Overload-Induced Skeletal Muscle Hypertrophy: Current Understanding and Future Directions. Https://Doi.Org/10.1152/Physrev.00039.2022,” Physiological Reviews, 103, no. 4 (2023): 2679–2757.","previouslyFormattedCitation":"K. A. M. D., Kavazis, A. N., Reidy, P. T., Ogasawara, R., Libardi, C. A., Ugrinowitsch, C., Booth, F. W., &amp; Esser, “Mechanisms of Mechanical Overload-Induced Skeletal Muscle Hypertrophy: Current Understanding and Future Directions. Https://Doi.Org/10.1152/Physrev.00039.2022,” &lt;i&gt;Physiological Reviews,&lt;/i&gt; 103, no. 4 (2023): 2679–2757."},"properties":{"noteIndex":30},"schema":"https://github.com/citation-style-language/schema/raw/master/csl-citation.json"}</w:instrText>
      </w:r>
      <w:r>
        <w:fldChar w:fldCharType="separate"/>
      </w:r>
      <w:r>
        <w:t xml:space="preserve">K. A. M. D., Kavazis, A. N., Reidy, P. T., Ogasawara, R., Libardi, C. A., Ugrinowitsch, C., Booth, F. W., &amp; Esser, “Mechanisms of Mechanical Overload-Induced Skeletal Muscle Hypertrophy: Current Understanding and Future Directions. Https://Doi.Org/10.1152/Physrev.00039.2022,” </w:t>
      </w:r>
      <w:r>
        <w:rPr>
          <w:i/>
        </w:rPr>
        <w:t>Physiological Reviews,</w:t>
      </w:r>
      <w:r>
        <w:t xml:space="preserve"> 103, no. 4 (2023): 2679–2757.</w:t>
      </w:r>
      <w:r>
        <w:fldChar w:fldCharType="end"/>
      </w:r>
    </w:p>
  </w:footnote>
  <w:footnote w:id="30">
    <w:p w14:paraId="391FA604">
      <w:pPr>
        <w:pStyle w:val="11"/>
        <w:jc w:val="both"/>
      </w:pPr>
      <w:r>
        <w:rPr>
          <w:rStyle w:val="10"/>
        </w:rPr>
        <w:footnoteRef/>
      </w:r>
      <w:r>
        <w:t xml:space="preserve"> </w:t>
      </w:r>
      <w:r>
        <w:fldChar w:fldCharType="begin" w:fldLock="1"/>
      </w:r>
      <w:r>
        <w:instrText xml:space="preserve">ADDIN CSL_CITATION {"citationItems":[{"id":"ITEM-1","itemData":{"author":[{"dropping-particle":"","family":"Keddie","given":"A.","non-dropping-particle":"","parse-names":false,"suffix":""}],"container-title":"A social justice approach. Gender, Work &amp; Organization,","id":"ITEM-1","issue":"3","issued":{"date-parts":[["2023"]]},"page":"810–825.","title":"Gender equality reform and police organizations: https://doi.org/10.1111/gwao.12918","type":"article-journal","volume":"30"},"uris":["http://www.mendeley.com/documents/?uuid=21d077c3-7f50-4a6c-bf2b-7aa92958d0dd"]}],"mendeley":{"formattedCitation":"A. Keddie, “Gender Equality Reform and Police Organizations: Https://Doi.Org/10.1111/Gwao.12918,” &lt;i&gt;A Social Justice Approach. Gender, Work &amp; Organization,&lt;/i&gt; 30, no. 3 (2023): 810–825.","plainTextFormattedCitation":"A. Keddie, “Gender Equality Reform and Police Organizations: Https://Doi.Org/10.1111/Gwao.12918,” A Social Justice Approach. Gender, Work &amp; Organization, 30, no. 3 (2023): 810–825.","previouslyFormattedCitation":"A. Keddie, “Gender Equality Reform and Police Organizations: Https://Doi.Org/10.1111/Gwao.12918,” &lt;i&gt;A Social Justice Approach. Gender, Work &amp; Organization,&lt;/i&gt; 30, no. 3 (2023): 810–825."},"properties":{"noteIndex":31},"schema":"https://github.com/citation-style-language/schema/raw/master/csl-citation.json"}</w:instrText>
      </w:r>
      <w:r>
        <w:fldChar w:fldCharType="separate"/>
      </w:r>
      <w:r>
        <w:t xml:space="preserve">A. Keddie, “Gender Equality Reform and Police Organizations: Https://Doi.Org/10.1111/Gwao.12918,” </w:t>
      </w:r>
      <w:r>
        <w:rPr>
          <w:i/>
        </w:rPr>
        <w:t>A Social Justice Approach. Gender, Work &amp; Organization,</w:t>
      </w:r>
      <w:r>
        <w:t xml:space="preserve"> 30, no. 3 (2023): 810–825.</w:t>
      </w:r>
      <w:r>
        <w:fldChar w:fldCharType="end"/>
      </w:r>
    </w:p>
  </w:footnote>
  <w:footnote w:id="31">
    <w:p w14:paraId="6852F36A">
      <w:pPr>
        <w:pStyle w:val="11"/>
        <w:jc w:val="both"/>
      </w:pPr>
      <w:r>
        <w:rPr>
          <w:rStyle w:val="10"/>
        </w:rPr>
        <w:footnoteRef/>
      </w:r>
      <w:r>
        <w:t xml:space="preserve"> </w:t>
      </w:r>
      <w:r>
        <w:fldChar w:fldCharType="begin" w:fldLock="1"/>
      </w:r>
      <w:r>
        <w:instrText xml:space="preserve">ADDIN CSL_CITATION {"citationItems":[{"id":"ITEM-1","itemData":{"DOI":"10.33394/jp.v10i2.7190","ISSN":"2355-7761","abstract":"This study aims to analyze the effectiveness of e-module teaching materials based on the local wisdom of the Grobogan area on the learning outcomes of elementary school students. This research method used research and development from Borg and Gall and used the One Group Pretest-Posttest Design. The data collection used was pretest and posttest description test questions supplemented by an assessment rubric given to students. The data analysis technique of this study used the Independent Sample T-Test and the N-Gain Score test. The results of this study indicated that the effectiveness of the e-module teaching materials that have been tested gets t-test results with a sig (2-tailed) of 0.000 ˂ 0.05, which indicates a significant difference between the results of the students' pretest and posttest. While the average N-Gain score of students in one class, when viewed from the N-Gain percent by using the category of interpretation of the effectiveness of the N-Gain score, is declared \"effective enough,\" with the result value obtained as 57.6725. So it can be concluded that e-modules based on local wisdom in the Grobogan area positively impact student learning outcomes.","author":[{"dropping-particle":"","family":"Kumalasari","given":"Novita","non-dropping-particle":"","parse-names":false,"suffix":""},{"dropping-particle":"","family":"Fathurohman","given":"Irfai","non-dropping-particle":"","parse-names":false,"suffix":""},{"dropping-particle":"","family":"Fakhriyah","given":"Fina","non-dropping-particle":"","parse-names":false,"suffix":""}],"container-title":"Jurnal Paedagogy","id":"ITEM-1","issue":"2","issued":{"date-parts":[["2023"]]},"note":"Query date: 2023-11-18 18:21:20","page":"554","publisher":"e-journal.undikma.ac.id","title":"Pengembangan E-Modul Berbasis Kearifan Lokal Daerah Grobogan untuk Meningkatkan Hasil Belajar Siswa Sekolah Dasar","type":"article-journal","volume":"10"},"uris":["http://www.mendeley.com/documents/?uuid=0385254b-4ccb-4358-bbb1-5aa33db3f90c"]}],"mendeley":{"formattedCitation":"Novita Kumalasari, Irfai Fathurohman, and Fina Fakhriyah, “Pengembangan E-Modul Berbasis Kearifan Lokal Daerah Grobogan Untuk Meningkatkan Hasil Belajar Siswa Sekolah Dasar,” &lt;i&gt;Jurnal Paedagogy&lt;/i&gt; 10, no. 2 (2023): 554, https://doi.org/10.33394/jp.v10i2.7190.","plainTextFormattedCitation":"Novita Kumalasari, Irfai Fathurohman, and Fina Fakhriyah, “Pengembangan E-Modul Berbasis Kearifan Lokal Daerah Grobogan Untuk Meningkatkan Hasil Belajar Siswa Sekolah Dasar,” Jurnal Paedagogy 10, no. 2 (2023): 554, https://doi.org/10.33394/jp.v10i2.7190.","previouslyFormattedCitation":"Novita Kumalasari, Irfai Fathurohman, and Fina Fakhriyah, “Pengembangan E-Modul Berbasis Kearifan Lokal Daerah Grobogan Untuk Meningkatkan Hasil Belajar Siswa Sekolah Dasar,” &lt;i&gt;Jurnal Paedagogy&lt;/i&gt; 10, no. 2 (2023): 554, https://doi.org/10.33394/jp.v10i2.7190."},"properties":{"noteIndex":32},"schema":"https://github.com/citation-style-language/schema/raw/master/csl-citation.json"}</w:instrText>
      </w:r>
      <w:r>
        <w:fldChar w:fldCharType="separate"/>
      </w:r>
      <w:r>
        <w:t xml:space="preserve">Novita Kumalasari, Irfai Fathurohman, and Fina Fakhriyah, “Pengembangan E-Modul Berbasis Kearifan Lokal Daerah Grobogan Untuk Meningkatkan Hasil Belajar Siswa Sekolah Dasar,” </w:t>
      </w:r>
      <w:r>
        <w:rPr>
          <w:i/>
        </w:rPr>
        <w:t>Jurnal Paedagogy</w:t>
      </w:r>
      <w:r>
        <w:t xml:space="preserve"> 10, no. 2 (2023): 554, https://doi.org/10.33394/jp.v10i2.7190.</w:t>
      </w:r>
      <w:r>
        <w:fldChar w:fldCharType="end"/>
      </w:r>
    </w:p>
  </w:footnote>
  <w:footnote w:id="32">
    <w:p w14:paraId="7138000E">
      <w:pPr>
        <w:pStyle w:val="11"/>
        <w:jc w:val="both"/>
      </w:pPr>
      <w:r>
        <w:rPr>
          <w:rStyle w:val="10"/>
        </w:rPr>
        <w:footnoteRef/>
      </w:r>
      <w:r>
        <w:t xml:space="preserve"> </w:t>
      </w:r>
      <w:r>
        <w:fldChar w:fldCharType="begin" w:fldLock="1"/>
      </w:r>
      <w:r>
        <w:instrText xml:space="preserve">ADDIN CSL_CITATION {"citationItems":[{"id":"ITEM-1","itemData":{"DOI":"10.17977/jptpp.v5i5.13442","abstract":"&lt;p&gt;&lt;strong&gt;Abstract:&lt;/strong&gt; This study aims to examine the validity of cognitive restructuring techniques manual that contain Pepatah Petitih to reduce students’ bullying verbal behavior. The manual was developed using the Borg &amp;amp; Gall development model, the validation was obtained from media experts testing, counseling experts testing, cultural experts testing and potentials users testing using rating scales. The numerical data were analyzed by Aiken’s rater agreement and interpreted by the index rater agreement. Non-numeric data are used as reference to improve the manual. Validation results show that the manual are valid and appropriate to be used.&lt;/p&gt;&lt;strong&gt;Abstrak:&lt;/strong&gt; Penelitian ini bertujuan untuk mengembangkan dan menguji keabsahan panduan teknik &lt;em&gt;cognitive restructuring &lt;/em&gt;bermuatan pepatah petitih Minangkabau untuk mereduksi perundungan verbal siswa. Pengembangan panduan dilakukan menggunakan model pengembangan Borg &amp;amp; Gall, proses validasi dilakukan melalui uji ahli media, uji ahli konseling, uji ahli budaya dan uji calon pengguna menggunakan skala penilaian. Data angka hasil uji ahli dianalisis dengan kesepakatan rater Aiken’V dan ditafsirkan dengan indeks kesepakatan rater. Data non angka yang diperoleh dari saran dan masukan ahli dijadikan sebagai bahan penyempurnaan panduan. Hasil validasi melalui uji ahli dan uji calon pengguna menunjukkan bahwa panduan valid dan layak digunakan oleh guru BK.","author":[{"dropping-particle":"","family":"Ayu","given":"Siska Putri","non-dropping-particle":"","parse-names":false,"suffix":""},{"dropping-particle":"","family":"Radjah","given":"Carolina L.","non-dropping-particle":"","parse-names":false,"suffix":""},{"dropping-particle":"","family":"Hidayah","given":"Nur","non-dropping-particle":"","parse-names":false,"suffix":""}],"container-title":"Jurnal Pendidikan: Teori, Penelitian, dan Pengembangan","id":"ITEM-1","issue":"5","issued":{"date-parts":[["2020"]]},"note":"Cited By (since 2020): 7","page":"580","publisher":"academia.edu","title":"Konseling Kelompok Teknik Cognitive Restructuring Bermuatan Nilai Budaya Minangkabau","type":"article","volume":"5"},"uris":["http://www.mendeley.com/documents/?uuid=08e4941a-284a-4c31-8662-2b742f093307"]}],"mendeley":{"formattedCitation":"Siska Putri Ayu, Carolina L. Radjah, and Nur Hidayah, “Konseling Kelompok Teknik Cognitive Restructuring Bermuatan Nilai Budaya Minangkabau,” &lt;i&gt;Jurnal Pendidikan: Teori, Penelitian, Dan Pengembangan&lt;/i&gt; (academia.edu, 2020), https://doi.org/10.17977/jptpp.v5i5.13442.","plainTextFormattedCitation":"Siska Putri Ayu, Carolina L. Radjah, and Nur Hidayah, “Konseling Kelompok Teknik Cognitive Restructuring Bermuatan Nilai Budaya Minangkabau,” Jurnal Pendidikan: Teori, Penelitian, Dan Pengembangan (academia.edu, 2020), https://doi.org/10.17977/jptpp.v5i5.13442.","previouslyFormattedCitation":"Siska Putri Ayu, Carolina L. Radjah, and Nur Hidayah, “Konseling Kelompok Teknik Cognitive Restructuring Bermuatan Nilai Budaya Minangkabau,” &lt;i&gt;Jurnal Pendidikan: Teori, Penelitian, Dan Pengembangan&lt;/i&gt; (academia.edu, 2020), https://doi.org/10.17977/jptpp.v5i5.13442."},"properties":{"noteIndex":33},"schema":"https://github.com/citation-style-language/schema/raw/master/csl-citation.json"}</w:instrText>
      </w:r>
      <w:r>
        <w:fldChar w:fldCharType="separate"/>
      </w:r>
      <w:r>
        <w:t xml:space="preserve">Siska Putri Ayu, Carolina L. Radjah, and Nur Hidayah, “Konseling Kelompok Teknik Cognitive Restructuring Bermuatan Nilai Budaya Minangkabau,” </w:t>
      </w:r>
      <w:r>
        <w:rPr>
          <w:i/>
        </w:rPr>
        <w:t>Jurnal Pendidikan: Teori, Penelitian, Dan Pengembangan</w:t>
      </w:r>
      <w:r>
        <w:t xml:space="preserve"> (academia.edu, 2020), https://doi.org/10.17977/jptpp.v5i5.13442.</w:t>
      </w:r>
      <w:r>
        <w:fldChar w:fldCharType="end"/>
      </w:r>
    </w:p>
  </w:footnote>
  <w:footnote w:id="33">
    <w:p w14:paraId="51DBEC28">
      <w:pPr>
        <w:pStyle w:val="11"/>
        <w:jc w:val="both"/>
      </w:pPr>
      <w:r>
        <w:rPr>
          <w:rStyle w:val="10"/>
        </w:rPr>
        <w:footnoteRef/>
      </w:r>
      <w:r>
        <w:t xml:space="preserve"> </w:t>
      </w:r>
      <w:r>
        <w:fldChar w:fldCharType="begin" w:fldLock="1"/>
      </w:r>
      <w:r>
        <w:instrText xml:space="preserve">ADDIN CSL_CITATION {"citationItems":[{"id":"ITEM-1","itemData":{"DOI":"10.47750/pegegog.13.02.18","ISSN":"2148239X","abstract":"The purpose of this study is to mengetahui keberterimaan produk yang berupa Creative Cognitive Behavior Group Counseling dalam mereduksi kecanduan game online. Penelitian ini menggunakan pola penelitian dan pengembangan Born &amp; Galls yang terdiri dari tahap studi pendahuluan, tahap pengembangan produk, dan tahap evaluasi. The participants of this study were 20 students who were taken randomly. The study involved two guidance and counseling experts, guidance and counseling media, and product users to assess the acceptability of the product. Meanwhile, to test the effectiveness of the product, it involved 60 participants, both control and experimental groups. The data analysis technique used descriptive analysis to describe the level of online game addiction. In addition, this study uses analysis quantitavite descriptive to identify the degree of acceptance of the product. The analysis of the product effectiveness test using the Independent Sample T-Test. The results of the descriptive study show that online game addiction is a problem that needs the counselor’s attention, one of which is by implementing Cognitive Behavior Group Counseling. The Cognitive Behavior Group Counseling has high acceptability and effectively reduces student online game addiction. This study’s results should be material and consideration for further research to identify the compatibility of the characteristics of the school counselor in Indonesian with Group Counseling Services.","author":[{"dropping-particle":"","family":"Prasetiawan","given":"Hardi","non-dropping-particle":"","parse-names":false,"suffix":""},{"dropping-particle":"","family":"Barida","given":"Muya","non-dropping-particle":"","parse-names":false,"suffix":""},{"dropping-particle":"","family":"Handaka","given":"Irvan Budhi","non-dropping-particle":"","parse-names":false,"suffix":""},{"dropping-particle":"","family":"Widyastuti","given":"Dian Ari","non-dropping-particle":"","parse-names":false,"suffix":""},{"dropping-particle":"","family":"Agungbudiprabowo","given":"","non-dropping-particle":"","parse-names":false,"suffix":""},{"dropping-particle":"","family":"Wahyudi","given":"Amien","non-dropping-particle":"","parse-names":false,"suffix":""},{"dropping-particle":"","family":"Muyana","given":"Siti","non-dropping-particle":"","parse-names":false,"suffix":""},{"dropping-particle":"","family":"Saputra","given":"Wahyu Nanda Eka","non-dropping-particle":"","parse-names":false,"suffix":""}],"container-title":"Pegem Egitim ve Ogretim Dergisi","id":"ITEM-1","issue":"2","issued":{"date-parts":[["2023"]]},"note":"Query date: 2023-11-12 14:01:34","page":"147-152","title":"Counselor Strategies to Reduce Online Gaming Addiction through Creative Cognitive-Behavior Group Counseling","type":"article-journal","volume":"13"},"uris":["http://www.mendeley.com/documents/?uuid=09452253-7d61-4bb8-8e99-1f0bdf0ceb62"]}],"mendeley":{"formattedCitation":"Hardi Prasetiawan et al., “Counselor Strategies to Reduce Online Gaming Addiction through Creative Cognitive-Behavior Group Counseling,” &lt;i&gt;Pegem Egitim ve Ogretim Dergisi&lt;/i&gt; 13, no. 2 (2023): 147–52, https://doi.org/10.47750/pegegog.13.02.18.","plainTextFormattedCitation":"Hardi Prasetiawan et al., “Counselor Strategies to Reduce Online Gaming Addiction through Creative Cognitive-Behavior Group Counseling,” Pegem Egitim ve Ogretim Dergisi 13, no. 2 (2023): 147–52, https://doi.org/10.47750/pegegog.13.02.18.","previouslyFormattedCitation":"Hardi Prasetiawan et al., “Counselor Strategies to Reduce Online Gaming Addiction through Creative Cognitive-Behavior Group Counseling,” &lt;i&gt;Pegem Egitim ve Ogretim Dergisi&lt;/i&gt; 13, no. 2 (2023): 147–52, https://doi.org/10.47750/pegegog.13.02.18."},"properties":{"noteIndex":34},"schema":"https://github.com/citation-style-language/schema/raw/master/csl-citation.json"}</w:instrText>
      </w:r>
      <w:r>
        <w:fldChar w:fldCharType="separate"/>
      </w:r>
      <w:r>
        <w:t xml:space="preserve">Hardi Prasetiawan et al., “Counselor Strategies to Reduce Online Gaming Addiction through Creative Cognitive-Behavior Group Counseling,” </w:t>
      </w:r>
      <w:r>
        <w:rPr>
          <w:i/>
        </w:rPr>
        <w:t>Pegem Egitim ve Ogretim Dergisi</w:t>
      </w:r>
      <w:r>
        <w:t xml:space="preserve"> 13, no. 2 (2023): 147–52, https://doi.org/10.47750/pegegog.13.02.18.</w:t>
      </w:r>
      <w:r>
        <w:fldChar w:fldCharType="end"/>
      </w:r>
    </w:p>
  </w:footnote>
  <w:footnote w:id="34">
    <w:p w14:paraId="100C150E">
      <w:pPr>
        <w:pStyle w:val="11"/>
        <w:jc w:val="both"/>
      </w:pPr>
      <w:r>
        <w:rPr>
          <w:rStyle w:val="10"/>
        </w:rPr>
        <w:footnoteRef/>
      </w:r>
      <w:r>
        <w:t xml:space="preserve"> </w:t>
      </w:r>
      <w:r>
        <w:fldChar w:fldCharType="begin" w:fldLock="1"/>
      </w:r>
      <w:r>
        <w:instrText xml:space="preserve">ADDIN CSL_CITATION {"citationItems":[{"id":"ITEM-1","itemData":{"DOI":"10.33394/bioscientist.v10i1.5107","ISSN":"2338-5006","abstract":"The development of guided inquiry-based worksheets is based on the lack of learning media in high school biology subjects that can help students think critically. The aim is to develop LKPD based on guided inquiry that is feasible, effective, and practical to help students improve their critical thinking skills. The method is the R&amp;D model of Thiagarajan et al. (1974) namely 4D design, including: define, design, develop, and disseminate. The data analysis technique used is quantitative and qualitative. Quantitative data analysis is used to see the level of feasibility, practicality, and effectiveness. Meanwhile, qualitative data analysis is to find out comments, criticisms, suggestions, and observations. It was found that the guided inquiry-based LKPD that had been developed was feasible to be applied with a percentage of 100% (media expert), 89% (material expert), and 100% (language expert), and the LKPD was declared practical as seen from the achievement of the teacher response sheet with an average 100% and student response sheets with an average of 93.07%. LKPD was also declared effective as seen from the achievement of post-test completeness of 0.70 in the medium category. Based on the results above, it can be concluded that the guided inquiry-based worksheets that have been developed are declared feasible, practical, and effective to use, and can improve students' critical thinking skills.","author":[{"dropping-particle":"","family":"Ananda","given":"Chandrini Faiza","non-dropping-particle":"","parse-names":false,"suffix":""},{"dropping-particle":"","family":"Tanjung","given":"Indayana Febriani","non-dropping-particle":"","parse-names":false,"suffix":""}],"container-title":"Bioscientist : Jurnal Ilmiah Biologi","id":"ITEM-1","issue":"1","issued":{"date-parts":[["2022"]]},"note":"Query date: 2023-11-18 18:21:20","page":"125","publisher":"jbasic.org","title":"Pengembangan Lembar Kerja Peserta Didik Berbasis Guided Inquiry untuk Meningkatkan Kemampuan Berpikir Kritis Siswa","type":"article-journal","volume":"10"},"uris":["http://www.mendeley.com/documents/?uuid=b8932f0b-18d6-4b4c-adb5-da3d8d7fbea5"]}],"mendeley":{"formattedCitation":"Chandrini Faiza Ananda and Indayana Febriani Tanjung, “Pengembangan Lembar Kerja Peserta Didik Berbasis Guided Inquiry Untuk Meningkatkan Kemampuan Berpikir Kritis Siswa,” &lt;i&gt;Bioscientist : Jurnal Ilmiah Biologi&lt;/i&gt; 10, no. 1 (2022): 125, https://doi.org/10.33394/bioscientist.v10i1.5107.","plainTextFormattedCitation":"Chandrini Faiza Ananda and Indayana Febriani Tanjung, “Pengembangan Lembar Kerja Peserta Didik Berbasis Guided Inquiry Untuk Meningkatkan Kemampuan Berpikir Kritis Siswa,” Bioscientist : Jurnal Ilmiah Biologi 10, no. 1 (2022): 125, https://doi.org/10.33394/bioscientist.v10i1.5107.","previouslyFormattedCitation":"Chandrini Faiza Ananda and Indayana Febriani Tanjung, “Pengembangan Lembar Kerja Peserta Didik Berbasis Guided Inquiry Untuk Meningkatkan Kemampuan Berpikir Kritis Siswa,” &lt;i&gt;Bioscientist : Jurnal Ilmiah Biologi&lt;/i&gt; 10, no. 1 (2022): 125, https://doi.org/10.33394/bioscientist.v10i1.5107."},"properties":{"noteIndex":35},"schema":"https://github.com/citation-style-language/schema/raw/master/csl-citation.json"}</w:instrText>
      </w:r>
      <w:r>
        <w:fldChar w:fldCharType="separate"/>
      </w:r>
      <w:r>
        <w:t xml:space="preserve">Chandrini Faiza Ananda and Indayana Febriani Tanjung, “Pengembangan Lembar Kerja Peserta Didik Berbasis Guided Inquiry Untuk Meningkatkan Kemampuan Berpikir Kritis Siswa,” </w:t>
      </w:r>
      <w:r>
        <w:rPr>
          <w:i/>
        </w:rPr>
        <w:t>Bioscientist : Jurnal Ilmiah Biologi</w:t>
      </w:r>
      <w:r>
        <w:t xml:space="preserve"> 10, no. 1 (2022): 125, https://doi.org/10.33394/bioscientist.v10i1.5107.</w:t>
      </w:r>
      <w:r>
        <w:fldChar w:fldCharType="end"/>
      </w:r>
    </w:p>
  </w:footnote>
  <w:footnote w:id="35">
    <w:p w14:paraId="00779C79">
      <w:pPr>
        <w:pStyle w:val="11"/>
        <w:jc w:val="both"/>
      </w:pPr>
      <w:r>
        <w:rPr>
          <w:rStyle w:val="10"/>
        </w:rPr>
        <w:footnoteRef/>
      </w:r>
      <w:r>
        <w:t xml:space="preserve"> </w:t>
      </w:r>
      <w:r>
        <w:fldChar w:fldCharType="begin" w:fldLock="1"/>
      </w:r>
      <w:r>
        <w:instrText xml:space="preserve">ADDIN CSL_CITATION {"citationItems":[{"id":"ITEM-1","itemData":{"author":[{"dropping-particle":"","family":"Thiagarajan, S., Semmel, D. S., &amp; Semmel","given":"M. I.","non-dropping-particle":"","parse-names":false,"suffix":""}],"id":"ITEM-1","issued":{"date-parts":[["1974"]]},"title":"Instructional Development for Training Teachers of Exceptional Children: A Sourcebook. Council for Exceptional Children.","type":"book"},"uris":["http://www.mendeley.com/documents/?uuid=cca3430f-ba1e-45e4-a101-5ca233776392"]}],"mendeley":{"formattedCitation":"M. I. Thiagarajan, S., Semmel, D. S., &amp; Semmel, &lt;i&gt;Instructional Development for Training Teachers of Exceptional Children: A Sourcebook. Council for Exceptional Children.&lt;/i&gt;, 1974.","plainTextFormattedCitation":"M. I. Thiagarajan, S., Semmel, D. S., &amp; Semmel, Instructional Development for Training Teachers of Exceptional Children: A Sourcebook. Council for Exceptional Children., 1974.","previouslyFormattedCitation":"M. I. Thiagarajan, S., Semmel, D. S., &amp; Semmel, &lt;i&gt;Instructional Development for Training Teachers of Exceptional Children: A Sourcebook. Council for Exceptional Children.&lt;/i&gt;, 1974."},"properties":{"noteIndex":36},"schema":"https://github.com/citation-style-language/schema/raw/master/csl-citation.json"}</w:instrText>
      </w:r>
      <w:r>
        <w:fldChar w:fldCharType="separate"/>
      </w:r>
      <w:r>
        <w:t xml:space="preserve">M. I. Thiagarajan, S., Semmel, D. S., &amp; Semmel, </w:t>
      </w:r>
      <w:r>
        <w:rPr>
          <w:i/>
        </w:rPr>
        <w:t>Instructional Development for Training Teachers of Exceptional Children: A Sourcebook. Council for Exceptional Children.</w:t>
      </w:r>
      <w:r>
        <w:t>, 1974.</w:t>
      </w:r>
      <w:r>
        <w:fldChar w:fldCharType="end"/>
      </w:r>
    </w:p>
  </w:footnote>
  <w:footnote w:id="36">
    <w:p w14:paraId="25814F64">
      <w:pPr>
        <w:pStyle w:val="11"/>
        <w:rPr>
          <w:lang w:val="nb-NO"/>
        </w:rPr>
      </w:pPr>
      <w:r>
        <w:rPr>
          <w:rStyle w:val="10"/>
        </w:rPr>
        <w:footnoteRef/>
      </w:r>
      <w:r>
        <w:rPr>
          <w:lang w:val="nb-NO"/>
        </w:rPr>
        <w:t xml:space="preserve"> </w:t>
      </w:r>
      <w:r>
        <w:fldChar w:fldCharType="begin" w:fldLock="1"/>
      </w:r>
      <w:r>
        <w:rPr>
          <w:lang w:val="nb-NO"/>
        </w:rPr>
        <w:instrText xml:space="preserve">ADDIN CSL_CITATION {"citationItems":[{"id":"ITEM-1","itemData":{"author":[{"dropping-particle":"","family":"Sugiyono.","given":"","non-dropping-particle":"","parse-names":false,"suffix":""}],"id":"ITEM-1","issued":{"date-parts":[["2013"]]},"title":"Metode Penelitian Kuantitatif, Kualitatif, da R&amp;D. Bandung: CV Alfabeta.","type":"book"},"uris":["http://www.mendeley.com/documents/?uuid=dbe2b5bb-c162-46b6-a36d-c52dd89dbbbb"]}],"mendeley":{"formattedCitation":"Sugiyono., &lt;i&gt;Metode Penelitian Kuantitatif, Kualitatif, Da R&amp;D. Bandung: CV Alfabeta.&lt;/i&gt;, 2013.","plainTextFormattedCitation":"Sugiyono., Metode Penelitian Kuantitatif, Kualitatif, Da R&amp;D. Bandung: CV Alfabeta., 2013.","previouslyFormattedCitation":"Sugiyono., &lt;i&gt;Metode Penelitian Kuantitatif, Kualitatif, Da R&amp;D. Bandung: CV Alfabeta.&lt;/i&gt;, 2013."},"properties":{"noteIndex":37},"schema":"https://github.com/citation-style-language/schema/raw/master/csl-citation.json"}</w:instrText>
      </w:r>
      <w:r>
        <w:fldChar w:fldCharType="separate"/>
      </w:r>
      <w:r>
        <w:rPr>
          <w:lang w:val="nb-NO"/>
        </w:rPr>
        <w:t xml:space="preserve">Sugiyono., </w:t>
      </w:r>
      <w:r>
        <w:rPr>
          <w:i/>
          <w:lang w:val="nb-NO"/>
        </w:rPr>
        <w:t>Metode Penelitian Kuantitatif, Kualitatif, Da R&amp;D. Bandung: CV Alfabeta.</w:t>
      </w:r>
      <w:r>
        <w:rPr>
          <w:lang w:val="nb-NO"/>
        </w:rPr>
        <w:t>, 2013.</w:t>
      </w:r>
      <w:r>
        <w:fldChar w:fldCharType="end"/>
      </w:r>
    </w:p>
  </w:footnote>
  <w:footnote w:id="37">
    <w:p w14:paraId="33B49D98">
      <w:pPr>
        <w:pStyle w:val="11"/>
        <w:rPr>
          <w:lang w:val="nb-NO"/>
        </w:rPr>
      </w:pPr>
      <w:r>
        <w:rPr>
          <w:rStyle w:val="10"/>
        </w:rPr>
        <w:footnoteRef/>
      </w:r>
      <w:r>
        <w:rPr>
          <w:lang w:val="nb-NO"/>
        </w:rPr>
        <w:t xml:space="preserve"> </w:t>
      </w:r>
      <w:r>
        <w:fldChar w:fldCharType="begin" w:fldLock="1"/>
      </w:r>
      <w:r>
        <w:rPr>
          <w:lang w:val="nb-NO"/>
        </w:rPr>
        <w:instrText xml:space="preserve">ADDIN CSL_CITATION {"citationItems":[{"id":"ITEM-1","itemData":{"author":[{"dropping-particle":"","family":"Rini Fitriah","given":"Dkk","non-dropping-particle":"","parse-names":false,"suffix":""}],"id":"ITEM-1","issued":{"date-parts":[["2025"]]},"title":"Petunjuk Teknis Penelitian UIN Fatmawati Sukarno Bengkulu Tahun Anggaran 2025 | 1","type":"book"},"uris":["http://www.mendeley.com/documents/?uuid=e1367608-aecd-4e26-a04d-b0fda7aa0039"]}],"mendeley":{"formattedCitation":"Dkk Rini Fitriah, &lt;i&gt;Petunjuk Teknis Penelitian UIN Fatmawati Sukarno Bengkulu Tahun Anggaran 2025 | 1&lt;/i&gt;, 2025.","manualFormatting":" Rini Fitriah,dkk Petunjuk Teknis Penelitian UIN Fatmawati Sukarno Bengkulu Tahun Anggaran 2025 | 1, 2025.","plainTextFormattedCitation":"Dkk Rini Fitriah, Petunjuk Teknis Penelitian UIN Fatmawati Sukarno Bengkulu Tahun Anggaran 2025 | 1, 2025.","previouslyFormattedCitation":"Dkk Rini Fitriah, &lt;i&gt;Petunjuk Teknis Penelitian UIN Fatmawati Sukarno Bengkulu Tahun Anggaran 2025 | 1&lt;/i&gt;, 2025."},"properties":{"noteIndex":38},"schema":"https://github.com/citation-style-language/schema/raw/master/csl-citation.json"}</w:instrText>
      </w:r>
      <w:r>
        <w:fldChar w:fldCharType="separate"/>
      </w:r>
      <w:r>
        <w:rPr>
          <w:lang w:val="nb-NO"/>
        </w:rPr>
        <w:t xml:space="preserve"> Rini Fitriah,dkk </w:t>
      </w:r>
      <w:r>
        <w:rPr>
          <w:i/>
          <w:lang w:val="nb-NO"/>
        </w:rPr>
        <w:t>Petunjuk Teknis Penelitian UIN Fatmawati Sukarno Bengkulu Tahun Anggaran 2025 | 1</w:t>
      </w:r>
      <w:r>
        <w:rPr>
          <w:lang w:val="nb-NO"/>
        </w:rPr>
        <w:t>, 2025.</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1A4B04"/>
    <w:multiLevelType w:val="multilevel"/>
    <w:tmpl w:val="0A1A4B0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0D4519D"/>
    <w:multiLevelType w:val="multilevel"/>
    <w:tmpl w:val="10D4519D"/>
    <w:lvl w:ilvl="0" w:tentative="0">
      <w:start w:val="1"/>
      <w:numFmt w:val="decimal"/>
      <w:lvlText w:val="%1."/>
      <w:lvlJc w:val="left"/>
      <w:pPr>
        <w:ind w:left="1800" w:hanging="360"/>
      </w:pPr>
      <w:rPr>
        <w:rFonts w:ascii="Times New Roman" w:hAnsi="Times New Roman" w:cs="Times New Roman" w:eastAsiaTheme="minorHAnsi"/>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rPr>
        <w:rFonts w:hint="default"/>
      </w:rPr>
    </w:lvl>
    <w:lvl w:ilvl="4" w:tentative="0">
      <w:start w:val="1"/>
      <w:numFmt w:val="decimal"/>
      <w:lvlText w:val="%5)"/>
      <w:lvlJc w:val="left"/>
      <w:pPr>
        <w:ind w:left="4680" w:hanging="360"/>
      </w:pPr>
      <w:rPr>
        <w:rFonts w:ascii="Times New Roman" w:hAnsi="Times New Roman" w:cs="Times New Roman" w:eastAsiaTheme="minorHAnsi"/>
      </w:r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
    <w:nsid w:val="239D70C8"/>
    <w:multiLevelType w:val="multilevel"/>
    <w:tmpl w:val="239D70C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A6E6D7C"/>
    <w:multiLevelType w:val="multilevel"/>
    <w:tmpl w:val="2A6E6D7C"/>
    <w:lvl w:ilvl="0" w:tentative="0">
      <w:start w:val="4"/>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3F50961"/>
    <w:multiLevelType w:val="multilevel"/>
    <w:tmpl w:val="33F50961"/>
    <w:lvl w:ilvl="0" w:tentative="0">
      <w:start w:val="1"/>
      <w:numFmt w:val="upperLetter"/>
      <w:lvlText w:val="%1."/>
      <w:lvlJc w:val="left"/>
      <w:pPr>
        <w:ind w:left="5387" w:hanging="36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630"/>
        </w:tabs>
        <w:ind w:left="63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41F3647"/>
    <w:multiLevelType w:val="multilevel"/>
    <w:tmpl w:val="341F3647"/>
    <w:lvl w:ilvl="0" w:tentative="0">
      <w:start w:val="1"/>
      <w:numFmt w:val="decimal"/>
      <w:lvlText w:val="%1."/>
      <w:lvlJc w:val="lef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89B43EE"/>
    <w:multiLevelType w:val="multilevel"/>
    <w:tmpl w:val="389B43E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0"/>
      <w:numFmt w:val="bullet"/>
      <w:lvlText w:val=""/>
      <w:lvlJc w:val="left"/>
      <w:pPr>
        <w:ind w:left="2390" w:hanging="410"/>
      </w:pPr>
      <w:rPr>
        <w:rFonts w:hint="default" w:ascii="Times New Roman" w:hAnsi="Times New Roman" w:eastAsia="Times New Roman" w:cs="Times New Roman"/>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AA10218"/>
    <w:multiLevelType w:val="multilevel"/>
    <w:tmpl w:val="3AA102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BC3692A"/>
    <w:multiLevelType w:val="multilevel"/>
    <w:tmpl w:val="3BC3692A"/>
    <w:lvl w:ilvl="0" w:tentative="0">
      <w:start w:val="1"/>
      <w:numFmt w:val="lowerLetter"/>
      <w:lvlText w:val="%1."/>
      <w:lvlJc w:val="left"/>
      <w:pPr>
        <w:ind w:left="99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0A56ED0"/>
    <w:multiLevelType w:val="multilevel"/>
    <w:tmpl w:val="60A56ED0"/>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decimal"/>
      <w:lvlText w:val="%3."/>
      <w:lvlJc w:val="left"/>
      <w:pPr>
        <w:ind w:left="720" w:hanging="36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6F793A0E"/>
    <w:multiLevelType w:val="multilevel"/>
    <w:tmpl w:val="6F793A0E"/>
    <w:lvl w:ilvl="0" w:tentative="0">
      <w:start w:val="1"/>
      <w:numFmt w:val="lowerLetter"/>
      <w:lvlText w:val="%1."/>
      <w:lvlJc w:val="left"/>
      <w:pPr>
        <w:ind w:left="5387"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630"/>
        </w:tabs>
        <w:ind w:left="63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7"/>
  </w:num>
  <w:num w:numId="3">
    <w:abstractNumId w:val="5"/>
  </w:num>
  <w:num w:numId="4">
    <w:abstractNumId w:val="9"/>
  </w:num>
  <w:num w:numId="5">
    <w:abstractNumId w:val="3"/>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gutterAtTop/>
  <w:hideSpellingErrors/>
  <w:documentProtection w:enforcement="0"/>
  <w:defaultTabStop w:val="720"/>
  <w:drawingGridHorizontalSpacing w:val="120"/>
  <w:drawingGridVerticalSpacing w:val="163"/>
  <w:displayHorizontalDrawingGridEvery w:val="2"/>
  <w:displayVerticalDrawingGridEvery w:val="2"/>
  <w:characterSpacingControl w:val="doNotCompress"/>
  <w:footnotePr>
    <w:footnote w:id="76"/>
    <w:footnote w:id="77"/>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316"/>
    <w:rsid w:val="000000A7"/>
    <w:rsid w:val="00003C47"/>
    <w:rsid w:val="00004835"/>
    <w:rsid w:val="0000732E"/>
    <w:rsid w:val="00013AAD"/>
    <w:rsid w:val="00022AC8"/>
    <w:rsid w:val="00022E05"/>
    <w:rsid w:val="000250C3"/>
    <w:rsid w:val="00030CCC"/>
    <w:rsid w:val="000362D7"/>
    <w:rsid w:val="00040118"/>
    <w:rsid w:val="00040E0B"/>
    <w:rsid w:val="0004174B"/>
    <w:rsid w:val="000463C3"/>
    <w:rsid w:val="0004686A"/>
    <w:rsid w:val="000473A6"/>
    <w:rsid w:val="000559C0"/>
    <w:rsid w:val="00056D7F"/>
    <w:rsid w:val="00064022"/>
    <w:rsid w:val="0007749C"/>
    <w:rsid w:val="00077CAA"/>
    <w:rsid w:val="0008389D"/>
    <w:rsid w:val="0009187E"/>
    <w:rsid w:val="00092D68"/>
    <w:rsid w:val="000A3584"/>
    <w:rsid w:val="000B465D"/>
    <w:rsid w:val="000B4EC1"/>
    <w:rsid w:val="000C00CA"/>
    <w:rsid w:val="000C2866"/>
    <w:rsid w:val="000C4119"/>
    <w:rsid w:val="000C6097"/>
    <w:rsid w:val="000C655D"/>
    <w:rsid w:val="000C7CA3"/>
    <w:rsid w:val="000D1968"/>
    <w:rsid w:val="000D3661"/>
    <w:rsid w:val="000D405C"/>
    <w:rsid w:val="000D6C5E"/>
    <w:rsid w:val="000E5C03"/>
    <w:rsid w:val="001025AD"/>
    <w:rsid w:val="001048EB"/>
    <w:rsid w:val="00106B88"/>
    <w:rsid w:val="00114A0D"/>
    <w:rsid w:val="00116CB5"/>
    <w:rsid w:val="001172A6"/>
    <w:rsid w:val="00130646"/>
    <w:rsid w:val="00137968"/>
    <w:rsid w:val="001455F5"/>
    <w:rsid w:val="00152CCE"/>
    <w:rsid w:val="001611C9"/>
    <w:rsid w:val="00163082"/>
    <w:rsid w:val="001634EB"/>
    <w:rsid w:val="00165523"/>
    <w:rsid w:val="00165D85"/>
    <w:rsid w:val="00166CA1"/>
    <w:rsid w:val="00173340"/>
    <w:rsid w:val="0017335E"/>
    <w:rsid w:val="00174D44"/>
    <w:rsid w:val="0018416E"/>
    <w:rsid w:val="00186274"/>
    <w:rsid w:val="00187A32"/>
    <w:rsid w:val="00192532"/>
    <w:rsid w:val="00193653"/>
    <w:rsid w:val="00193CE3"/>
    <w:rsid w:val="00194638"/>
    <w:rsid w:val="001A07A6"/>
    <w:rsid w:val="001A1125"/>
    <w:rsid w:val="001A2549"/>
    <w:rsid w:val="001A44C7"/>
    <w:rsid w:val="001A5AB9"/>
    <w:rsid w:val="001A60D2"/>
    <w:rsid w:val="001A6C7F"/>
    <w:rsid w:val="001B6FDC"/>
    <w:rsid w:val="001C4F34"/>
    <w:rsid w:val="001C589B"/>
    <w:rsid w:val="001C7AF8"/>
    <w:rsid w:val="001D2B7F"/>
    <w:rsid w:val="001D312B"/>
    <w:rsid w:val="001D34D0"/>
    <w:rsid w:val="001E7305"/>
    <w:rsid w:val="001F105E"/>
    <w:rsid w:val="001F4559"/>
    <w:rsid w:val="00200862"/>
    <w:rsid w:val="00207EC0"/>
    <w:rsid w:val="002169C0"/>
    <w:rsid w:val="002250CC"/>
    <w:rsid w:val="002308B2"/>
    <w:rsid w:val="002334A5"/>
    <w:rsid w:val="00233A44"/>
    <w:rsid w:val="00233EE8"/>
    <w:rsid w:val="002373E1"/>
    <w:rsid w:val="0024023C"/>
    <w:rsid w:val="00244859"/>
    <w:rsid w:val="002448CF"/>
    <w:rsid w:val="00250E3A"/>
    <w:rsid w:val="00251223"/>
    <w:rsid w:val="002532B5"/>
    <w:rsid w:val="002572AA"/>
    <w:rsid w:val="002664F0"/>
    <w:rsid w:val="002700F1"/>
    <w:rsid w:val="00274291"/>
    <w:rsid w:val="00282E48"/>
    <w:rsid w:val="00283314"/>
    <w:rsid w:val="00286549"/>
    <w:rsid w:val="002906FC"/>
    <w:rsid w:val="00294F3F"/>
    <w:rsid w:val="002A0C9C"/>
    <w:rsid w:val="002A22AA"/>
    <w:rsid w:val="002A6BEC"/>
    <w:rsid w:val="002A7CA7"/>
    <w:rsid w:val="002C58E4"/>
    <w:rsid w:val="002D4F53"/>
    <w:rsid w:val="002D565D"/>
    <w:rsid w:val="002D62EA"/>
    <w:rsid w:val="002E2107"/>
    <w:rsid w:val="002E245B"/>
    <w:rsid w:val="002E29A0"/>
    <w:rsid w:val="002E2F3C"/>
    <w:rsid w:val="002F5018"/>
    <w:rsid w:val="0030276F"/>
    <w:rsid w:val="003123EA"/>
    <w:rsid w:val="00313D18"/>
    <w:rsid w:val="00335944"/>
    <w:rsid w:val="00342B3E"/>
    <w:rsid w:val="00343A0D"/>
    <w:rsid w:val="003470ED"/>
    <w:rsid w:val="00352B44"/>
    <w:rsid w:val="00357895"/>
    <w:rsid w:val="0035796D"/>
    <w:rsid w:val="003605AF"/>
    <w:rsid w:val="00364A93"/>
    <w:rsid w:val="003705F3"/>
    <w:rsid w:val="003741DC"/>
    <w:rsid w:val="00374D2D"/>
    <w:rsid w:val="003809B2"/>
    <w:rsid w:val="003821C7"/>
    <w:rsid w:val="00384DD5"/>
    <w:rsid w:val="00387986"/>
    <w:rsid w:val="00390629"/>
    <w:rsid w:val="003922F9"/>
    <w:rsid w:val="003938AF"/>
    <w:rsid w:val="00393EEB"/>
    <w:rsid w:val="00394336"/>
    <w:rsid w:val="003A146C"/>
    <w:rsid w:val="003A20DB"/>
    <w:rsid w:val="003A474F"/>
    <w:rsid w:val="003A491A"/>
    <w:rsid w:val="003C106F"/>
    <w:rsid w:val="003C23B5"/>
    <w:rsid w:val="003C53F8"/>
    <w:rsid w:val="003C7091"/>
    <w:rsid w:val="003C77FD"/>
    <w:rsid w:val="003D30F2"/>
    <w:rsid w:val="003D3C4C"/>
    <w:rsid w:val="003E11A2"/>
    <w:rsid w:val="003E2475"/>
    <w:rsid w:val="003E4AC0"/>
    <w:rsid w:val="003E4FBD"/>
    <w:rsid w:val="003E5713"/>
    <w:rsid w:val="003E71B0"/>
    <w:rsid w:val="003F1DAA"/>
    <w:rsid w:val="003F5AC1"/>
    <w:rsid w:val="00406E0C"/>
    <w:rsid w:val="00413277"/>
    <w:rsid w:val="00414398"/>
    <w:rsid w:val="00427823"/>
    <w:rsid w:val="0043265E"/>
    <w:rsid w:val="004351D2"/>
    <w:rsid w:val="0043713F"/>
    <w:rsid w:val="004374EA"/>
    <w:rsid w:val="0044212B"/>
    <w:rsid w:val="00442485"/>
    <w:rsid w:val="004428EC"/>
    <w:rsid w:val="0045073B"/>
    <w:rsid w:val="00450E75"/>
    <w:rsid w:val="004520AC"/>
    <w:rsid w:val="00452837"/>
    <w:rsid w:val="00461912"/>
    <w:rsid w:val="00464A2B"/>
    <w:rsid w:val="00466411"/>
    <w:rsid w:val="00470C3A"/>
    <w:rsid w:val="00473464"/>
    <w:rsid w:val="00474C53"/>
    <w:rsid w:val="00474D69"/>
    <w:rsid w:val="00477570"/>
    <w:rsid w:val="004806C9"/>
    <w:rsid w:val="004911F2"/>
    <w:rsid w:val="004924B4"/>
    <w:rsid w:val="00492F28"/>
    <w:rsid w:val="00495316"/>
    <w:rsid w:val="00495593"/>
    <w:rsid w:val="004A015C"/>
    <w:rsid w:val="004A310B"/>
    <w:rsid w:val="004A31ED"/>
    <w:rsid w:val="004B515A"/>
    <w:rsid w:val="004C00EF"/>
    <w:rsid w:val="004D3047"/>
    <w:rsid w:val="004D3773"/>
    <w:rsid w:val="004D39E9"/>
    <w:rsid w:val="004E0644"/>
    <w:rsid w:val="004E135A"/>
    <w:rsid w:val="004E7E32"/>
    <w:rsid w:val="004F1435"/>
    <w:rsid w:val="004F25AA"/>
    <w:rsid w:val="004F5592"/>
    <w:rsid w:val="00503B40"/>
    <w:rsid w:val="005068C6"/>
    <w:rsid w:val="0051096C"/>
    <w:rsid w:val="00517F7E"/>
    <w:rsid w:val="00520DEA"/>
    <w:rsid w:val="005253F1"/>
    <w:rsid w:val="0052614B"/>
    <w:rsid w:val="00530FA4"/>
    <w:rsid w:val="005320C5"/>
    <w:rsid w:val="00534CEF"/>
    <w:rsid w:val="00536FEA"/>
    <w:rsid w:val="0054363C"/>
    <w:rsid w:val="0055332A"/>
    <w:rsid w:val="00571D19"/>
    <w:rsid w:val="005755D1"/>
    <w:rsid w:val="00575613"/>
    <w:rsid w:val="00577204"/>
    <w:rsid w:val="005778C9"/>
    <w:rsid w:val="0058291A"/>
    <w:rsid w:val="00582B00"/>
    <w:rsid w:val="005859E3"/>
    <w:rsid w:val="005907C3"/>
    <w:rsid w:val="005933BD"/>
    <w:rsid w:val="005A0718"/>
    <w:rsid w:val="005A2A46"/>
    <w:rsid w:val="005B0200"/>
    <w:rsid w:val="005B099D"/>
    <w:rsid w:val="005B18D1"/>
    <w:rsid w:val="005B2DD4"/>
    <w:rsid w:val="005B5CA3"/>
    <w:rsid w:val="005B6CC5"/>
    <w:rsid w:val="005C10D9"/>
    <w:rsid w:val="005C2724"/>
    <w:rsid w:val="005C3471"/>
    <w:rsid w:val="005D021B"/>
    <w:rsid w:val="005D1DC5"/>
    <w:rsid w:val="005D3C49"/>
    <w:rsid w:val="005D62D6"/>
    <w:rsid w:val="005D70FE"/>
    <w:rsid w:val="005E2324"/>
    <w:rsid w:val="005F0DE4"/>
    <w:rsid w:val="005F1F1E"/>
    <w:rsid w:val="005F2FD9"/>
    <w:rsid w:val="005F6DE8"/>
    <w:rsid w:val="005F72D0"/>
    <w:rsid w:val="00600F4A"/>
    <w:rsid w:val="006048A1"/>
    <w:rsid w:val="006052ED"/>
    <w:rsid w:val="006100D6"/>
    <w:rsid w:val="00610570"/>
    <w:rsid w:val="00614BBC"/>
    <w:rsid w:val="00621DC4"/>
    <w:rsid w:val="006242C1"/>
    <w:rsid w:val="00625022"/>
    <w:rsid w:val="00632EB9"/>
    <w:rsid w:val="00633976"/>
    <w:rsid w:val="0063590B"/>
    <w:rsid w:val="00642856"/>
    <w:rsid w:val="00643E27"/>
    <w:rsid w:val="0065356F"/>
    <w:rsid w:val="006569D9"/>
    <w:rsid w:val="00657AC4"/>
    <w:rsid w:val="00665200"/>
    <w:rsid w:val="006674B2"/>
    <w:rsid w:val="00667A4F"/>
    <w:rsid w:val="00675897"/>
    <w:rsid w:val="00687820"/>
    <w:rsid w:val="00690768"/>
    <w:rsid w:val="0069351A"/>
    <w:rsid w:val="00693596"/>
    <w:rsid w:val="006949FA"/>
    <w:rsid w:val="006950B9"/>
    <w:rsid w:val="00695D77"/>
    <w:rsid w:val="00695F10"/>
    <w:rsid w:val="006A3A3C"/>
    <w:rsid w:val="006A61E1"/>
    <w:rsid w:val="006B1454"/>
    <w:rsid w:val="006B4B08"/>
    <w:rsid w:val="006B78C7"/>
    <w:rsid w:val="006D0142"/>
    <w:rsid w:val="006D0618"/>
    <w:rsid w:val="006D0C22"/>
    <w:rsid w:val="006D374A"/>
    <w:rsid w:val="006D50FE"/>
    <w:rsid w:val="006D7B2D"/>
    <w:rsid w:val="006E34B2"/>
    <w:rsid w:val="006E7547"/>
    <w:rsid w:val="006F25CA"/>
    <w:rsid w:val="006F2CC1"/>
    <w:rsid w:val="006F7ABB"/>
    <w:rsid w:val="00702C2F"/>
    <w:rsid w:val="007132F0"/>
    <w:rsid w:val="00720A91"/>
    <w:rsid w:val="007413E4"/>
    <w:rsid w:val="0074500E"/>
    <w:rsid w:val="007456E6"/>
    <w:rsid w:val="007478CA"/>
    <w:rsid w:val="00751EE0"/>
    <w:rsid w:val="00756882"/>
    <w:rsid w:val="00766317"/>
    <w:rsid w:val="00770163"/>
    <w:rsid w:val="00771B3B"/>
    <w:rsid w:val="00775311"/>
    <w:rsid w:val="00776686"/>
    <w:rsid w:val="00783CC3"/>
    <w:rsid w:val="0079046B"/>
    <w:rsid w:val="00791DDA"/>
    <w:rsid w:val="007927D9"/>
    <w:rsid w:val="0079440E"/>
    <w:rsid w:val="0079637C"/>
    <w:rsid w:val="007A4C2A"/>
    <w:rsid w:val="007A6124"/>
    <w:rsid w:val="007B1C94"/>
    <w:rsid w:val="007B4A57"/>
    <w:rsid w:val="007B5BF8"/>
    <w:rsid w:val="007B6B23"/>
    <w:rsid w:val="007C22C6"/>
    <w:rsid w:val="007C24E5"/>
    <w:rsid w:val="007C69C3"/>
    <w:rsid w:val="007D1C97"/>
    <w:rsid w:val="007D3926"/>
    <w:rsid w:val="007D5A3A"/>
    <w:rsid w:val="007E1148"/>
    <w:rsid w:val="007E4837"/>
    <w:rsid w:val="007E789B"/>
    <w:rsid w:val="007F26C6"/>
    <w:rsid w:val="007F36C7"/>
    <w:rsid w:val="007F3AA5"/>
    <w:rsid w:val="007F78C0"/>
    <w:rsid w:val="00804BA5"/>
    <w:rsid w:val="00807612"/>
    <w:rsid w:val="0081119C"/>
    <w:rsid w:val="00813E19"/>
    <w:rsid w:val="008155D8"/>
    <w:rsid w:val="00824862"/>
    <w:rsid w:val="008249DE"/>
    <w:rsid w:val="00825199"/>
    <w:rsid w:val="008263AD"/>
    <w:rsid w:val="00830A55"/>
    <w:rsid w:val="00831891"/>
    <w:rsid w:val="008344B9"/>
    <w:rsid w:val="008452A3"/>
    <w:rsid w:val="00845EB3"/>
    <w:rsid w:val="0086061C"/>
    <w:rsid w:val="00864002"/>
    <w:rsid w:val="0086488C"/>
    <w:rsid w:val="00867C22"/>
    <w:rsid w:val="0087134D"/>
    <w:rsid w:val="00874A29"/>
    <w:rsid w:val="00877A84"/>
    <w:rsid w:val="00881694"/>
    <w:rsid w:val="008860E4"/>
    <w:rsid w:val="00892A70"/>
    <w:rsid w:val="008945C0"/>
    <w:rsid w:val="00897C64"/>
    <w:rsid w:val="008A1901"/>
    <w:rsid w:val="008A532E"/>
    <w:rsid w:val="008B2341"/>
    <w:rsid w:val="008B57FA"/>
    <w:rsid w:val="008C0E08"/>
    <w:rsid w:val="008C0F0A"/>
    <w:rsid w:val="008C4860"/>
    <w:rsid w:val="008D0992"/>
    <w:rsid w:val="008D146E"/>
    <w:rsid w:val="008D3CAE"/>
    <w:rsid w:val="008F0B39"/>
    <w:rsid w:val="008F12FB"/>
    <w:rsid w:val="008F626E"/>
    <w:rsid w:val="0090049F"/>
    <w:rsid w:val="00901A27"/>
    <w:rsid w:val="00902423"/>
    <w:rsid w:val="00902A83"/>
    <w:rsid w:val="00905DCA"/>
    <w:rsid w:val="00913B0C"/>
    <w:rsid w:val="00917D2E"/>
    <w:rsid w:val="00920C15"/>
    <w:rsid w:val="00921EEB"/>
    <w:rsid w:val="0092242F"/>
    <w:rsid w:val="009241F2"/>
    <w:rsid w:val="009252BB"/>
    <w:rsid w:val="009258E8"/>
    <w:rsid w:val="00925A31"/>
    <w:rsid w:val="009346F1"/>
    <w:rsid w:val="009355F6"/>
    <w:rsid w:val="0094173B"/>
    <w:rsid w:val="00947F69"/>
    <w:rsid w:val="009510FD"/>
    <w:rsid w:val="00952200"/>
    <w:rsid w:val="00954D92"/>
    <w:rsid w:val="0095600E"/>
    <w:rsid w:val="009569B2"/>
    <w:rsid w:val="009636AF"/>
    <w:rsid w:val="009639D4"/>
    <w:rsid w:val="0096547F"/>
    <w:rsid w:val="009759C4"/>
    <w:rsid w:val="00976BE8"/>
    <w:rsid w:val="0098312D"/>
    <w:rsid w:val="00994CBF"/>
    <w:rsid w:val="00997EB2"/>
    <w:rsid w:val="009A19B9"/>
    <w:rsid w:val="009A35B6"/>
    <w:rsid w:val="009A4815"/>
    <w:rsid w:val="009A781F"/>
    <w:rsid w:val="009B0F5F"/>
    <w:rsid w:val="009B2AC8"/>
    <w:rsid w:val="009B31BB"/>
    <w:rsid w:val="009B5A87"/>
    <w:rsid w:val="009B7054"/>
    <w:rsid w:val="009D0873"/>
    <w:rsid w:val="009D24D4"/>
    <w:rsid w:val="009D7A00"/>
    <w:rsid w:val="009E1C78"/>
    <w:rsid w:val="009E2C4F"/>
    <w:rsid w:val="009F11FF"/>
    <w:rsid w:val="009F48C9"/>
    <w:rsid w:val="00A02F62"/>
    <w:rsid w:val="00A20BDB"/>
    <w:rsid w:val="00A21311"/>
    <w:rsid w:val="00A21EB8"/>
    <w:rsid w:val="00A247B9"/>
    <w:rsid w:val="00A26A4D"/>
    <w:rsid w:val="00A3367B"/>
    <w:rsid w:val="00A479AC"/>
    <w:rsid w:val="00A57CEE"/>
    <w:rsid w:val="00A6023F"/>
    <w:rsid w:val="00A60F6F"/>
    <w:rsid w:val="00A66B00"/>
    <w:rsid w:val="00A74D74"/>
    <w:rsid w:val="00A82FFE"/>
    <w:rsid w:val="00A840F6"/>
    <w:rsid w:val="00A9563F"/>
    <w:rsid w:val="00A9642F"/>
    <w:rsid w:val="00AA0A8B"/>
    <w:rsid w:val="00AA258A"/>
    <w:rsid w:val="00AB075C"/>
    <w:rsid w:val="00AB1B6D"/>
    <w:rsid w:val="00AB2FF1"/>
    <w:rsid w:val="00AB3660"/>
    <w:rsid w:val="00AB38AF"/>
    <w:rsid w:val="00AB3A62"/>
    <w:rsid w:val="00AB5A11"/>
    <w:rsid w:val="00AC0766"/>
    <w:rsid w:val="00AD0F02"/>
    <w:rsid w:val="00AE023E"/>
    <w:rsid w:val="00AE2D40"/>
    <w:rsid w:val="00AE3287"/>
    <w:rsid w:val="00AE4786"/>
    <w:rsid w:val="00AE4AC5"/>
    <w:rsid w:val="00AF6DB2"/>
    <w:rsid w:val="00B03C14"/>
    <w:rsid w:val="00B069A8"/>
    <w:rsid w:val="00B10C62"/>
    <w:rsid w:val="00B121E3"/>
    <w:rsid w:val="00B136EB"/>
    <w:rsid w:val="00B1447C"/>
    <w:rsid w:val="00B27B20"/>
    <w:rsid w:val="00B34B01"/>
    <w:rsid w:val="00B40342"/>
    <w:rsid w:val="00B44022"/>
    <w:rsid w:val="00B46871"/>
    <w:rsid w:val="00B47D83"/>
    <w:rsid w:val="00B56867"/>
    <w:rsid w:val="00B57A6A"/>
    <w:rsid w:val="00B62234"/>
    <w:rsid w:val="00B648FA"/>
    <w:rsid w:val="00B739B0"/>
    <w:rsid w:val="00B82B4F"/>
    <w:rsid w:val="00B83FF5"/>
    <w:rsid w:val="00B84079"/>
    <w:rsid w:val="00B85E13"/>
    <w:rsid w:val="00B8713F"/>
    <w:rsid w:val="00B92FA1"/>
    <w:rsid w:val="00B952F4"/>
    <w:rsid w:val="00BA07B8"/>
    <w:rsid w:val="00BA38E4"/>
    <w:rsid w:val="00BB39DC"/>
    <w:rsid w:val="00BB3BA8"/>
    <w:rsid w:val="00BB682D"/>
    <w:rsid w:val="00BC0C8C"/>
    <w:rsid w:val="00BC20E4"/>
    <w:rsid w:val="00BC3177"/>
    <w:rsid w:val="00BC641B"/>
    <w:rsid w:val="00BC6BC6"/>
    <w:rsid w:val="00BC74C9"/>
    <w:rsid w:val="00BD1797"/>
    <w:rsid w:val="00BD240A"/>
    <w:rsid w:val="00BE5A67"/>
    <w:rsid w:val="00BE7DCA"/>
    <w:rsid w:val="00BF1A74"/>
    <w:rsid w:val="00BF1BE2"/>
    <w:rsid w:val="00BF4DBF"/>
    <w:rsid w:val="00C00227"/>
    <w:rsid w:val="00C14698"/>
    <w:rsid w:val="00C162F7"/>
    <w:rsid w:val="00C1665F"/>
    <w:rsid w:val="00C22638"/>
    <w:rsid w:val="00C237EF"/>
    <w:rsid w:val="00C24F9F"/>
    <w:rsid w:val="00C31DF4"/>
    <w:rsid w:val="00C33AF2"/>
    <w:rsid w:val="00C37585"/>
    <w:rsid w:val="00C413A1"/>
    <w:rsid w:val="00C508AA"/>
    <w:rsid w:val="00C52DE5"/>
    <w:rsid w:val="00C543B7"/>
    <w:rsid w:val="00C5542B"/>
    <w:rsid w:val="00C55CCD"/>
    <w:rsid w:val="00C708D6"/>
    <w:rsid w:val="00C71333"/>
    <w:rsid w:val="00C72D91"/>
    <w:rsid w:val="00C75574"/>
    <w:rsid w:val="00C801B1"/>
    <w:rsid w:val="00C90840"/>
    <w:rsid w:val="00C92AD4"/>
    <w:rsid w:val="00C97F60"/>
    <w:rsid w:val="00CA4027"/>
    <w:rsid w:val="00CA63A3"/>
    <w:rsid w:val="00CB30BC"/>
    <w:rsid w:val="00CC4084"/>
    <w:rsid w:val="00CC4B30"/>
    <w:rsid w:val="00CD6CF8"/>
    <w:rsid w:val="00CE0F29"/>
    <w:rsid w:val="00CE7A93"/>
    <w:rsid w:val="00CF02F7"/>
    <w:rsid w:val="00CF1168"/>
    <w:rsid w:val="00CF272B"/>
    <w:rsid w:val="00CF3D50"/>
    <w:rsid w:val="00D0081B"/>
    <w:rsid w:val="00D03714"/>
    <w:rsid w:val="00D06286"/>
    <w:rsid w:val="00D07E0D"/>
    <w:rsid w:val="00D07E5F"/>
    <w:rsid w:val="00D11359"/>
    <w:rsid w:val="00D125D2"/>
    <w:rsid w:val="00D17FAF"/>
    <w:rsid w:val="00D23039"/>
    <w:rsid w:val="00D23DB7"/>
    <w:rsid w:val="00D24DFA"/>
    <w:rsid w:val="00D266A7"/>
    <w:rsid w:val="00D26DC3"/>
    <w:rsid w:val="00D2743A"/>
    <w:rsid w:val="00D303EB"/>
    <w:rsid w:val="00D303F4"/>
    <w:rsid w:val="00D34846"/>
    <w:rsid w:val="00D47C16"/>
    <w:rsid w:val="00D52837"/>
    <w:rsid w:val="00D601C9"/>
    <w:rsid w:val="00D65A69"/>
    <w:rsid w:val="00D665B5"/>
    <w:rsid w:val="00D66A77"/>
    <w:rsid w:val="00D6718D"/>
    <w:rsid w:val="00D71E38"/>
    <w:rsid w:val="00D73FDF"/>
    <w:rsid w:val="00D80532"/>
    <w:rsid w:val="00D824D9"/>
    <w:rsid w:val="00D831A1"/>
    <w:rsid w:val="00D8320C"/>
    <w:rsid w:val="00D851EE"/>
    <w:rsid w:val="00D935CB"/>
    <w:rsid w:val="00D94AD3"/>
    <w:rsid w:val="00DA15C8"/>
    <w:rsid w:val="00DA180A"/>
    <w:rsid w:val="00DA2A79"/>
    <w:rsid w:val="00DA4B0A"/>
    <w:rsid w:val="00DA54E7"/>
    <w:rsid w:val="00DB0E3F"/>
    <w:rsid w:val="00DB4B16"/>
    <w:rsid w:val="00DC19BD"/>
    <w:rsid w:val="00DD4692"/>
    <w:rsid w:val="00DD6A0A"/>
    <w:rsid w:val="00DD6FD6"/>
    <w:rsid w:val="00DE2BFE"/>
    <w:rsid w:val="00DE3DF4"/>
    <w:rsid w:val="00DE4A42"/>
    <w:rsid w:val="00DE539B"/>
    <w:rsid w:val="00DE5CE7"/>
    <w:rsid w:val="00DE7FB5"/>
    <w:rsid w:val="00DF02E4"/>
    <w:rsid w:val="00DF4FA3"/>
    <w:rsid w:val="00DF5A09"/>
    <w:rsid w:val="00DF75AD"/>
    <w:rsid w:val="00DF76B0"/>
    <w:rsid w:val="00E0026F"/>
    <w:rsid w:val="00E010BA"/>
    <w:rsid w:val="00E02607"/>
    <w:rsid w:val="00E05AE0"/>
    <w:rsid w:val="00E11428"/>
    <w:rsid w:val="00E15E59"/>
    <w:rsid w:val="00E22F10"/>
    <w:rsid w:val="00E23F5F"/>
    <w:rsid w:val="00E302A3"/>
    <w:rsid w:val="00E36790"/>
    <w:rsid w:val="00E42E9B"/>
    <w:rsid w:val="00E521D1"/>
    <w:rsid w:val="00E52E65"/>
    <w:rsid w:val="00E55B24"/>
    <w:rsid w:val="00E64881"/>
    <w:rsid w:val="00E71DA3"/>
    <w:rsid w:val="00E725C3"/>
    <w:rsid w:val="00E725F3"/>
    <w:rsid w:val="00E7378A"/>
    <w:rsid w:val="00E75849"/>
    <w:rsid w:val="00E8037E"/>
    <w:rsid w:val="00E81F40"/>
    <w:rsid w:val="00E84CE9"/>
    <w:rsid w:val="00E876C2"/>
    <w:rsid w:val="00E9521E"/>
    <w:rsid w:val="00EA01AC"/>
    <w:rsid w:val="00EA2480"/>
    <w:rsid w:val="00EA62A9"/>
    <w:rsid w:val="00EB46CB"/>
    <w:rsid w:val="00EB4718"/>
    <w:rsid w:val="00EC082B"/>
    <w:rsid w:val="00EC141A"/>
    <w:rsid w:val="00ED0E5F"/>
    <w:rsid w:val="00ED5A33"/>
    <w:rsid w:val="00EE2F84"/>
    <w:rsid w:val="00EF0204"/>
    <w:rsid w:val="00EF141C"/>
    <w:rsid w:val="00F00FE7"/>
    <w:rsid w:val="00F0189E"/>
    <w:rsid w:val="00F1001C"/>
    <w:rsid w:val="00F13ECE"/>
    <w:rsid w:val="00F156C2"/>
    <w:rsid w:val="00F17EDD"/>
    <w:rsid w:val="00F20C47"/>
    <w:rsid w:val="00F2379E"/>
    <w:rsid w:val="00F25045"/>
    <w:rsid w:val="00F25731"/>
    <w:rsid w:val="00F3142A"/>
    <w:rsid w:val="00F33689"/>
    <w:rsid w:val="00F33E08"/>
    <w:rsid w:val="00F3605E"/>
    <w:rsid w:val="00F36165"/>
    <w:rsid w:val="00F3771E"/>
    <w:rsid w:val="00F37CC3"/>
    <w:rsid w:val="00F43612"/>
    <w:rsid w:val="00F50E19"/>
    <w:rsid w:val="00F520FF"/>
    <w:rsid w:val="00F61C65"/>
    <w:rsid w:val="00F62A19"/>
    <w:rsid w:val="00F73E33"/>
    <w:rsid w:val="00F74E64"/>
    <w:rsid w:val="00F76664"/>
    <w:rsid w:val="00F81017"/>
    <w:rsid w:val="00F85EAE"/>
    <w:rsid w:val="00F87928"/>
    <w:rsid w:val="00F87FC6"/>
    <w:rsid w:val="00F90BA9"/>
    <w:rsid w:val="00F91B6E"/>
    <w:rsid w:val="00FB280F"/>
    <w:rsid w:val="00FC283B"/>
    <w:rsid w:val="00FC4015"/>
    <w:rsid w:val="00FC4DA4"/>
    <w:rsid w:val="00FC6CA1"/>
    <w:rsid w:val="00FD2E8D"/>
    <w:rsid w:val="00FD7297"/>
    <w:rsid w:val="00FE52C7"/>
    <w:rsid w:val="00FE73CD"/>
    <w:rsid w:val="00FF00A4"/>
    <w:rsid w:val="00FF54B1"/>
    <w:rsid w:val="00FF5858"/>
    <w:rsid w:val="00FF69E3"/>
    <w:rsid w:val="00FF72AB"/>
    <w:rsid w:val="01370900"/>
    <w:rsid w:val="3C6E43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imes New Roman" w:eastAsiaTheme="minorHAnsi"/>
      <w:sz w:val="24"/>
      <w:szCs w:val="24"/>
      <w:lang w:val="en-US" w:eastAsia="en-US" w:bidi="ar-SA"/>
    </w:rPr>
  </w:style>
  <w:style w:type="paragraph" w:styleId="2">
    <w:name w:val="heading 5"/>
    <w:basedOn w:val="1"/>
    <w:next w:val="1"/>
    <w:link w:val="25"/>
    <w:semiHidden/>
    <w:unhideWhenUsed/>
    <w:qFormat/>
    <w:uiPriority w:val="9"/>
    <w:pPr>
      <w:keepNext/>
      <w:keepLines/>
      <w:spacing w:before="80" w:after="40" w:line="278" w:lineRule="auto"/>
      <w:outlineLvl w:val="4"/>
    </w:pPr>
    <w:rPr>
      <w:rFonts w:asciiTheme="minorHAnsi" w:hAnsiTheme="minorHAnsi" w:eastAsiaTheme="majorEastAsia" w:cstheme="majorBidi"/>
      <w:color w:val="376092" w:themeColor="accent1" w:themeShade="BF"/>
      <w:kern w:val="2"/>
      <w:lang w:eastAsia="zh-CN"/>
      <w14:ligatures w14:val="standardContextual"/>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3"/>
    <w:semiHidden/>
    <w:unhideWhenUsed/>
    <w:uiPriority w:val="99"/>
    <w:pPr>
      <w:spacing w:after="0" w:line="240" w:lineRule="auto"/>
    </w:pPr>
    <w:rPr>
      <w:rFonts w:ascii="Tahoma" w:hAnsi="Tahoma" w:cs="Tahoma"/>
      <w:sz w:val="16"/>
      <w:szCs w:val="16"/>
    </w:rPr>
  </w:style>
  <w:style w:type="character" w:styleId="6">
    <w:name w:val="endnote reference"/>
    <w:basedOn w:val="3"/>
    <w:semiHidden/>
    <w:unhideWhenUsed/>
    <w:uiPriority w:val="99"/>
    <w:rPr>
      <w:vertAlign w:val="superscript"/>
    </w:rPr>
  </w:style>
  <w:style w:type="paragraph" w:styleId="7">
    <w:name w:val="endnote text"/>
    <w:basedOn w:val="1"/>
    <w:link w:val="22"/>
    <w:semiHidden/>
    <w:unhideWhenUsed/>
    <w:uiPriority w:val="99"/>
    <w:pPr>
      <w:spacing w:after="0" w:line="240" w:lineRule="auto"/>
    </w:pPr>
    <w:rPr>
      <w:sz w:val="20"/>
      <w:szCs w:val="20"/>
    </w:rPr>
  </w:style>
  <w:style w:type="character" w:styleId="8">
    <w:name w:val="FollowedHyperlink"/>
    <w:basedOn w:val="3"/>
    <w:semiHidden/>
    <w:unhideWhenUsed/>
    <w:uiPriority w:val="99"/>
    <w:rPr>
      <w:color w:val="800080" w:themeColor="followedHyperlink"/>
      <w:u w:val="single"/>
      <w14:textFill>
        <w14:solidFill>
          <w14:schemeClr w14:val="folHlink"/>
        </w14:solidFill>
      </w14:textFill>
    </w:rPr>
  </w:style>
  <w:style w:type="paragraph" w:styleId="9">
    <w:name w:val="footer"/>
    <w:basedOn w:val="1"/>
    <w:link w:val="20"/>
    <w:unhideWhenUsed/>
    <w:uiPriority w:val="99"/>
    <w:pPr>
      <w:tabs>
        <w:tab w:val="center" w:pos="4513"/>
        <w:tab w:val="right" w:pos="9026"/>
      </w:tabs>
      <w:spacing w:after="0" w:line="240" w:lineRule="auto"/>
    </w:pPr>
  </w:style>
  <w:style w:type="character" w:styleId="10">
    <w:name w:val="footnote reference"/>
    <w:basedOn w:val="3"/>
    <w:semiHidden/>
    <w:unhideWhenUsed/>
    <w:uiPriority w:val="99"/>
    <w:rPr>
      <w:vertAlign w:val="superscript"/>
    </w:rPr>
  </w:style>
  <w:style w:type="paragraph" w:styleId="11">
    <w:name w:val="footnote text"/>
    <w:basedOn w:val="1"/>
    <w:link w:val="17"/>
    <w:unhideWhenUsed/>
    <w:uiPriority w:val="99"/>
    <w:pPr>
      <w:spacing w:after="0" w:line="240" w:lineRule="auto"/>
    </w:pPr>
    <w:rPr>
      <w:sz w:val="20"/>
      <w:szCs w:val="20"/>
    </w:rPr>
  </w:style>
  <w:style w:type="paragraph" w:styleId="12">
    <w:name w:val="header"/>
    <w:basedOn w:val="1"/>
    <w:link w:val="19"/>
    <w:unhideWhenUsed/>
    <w:uiPriority w:val="99"/>
    <w:pPr>
      <w:tabs>
        <w:tab w:val="center" w:pos="4513"/>
        <w:tab w:val="right" w:pos="9026"/>
      </w:tabs>
      <w:spacing w:after="0" w:line="240" w:lineRule="auto"/>
    </w:pPr>
  </w:style>
  <w:style w:type="character" w:styleId="13">
    <w:name w:val="Hyperlink"/>
    <w:basedOn w:val="3"/>
    <w:unhideWhenUsed/>
    <w:uiPriority w:val="99"/>
    <w:rPr>
      <w:color w:val="0000FF"/>
      <w:u w:val="single"/>
    </w:rPr>
  </w:style>
  <w:style w:type="paragraph" w:styleId="14">
    <w:name w:val="Normal (Web)"/>
    <w:basedOn w:val="1"/>
    <w:unhideWhenUsed/>
    <w:uiPriority w:val="99"/>
    <w:pPr>
      <w:spacing w:before="100" w:beforeAutospacing="1" w:after="100" w:afterAutospacing="1" w:line="240" w:lineRule="auto"/>
    </w:pPr>
    <w:rPr>
      <w:rFonts w:eastAsia="Times New Roman"/>
      <w:lang w:val="id-ID" w:eastAsia="id-ID"/>
    </w:rPr>
  </w:style>
  <w:style w:type="character" w:styleId="15">
    <w:name w:val="Strong"/>
    <w:basedOn w:val="3"/>
    <w:qFormat/>
    <w:uiPriority w:val="22"/>
    <w:rPr>
      <w:b/>
      <w:bCs/>
    </w:rPr>
  </w:style>
  <w:style w:type="table" w:styleId="16">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Footnote Text Char"/>
    <w:basedOn w:val="3"/>
    <w:link w:val="11"/>
    <w:uiPriority w:val="99"/>
    <w:rPr>
      <w:sz w:val="20"/>
      <w:szCs w:val="20"/>
    </w:rPr>
  </w:style>
  <w:style w:type="paragraph" w:styleId="18">
    <w:name w:val="List Paragraph"/>
    <w:basedOn w:val="1"/>
    <w:link w:val="21"/>
    <w:qFormat/>
    <w:uiPriority w:val="0"/>
    <w:pPr>
      <w:ind w:left="720"/>
      <w:contextualSpacing/>
    </w:pPr>
  </w:style>
  <w:style w:type="character" w:customStyle="1" w:styleId="19">
    <w:name w:val="Header Char"/>
    <w:basedOn w:val="3"/>
    <w:link w:val="12"/>
    <w:uiPriority w:val="99"/>
  </w:style>
  <w:style w:type="character" w:customStyle="1" w:styleId="20">
    <w:name w:val="Footer Char"/>
    <w:basedOn w:val="3"/>
    <w:link w:val="9"/>
    <w:uiPriority w:val="99"/>
  </w:style>
  <w:style w:type="character" w:customStyle="1" w:styleId="21">
    <w:name w:val="List Paragraph Char"/>
    <w:basedOn w:val="3"/>
    <w:link w:val="18"/>
    <w:uiPriority w:val="0"/>
  </w:style>
  <w:style w:type="character" w:customStyle="1" w:styleId="22">
    <w:name w:val="Endnote Text Char"/>
    <w:basedOn w:val="3"/>
    <w:link w:val="7"/>
    <w:semiHidden/>
    <w:uiPriority w:val="99"/>
    <w:rPr>
      <w:sz w:val="20"/>
      <w:szCs w:val="20"/>
    </w:rPr>
  </w:style>
  <w:style w:type="character" w:customStyle="1" w:styleId="23">
    <w:name w:val="Balloon Text Char"/>
    <w:basedOn w:val="3"/>
    <w:link w:val="5"/>
    <w:semiHidden/>
    <w:uiPriority w:val="99"/>
    <w:rPr>
      <w:rFonts w:ascii="Tahoma" w:hAnsi="Tahoma" w:cs="Tahoma"/>
      <w:sz w:val="16"/>
      <w:szCs w:val="16"/>
    </w:rPr>
  </w:style>
  <w:style w:type="character" w:customStyle="1" w:styleId="24">
    <w:name w:val="Unresolved Mention"/>
    <w:basedOn w:val="3"/>
    <w:semiHidden/>
    <w:unhideWhenUsed/>
    <w:uiPriority w:val="99"/>
    <w:rPr>
      <w:color w:val="605E5C"/>
      <w:shd w:val="clear" w:color="auto" w:fill="E1DFDD"/>
    </w:rPr>
  </w:style>
  <w:style w:type="character" w:customStyle="1" w:styleId="25">
    <w:name w:val="Heading 5 Char"/>
    <w:basedOn w:val="3"/>
    <w:link w:val="2"/>
    <w:semiHidden/>
    <w:uiPriority w:val="9"/>
    <w:rPr>
      <w:rFonts w:asciiTheme="minorHAnsi" w:hAnsiTheme="minorHAnsi" w:eastAsiaTheme="majorEastAsia" w:cstheme="majorBidi"/>
      <w:color w:val="376092" w:themeColor="accent1" w:themeShade="BF"/>
      <w:kern w:val="2"/>
      <w:lang w:eastAsia="zh-CN"/>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896E8-C5CD-42DF-B5E6-0C9715D4A734}">
  <ds:schemaRefs/>
</ds:datastoreItem>
</file>

<file path=docProps/app.xml><?xml version="1.0" encoding="utf-8"?>
<Properties xmlns="http://schemas.openxmlformats.org/officeDocument/2006/extended-properties" xmlns:vt="http://schemas.openxmlformats.org/officeDocument/2006/docPropsVTypes">
  <Template>Normal</Template>
  <Pages>36</Pages>
  <Words>9655</Words>
  <Characters>55034</Characters>
  <Lines>458</Lines>
  <Paragraphs>129</Paragraphs>
  <TotalTime>55</TotalTime>
  <ScaleCrop>false</ScaleCrop>
  <LinksUpToDate>false</LinksUpToDate>
  <CharactersWithSpaces>64560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2025-01-30T03:05:00Z</dcterms:created>
  <dc:creator>User</dc:creator>
  <cp:lastModifiedBy>WIN10</cp:lastModifiedBy>
  <cp:lastPrinted>2025-07-24T01:07:42Z</cp:lastPrinted>
  <dcterms:modified xsi:type="dcterms:W3CDTF">2025-07-24T02:36:14Z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01d338cac42cd7d4dae5acaf97402e1d5a702ac44f0dfd97b27f99c503b7e063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1b5ffcb4-d410-32d3-a502-2cf3200b26c0</vt:lpwstr>
  </property>
  <property fmtid="{D5CDD505-2E9C-101B-9397-08002B2CF9AE}" pid="25" name="Mendeley Citation Style_1">
    <vt:lpwstr>http://www.zotero.org/styles/chicago-fullnote-bibliography</vt:lpwstr>
  </property>
  <property fmtid="{D5CDD505-2E9C-101B-9397-08002B2CF9AE}" pid="26" name="KSOProductBuildVer">
    <vt:lpwstr>1033-12.2.0.21931</vt:lpwstr>
  </property>
  <property fmtid="{D5CDD505-2E9C-101B-9397-08002B2CF9AE}" pid="27" name="ICV">
    <vt:lpwstr>CFDAC697D76B43179B7FDE9B1374B283_13</vt:lpwstr>
  </property>
</Properties>
</file>