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EB9" w:rsidRDefault="00F74EB9" w:rsidP="00F74E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F74EB9" w:rsidRPr="00DD2942" w:rsidRDefault="00F74EB9" w:rsidP="00F74EB9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6E8468F0" wp14:editId="68BAC263">
            <wp:simplePos x="0" y="0"/>
            <wp:positionH relativeFrom="margin">
              <wp:align>left</wp:align>
            </wp:positionH>
            <wp:positionV relativeFrom="margin">
              <wp:posOffset>198120</wp:posOffset>
            </wp:positionV>
            <wp:extent cx="864870" cy="815340"/>
            <wp:effectExtent l="19050" t="0" r="0" b="0"/>
            <wp:wrapNone/>
            <wp:docPr id="7" name="Picture 4" descr="http://3.bp.blogspot.com/-dwwBC3T2-Og/VTJuA41Ju_I/AAAAAAAAARI/5pgCToAHGac/s1600/IAIN%2B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dwwBC3T2-Og/VTJuA41Ju_I/AAAAAAAAARI/5pgCToAHGac/s1600/IAIN%2BFU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 contrast="2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D2942">
        <w:rPr>
          <w:rFonts w:ascii="Times New Roman" w:hAnsi="Times New Roman" w:cs="Times New Roman"/>
          <w:b/>
          <w:sz w:val="24"/>
          <w:szCs w:val="24"/>
        </w:rPr>
        <w:t>INSTITUT AGAMA ISLAM NEGERI BENGKULU</w:t>
      </w:r>
    </w:p>
    <w:p w:rsidR="00F74EB9" w:rsidRPr="008D346D" w:rsidRDefault="00F74EB9" w:rsidP="00F74EB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ID"/>
        </w:rPr>
      </w:pPr>
      <w:r w:rsidRPr="008F4ED6">
        <w:rPr>
          <w:rFonts w:ascii="Times New Roman" w:hAnsi="Times New Roman" w:cs="Times New Roman"/>
          <w:b/>
          <w:sz w:val="32"/>
          <w:szCs w:val="32"/>
        </w:rPr>
        <w:t xml:space="preserve">FAKULTAS </w:t>
      </w:r>
      <w:r>
        <w:rPr>
          <w:rFonts w:ascii="Times New Roman" w:hAnsi="Times New Roman" w:cs="Times New Roman"/>
          <w:b/>
          <w:sz w:val="32"/>
          <w:szCs w:val="32"/>
          <w:lang w:val="en-ID"/>
        </w:rPr>
        <w:t>EKONOMI DAN BISNIS ISLAM</w:t>
      </w:r>
    </w:p>
    <w:p w:rsidR="00F74EB9" w:rsidRPr="00393AC4" w:rsidRDefault="00F74EB9" w:rsidP="00F74EB9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93AC4">
        <w:rPr>
          <w:rFonts w:ascii="Times New Roman" w:hAnsi="Times New Roman" w:cs="Times New Roman"/>
          <w:b/>
          <w:i/>
          <w:sz w:val="20"/>
          <w:szCs w:val="20"/>
        </w:rPr>
        <w:t>Jl. Raden Fatah Pagar Dewa Kota Bengkulu. Phon. (0736) 51172</w:t>
      </w:r>
    </w:p>
    <w:p w:rsidR="00F74EB9" w:rsidRDefault="00F74EB9" w:rsidP="00F74EB9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F74EB9" w:rsidRPr="008D346D" w:rsidRDefault="00F74EB9" w:rsidP="00F74EB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</w:p>
    <w:p w:rsidR="00F74EB9" w:rsidRPr="00C2719C" w:rsidRDefault="00F74EB9" w:rsidP="00F74E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</w:rPr>
        <w:t>RENCANA PEMBELAJARAN SEMESTER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(RPS)</w:t>
      </w:r>
    </w:p>
    <w:p w:rsidR="00F74EB9" w:rsidRDefault="00F74EB9" w:rsidP="00F74EB9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69"/>
        <w:gridCol w:w="290"/>
        <w:gridCol w:w="6989"/>
      </w:tblGrid>
      <w:tr w:rsidR="00F74EB9" w:rsidTr="00AF6229">
        <w:tc>
          <w:tcPr>
            <w:tcW w:w="3069" w:type="dxa"/>
          </w:tcPr>
          <w:p w:rsidR="00F74EB9" w:rsidRDefault="00F74EB9" w:rsidP="00625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290" w:type="dxa"/>
          </w:tcPr>
          <w:p w:rsidR="00F74EB9" w:rsidRDefault="00F74EB9" w:rsidP="00625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F74EB9" w:rsidRPr="00C2719C" w:rsidRDefault="00F74EB9" w:rsidP="0062551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F7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ZAKAT WAQAF DI NEGARA</w:t>
            </w:r>
            <w:r w:rsidR="00A71E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-NEGAARA</w:t>
            </w:r>
            <w:r w:rsidRPr="00F74E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ISLAM</w:t>
            </w:r>
          </w:p>
        </w:tc>
      </w:tr>
      <w:tr w:rsidR="00F74EB9" w:rsidTr="00AF6229">
        <w:tc>
          <w:tcPr>
            <w:tcW w:w="3069" w:type="dxa"/>
          </w:tcPr>
          <w:p w:rsidR="00F74EB9" w:rsidRDefault="00F74EB9" w:rsidP="00625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Kode Mata Kuliah</w:t>
            </w:r>
          </w:p>
        </w:tc>
        <w:tc>
          <w:tcPr>
            <w:tcW w:w="290" w:type="dxa"/>
          </w:tcPr>
          <w:p w:rsidR="00F74EB9" w:rsidRDefault="00F74EB9" w:rsidP="00625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F74EB9" w:rsidRPr="00835506" w:rsidRDefault="00F74EB9" w:rsidP="00625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……….</w:t>
            </w:r>
          </w:p>
        </w:tc>
      </w:tr>
      <w:tr w:rsidR="00F74EB9" w:rsidTr="00AF6229">
        <w:tc>
          <w:tcPr>
            <w:tcW w:w="3069" w:type="dxa"/>
          </w:tcPr>
          <w:p w:rsidR="00F74EB9" w:rsidRPr="00C2719C" w:rsidRDefault="00F74EB9" w:rsidP="00625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Prodi</w:t>
            </w:r>
          </w:p>
        </w:tc>
        <w:tc>
          <w:tcPr>
            <w:tcW w:w="290" w:type="dxa"/>
          </w:tcPr>
          <w:p w:rsidR="00F74EB9" w:rsidRPr="00C2719C" w:rsidRDefault="00F74EB9" w:rsidP="00625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:</w:t>
            </w:r>
          </w:p>
        </w:tc>
        <w:tc>
          <w:tcPr>
            <w:tcW w:w="6989" w:type="dxa"/>
          </w:tcPr>
          <w:p w:rsidR="00F74EB9" w:rsidRPr="00C2719C" w:rsidRDefault="00F74EB9" w:rsidP="00625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Zakat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Waqaf</w:t>
            </w:r>
            <w:proofErr w:type="spellEnd"/>
          </w:p>
        </w:tc>
      </w:tr>
      <w:tr w:rsidR="00F74EB9" w:rsidTr="00AF6229">
        <w:tc>
          <w:tcPr>
            <w:tcW w:w="3069" w:type="dxa"/>
          </w:tcPr>
          <w:p w:rsidR="00F74EB9" w:rsidRDefault="00F74EB9" w:rsidP="00625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90" w:type="dxa"/>
          </w:tcPr>
          <w:p w:rsidR="00F74EB9" w:rsidRDefault="00F74EB9" w:rsidP="00625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F74EB9" w:rsidRDefault="00F74EB9" w:rsidP="00625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(tiga)</w:t>
            </w:r>
          </w:p>
        </w:tc>
      </w:tr>
      <w:tr w:rsidR="00F74EB9" w:rsidTr="00AF6229">
        <w:tc>
          <w:tcPr>
            <w:tcW w:w="3069" w:type="dxa"/>
          </w:tcPr>
          <w:p w:rsidR="00F74EB9" w:rsidRDefault="00F74EB9" w:rsidP="00625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 SKS</w:t>
            </w:r>
          </w:p>
        </w:tc>
        <w:tc>
          <w:tcPr>
            <w:tcW w:w="290" w:type="dxa"/>
          </w:tcPr>
          <w:p w:rsidR="00F74EB9" w:rsidRDefault="00F74EB9" w:rsidP="00625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F74EB9" w:rsidRDefault="00F74EB9" w:rsidP="00625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dua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 SKS</w:t>
            </w:r>
          </w:p>
        </w:tc>
      </w:tr>
      <w:tr w:rsidR="00F74EB9" w:rsidTr="00AF6229">
        <w:tc>
          <w:tcPr>
            <w:tcW w:w="3069" w:type="dxa"/>
          </w:tcPr>
          <w:p w:rsidR="00F74EB9" w:rsidRDefault="00F74EB9" w:rsidP="00625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Sifat Mata Kuliah</w:t>
            </w:r>
          </w:p>
        </w:tc>
        <w:tc>
          <w:tcPr>
            <w:tcW w:w="290" w:type="dxa"/>
          </w:tcPr>
          <w:p w:rsidR="00F74EB9" w:rsidRDefault="00F74EB9" w:rsidP="00625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F74EB9" w:rsidRDefault="00F74EB9" w:rsidP="00625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Wajib </w:t>
            </w:r>
          </w:p>
        </w:tc>
      </w:tr>
      <w:tr w:rsidR="00F74EB9" w:rsidTr="00AF6229">
        <w:tc>
          <w:tcPr>
            <w:tcW w:w="3069" w:type="dxa"/>
          </w:tcPr>
          <w:p w:rsidR="00F74EB9" w:rsidRDefault="00F74EB9" w:rsidP="00625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Koordinator Mata Kuliah</w:t>
            </w:r>
          </w:p>
        </w:tc>
        <w:tc>
          <w:tcPr>
            <w:tcW w:w="290" w:type="dxa"/>
          </w:tcPr>
          <w:p w:rsidR="00F74EB9" w:rsidRDefault="00F74EB9" w:rsidP="006255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89" w:type="dxa"/>
          </w:tcPr>
          <w:p w:rsidR="00F74EB9" w:rsidRPr="00C2719C" w:rsidRDefault="00F74EB9" w:rsidP="0062551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</w:pPr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DR. H. </w:t>
            </w:r>
            <w:proofErr w:type="spellStart"/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Khairuddin</w:t>
            </w:r>
            <w:proofErr w:type="spellEnd"/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 xml:space="preserve"> Wahid, </w:t>
            </w:r>
            <w:proofErr w:type="spellStart"/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M.Ag</w:t>
            </w:r>
            <w:proofErr w:type="spellEnd"/>
            <w:r w:rsidRPr="00C2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.</w:t>
            </w:r>
          </w:p>
        </w:tc>
      </w:tr>
    </w:tbl>
    <w:p w:rsidR="00625513" w:rsidRDefault="00625513" w:rsidP="00F74EB9">
      <w:pPr>
        <w:rPr>
          <w:rFonts w:ascii="Times New Roman" w:hAnsi="Times New Roman" w:cs="Times New Roman"/>
          <w:sz w:val="24"/>
          <w:szCs w:val="24"/>
        </w:rPr>
      </w:pPr>
    </w:p>
    <w:p w:rsidR="00F74EB9" w:rsidRPr="00625513" w:rsidRDefault="00F74EB9" w:rsidP="00F74EB9">
      <w:pPr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25513">
        <w:rPr>
          <w:rFonts w:ascii="Times New Roman" w:hAnsi="Times New Roman" w:cs="Times New Roman"/>
          <w:b/>
          <w:bCs/>
          <w:sz w:val="24"/>
          <w:szCs w:val="24"/>
        </w:rPr>
        <w:t>DISKRIFSI MATA KULIAH</w:t>
      </w:r>
      <w:r w:rsidR="00625513">
        <w:rPr>
          <w:rFonts w:ascii="Times New Roman" w:hAnsi="Times New Roman" w:cs="Times New Roman"/>
          <w:b/>
          <w:bCs/>
          <w:sz w:val="24"/>
          <w:szCs w:val="24"/>
          <w:lang w:val="en-ID"/>
        </w:rPr>
        <w:t>:</w:t>
      </w:r>
    </w:p>
    <w:p w:rsidR="00F74EB9" w:rsidRPr="00F672C7" w:rsidRDefault="00F74EB9" w:rsidP="00A71E7C">
      <w:pPr>
        <w:rPr>
          <w:rFonts w:ascii="Times New Roman" w:hAnsi="Times New Roman" w:cs="Times New Roman"/>
          <w:sz w:val="24"/>
          <w:szCs w:val="24"/>
        </w:rPr>
      </w:pPr>
      <w:r w:rsidRPr="00F672C7">
        <w:rPr>
          <w:rFonts w:ascii="Times New Roman" w:hAnsi="Times New Roman" w:cs="Times New Roman"/>
          <w:sz w:val="24"/>
          <w:szCs w:val="24"/>
        </w:rPr>
        <w:t>Mata kuliah ini dimaksudkan agar para mahasiswa sebagai insan akademis relegius memiliki kompetensi</w:t>
      </w:r>
      <w:r w:rsidRPr="00A71E7C">
        <w:rPr>
          <w:rFonts w:ascii="Times New Roman" w:hAnsi="Times New Roman" w:cs="Times New Roman"/>
          <w:sz w:val="24"/>
          <w:szCs w:val="24"/>
        </w:rPr>
        <w:t xml:space="preserve"> </w:t>
      </w:r>
      <w:r w:rsidRPr="00F672C7">
        <w:rPr>
          <w:rFonts w:ascii="Times New Roman" w:hAnsi="Times New Roman" w:cs="Times New Roman"/>
          <w:sz w:val="24"/>
          <w:szCs w:val="24"/>
        </w:rPr>
        <w:t xml:space="preserve">akademis dan atau </w:t>
      </w:r>
      <w:r w:rsidR="00A71E7C">
        <w:rPr>
          <w:rFonts w:ascii="Times New Roman" w:hAnsi="Times New Roman" w:cs="Times New Roman"/>
          <w:sz w:val="24"/>
          <w:szCs w:val="24"/>
        </w:rPr>
        <w:t>profe</w:t>
      </w:r>
      <w:r w:rsidRPr="00F672C7">
        <w:rPr>
          <w:rFonts w:ascii="Times New Roman" w:hAnsi="Times New Roman" w:cs="Times New Roman"/>
          <w:sz w:val="24"/>
          <w:szCs w:val="24"/>
        </w:rPr>
        <w:t>sion</w:t>
      </w:r>
      <w:r>
        <w:rPr>
          <w:rFonts w:ascii="Times New Roman" w:hAnsi="Times New Roman" w:cs="Times New Roman"/>
          <w:sz w:val="24"/>
          <w:szCs w:val="24"/>
        </w:rPr>
        <w:t xml:space="preserve">al di bidang </w:t>
      </w:r>
      <w:r w:rsidR="00A71E7C" w:rsidRPr="00A71E7C">
        <w:rPr>
          <w:rFonts w:ascii="Times New Roman" w:hAnsi="Times New Roman" w:cs="Times New Roman"/>
          <w:sz w:val="24"/>
          <w:szCs w:val="24"/>
        </w:rPr>
        <w:t>Manajemen Zakat dan Waqaf sebagaimana yang susdah diterapkan di dunia muslim seperti Arab Saudai, Mesir, Pakistan dan lain-lain,</w:t>
      </w:r>
      <w:r w:rsidRPr="00A71E7C">
        <w:rPr>
          <w:rFonts w:ascii="Times New Roman" w:hAnsi="Times New Roman" w:cs="Times New Roman"/>
          <w:sz w:val="24"/>
          <w:szCs w:val="24"/>
        </w:rPr>
        <w:t xml:space="preserve"> </w:t>
      </w:r>
      <w:r w:rsidRPr="00F672C7">
        <w:rPr>
          <w:rFonts w:ascii="Times New Roman" w:hAnsi="Times New Roman" w:cs="Times New Roman"/>
          <w:sz w:val="24"/>
          <w:szCs w:val="24"/>
        </w:rPr>
        <w:t xml:space="preserve">sehingga mampu menjadi tenaga akademik dan atau professional di lembaga-lembaga </w:t>
      </w:r>
      <w:r w:rsidR="00A71E7C" w:rsidRPr="00A71E7C">
        <w:rPr>
          <w:rFonts w:ascii="Times New Roman" w:hAnsi="Times New Roman" w:cs="Times New Roman"/>
          <w:sz w:val="24"/>
          <w:szCs w:val="24"/>
        </w:rPr>
        <w:t>Zakat dan Waqaf di Indonesia khususnya dan di dunia Islam pada umumnya.</w:t>
      </w:r>
    </w:p>
    <w:p w:rsidR="00625513" w:rsidRDefault="00625513" w:rsidP="006255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25513" w:rsidRDefault="00625513" w:rsidP="006255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25513" w:rsidRDefault="00F74EB9" w:rsidP="00625513">
      <w:pPr>
        <w:rPr>
          <w:rFonts w:ascii="Times New Roman" w:hAnsi="Times New Roman" w:cs="Times New Roman"/>
          <w:sz w:val="24"/>
          <w:szCs w:val="24"/>
        </w:rPr>
      </w:pPr>
      <w:r w:rsidRPr="00625513">
        <w:rPr>
          <w:rFonts w:ascii="Times New Roman" w:hAnsi="Times New Roman" w:cs="Times New Roman"/>
          <w:b/>
          <w:bCs/>
          <w:sz w:val="24"/>
          <w:szCs w:val="24"/>
        </w:rPr>
        <w:lastRenderedPageBreak/>
        <w:t>CAPAIAN PEMBELAJARAN</w:t>
      </w:r>
      <w:r w:rsidRPr="00F672C7">
        <w:rPr>
          <w:rFonts w:ascii="Times New Roman" w:hAnsi="Times New Roman" w:cs="Times New Roman"/>
          <w:sz w:val="24"/>
          <w:szCs w:val="24"/>
        </w:rPr>
        <w:t>:</w:t>
      </w:r>
    </w:p>
    <w:p w:rsidR="00F74EB9" w:rsidRPr="00625513" w:rsidRDefault="00F74EB9" w:rsidP="00625513">
      <w:pPr>
        <w:rPr>
          <w:rFonts w:ascii="Times New Roman" w:hAnsi="Times New Roman" w:cs="Times New Roman"/>
          <w:sz w:val="24"/>
          <w:szCs w:val="24"/>
        </w:rPr>
      </w:pPr>
      <w:r w:rsidRPr="00F672C7">
        <w:rPr>
          <w:rFonts w:ascii="Times New Roman" w:hAnsi="Times New Roman" w:cs="Times New Roman"/>
          <w:sz w:val="24"/>
          <w:szCs w:val="24"/>
        </w:rPr>
        <w:t xml:space="preserve">Mahasiswa mampu mengetahui, memahami, dan mendiskripsikan </w:t>
      </w:r>
      <w:r w:rsidR="00A00F0D" w:rsidRPr="00A00F0D">
        <w:rPr>
          <w:rFonts w:ascii="Times New Roman" w:hAnsi="Times New Roman" w:cs="Times New Roman"/>
          <w:sz w:val="24"/>
          <w:szCs w:val="24"/>
        </w:rPr>
        <w:t>sejarah perkembangan zakat dan waqaf di dunia Islam</w:t>
      </w:r>
      <w:r w:rsidRPr="00F672C7">
        <w:rPr>
          <w:rFonts w:ascii="Times New Roman" w:hAnsi="Times New Roman" w:cs="Times New Roman"/>
          <w:sz w:val="24"/>
          <w:szCs w:val="24"/>
        </w:rPr>
        <w:t xml:space="preserve">, </w:t>
      </w:r>
      <w:r w:rsidR="00A00F0D" w:rsidRPr="00A00F0D">
        <w:rPr>
          <w:rFonts w:ascii="Times New Roman" w:hAnsi="Times New Roman" w:cs="Times New Roman"/>
          <w:sz w:val="24"/>
          <w:szCs w:val="24"/>
        </w:rPr>
        <w:t xml:space="preserve">Signifikansi Zakat dan Waqaf bagi kehidupan </w:t>
      </w:r>
      <w:r w:rsidR="00A00F0D">
        <w:rPr>
          <w:rFonts w:ascii="Times New Roman" w:hAnsi="Times New Roman" w:cs="Times New Roman"/>
          <w:sz w:val="24"/>
          <w:szCs w:val="24"/>
        </w:rPr>
        <w:t>so</w:t>
      </w:r>
      <w:r w:rsidR="00A00F0D" w:rsidRPr="00A00F0D">
        <w:rPr>
          <w:rFonts w:ascii="Times New Roman" w:hAnsi="Times New Roman" w:cs="Times New Roman"/>
          <w:sz w:val="24"/>
          <w:szCs w:val="24"/>
        </w:rPr>
        <w:t>sial dan perkembagan ekonimi Ummat</w:t>
      </w:r>
      <w:r w:rsidR="00A00F0D">
        <w:rPr>
          <w:rFonts w:ascii="Times New Roman" w:hAnsi="Times New Roman" w:cs="Times New Roman"/>
          <w:sz w:val="24"/>
          <w:szCs w:val="24"/>
        </w:rPr>
        <w:t>,</w:t>
      </w:r>
      <w:r w:rsidR="00A00F0D" w:rsidRPr="00A00F0D">
        <w:rPr>
          <w:rFonts w:ascii="Times New Roman" w:hAnsi="Times New Roman" w:cs="Times New Roman"/>
          <w:sz w:val="24"/>
          <w:szCs w:val="24"/>
        </w:rPr>
        <w:t xml:space="preserve"> sig</w:t>
      </w:r>
      <w:r w:rsidR="00A00F0D">
        <w:rPr>
          <w:rFonts w:ascii="Times New Roman" w:hAnsi="Times New Roman" w:cs="Times New Roman"/>
          <w:sz w:val="24"/>
          <w:szCs w:val="24"/>
        </w:rPr>
        <w:t>nifikansi manajemen pengelolaan</w:t>
      </w:r>
      <w:r w:rsidR="00A00F0D" w:rsidRPr="00A00F0D">
        <w:rPr>
          <w:rFonts w:ascii="Times New Roman" w:hAnsi="Times New Roman" w:cs="Times New Roman"/>
          <w:sz w:val="24"/>
          <w:szCs w:val="24"/>
        </w:rPr>
        <w:t xml:space="preserve"> zakat dan waqaf untuk penggalian potensi, pemanfaatan dan pengembangan ekonomi ummat. </w:t>
      </w:r>
      <w:proofErr w:type="spellStart"/>
      <w:r w:rsidR="00A00F0D">
        <w:rPr>
          <w:rFonts w:ascii="Times New Roman" w:hAnsi="Times New Roman" w:cs="Times New Roman"/>
          <w:sz w:val="24"/>
          <w:szCs w:val="24"/>
          <w:lang w:val="en-ID"/>
        </w:rPr>
        <w:t>Mampu</w:t>
      </w:r>
      <w:proofErr w:type="spellEnd"/>
      <w:r w:rsidR="00A00F0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00F0D">
        <w:rPr>
          <w:rFonts w:ascii="Times New Roman" w:hAnsi="Times New Roman" w:cs="Times New Roman"/>
          <w:sz w:val="24"/>
          <w:szCs w:val="24"/>
          <w:lang w:val="en-ID"/>
        </w:rPr>
        <w:t>memanage</w:t>
      </w:r>
      <w:proofErr w:type="spellEnd"/>
      <w:r w:rsidR="00A00F0D">
        <w:rPr>
          <w:rFonts w:ascii="Times New Roman" w:hAnsi="Times New Roman" w:cs="Times New Roman"/>
          <w:sz w:val="24"/>
          <w:szCs w:val="24"/>
          <w:lang w:val="en-ID"/>
        </w:rPr>
        <w:t xml:space="preserve"> Zakat </w:t>
      </w:r>
      <w:proofErr w:type="spellStart"/>
      <w:r w:rsidR="00A00F0D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A00F0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00F0D">
        <w:rPr>
          <w:rFonts w:ascii="Times New Roman" w:hAnsi="Times New Roman" w:cs="Times New Roman"/>
          <w:sz w:val="24"/>
          <w:szCs w:val="24"/>
          <w:lang w:val="en-ID"/>
        </w:rPr>
        <w:t>Waqaf</w:t>
      </w:r>
      <w:proofErr w:type="spellEnd"/>
      <w:r w:rsidR="00A00F0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00F0D">
        <w:rPr>
          <w:rFonts w:ascii="Times New Roman" w:hAnsi="Times New Roman" w:cs="Times New Roman"/>
          <w:sz w:val="24"/>
          <w:szCs w:val="24"/>
          <w:lang w:val="en-ID"/>
        </w:rPr>
        <w:t>sebagaimana</w:t>
      </w:r>
      <w:proofErr w:type="spellEnd"/>
      <w:r w:rsidR="00A00F0D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A00F0D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="00A00F0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00F0D">
        <w:rPr>
          <w:rFonts w:ascii="Times New Roman" w:hAnsi="Times New Roman" w:cs="Times New Roman"/>
          <w:sz w:val="24"/>
          <w:szCs w:val="24"/>
          <w:lang w:val="en-ID"/>
        </w:rPr>
        <w:t>di</w:t>
      </w:r>
      <w:r w:rsidR="00CA63D0">
        <w:rPr>
          <w:rFonts w:ascii="Times New Roman" w:hAnsi="Times New Roman" w:cs="Times New Roman"/>
          <w:sz w:val="24"/>
          <w:szCs w:val="24"/>
          <w:lang w:val="en-ID"/>
        </w:rPr>
        <w:t>terapkan</w:t>
      </w:r>
      <w:proofErr w:type="spellEnd"/>
      <w:r w:rsidR="00CA63D0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="00CA63D0">
        <w:rPr>
          <w:rFonts w:ascii="Times New Roman" w:hAnsi="Times New Roman" w:cs="Times New Roman"/>
          <w:sz w:val="24"/>
          <w:szCs w:val="24"/>
          <w:lang w:val="en-ID"/>
        </w:rPr>
        <w:t>negera-negara</w:t>
      </w:r>
      <w:proofErr w:type="spellEnd"/>
      <w:r w:rsidR="00CA63D0">
        <w:rPr>
          <w:rFonts w:ascii="Times New Roman" w:hAnsi="Times New Roman" w:cs="Times New Roman"/>
          <w:sz w:val="24"/>
          <w:szCs w:val="24"/>
          <w:lang w:val="en-ID"/>
        </w:rPr>
        <w:t xml:space="preserve"> Islam </w:t>
      </w:r>
      <w:proofErr w:type="spellStart"/>
      <w:r w:rsidR="00CA63D0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CA63D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3D0">
        <w:rPr>
          <w:rFonts w:ascii="Times New Roman" w:hAnsi="Times New Roman" w:cs="Times New Roman"/>
          <w:sz w:val="24"/>
          <w:szCs w:val="24"/>
          <w:lang w:val="en-ID"/>
        </w:rPr>
        <w:t>mengembangkan</w:t>
      </w:r>
      <w:proofErr w:type="spellEnd"/>
      <w:r w:rsidR="00CA63D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3D0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CA63D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3D0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="00CA63D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3D0">
        <w:rPr>
          <w:rFonts w:ascii="Times New Roman" w:hAnsi="Times New Roman" w:cs="Times New Roman"/>
          <w:sz w:val="24"/>
          <w:szCs w:val="24"/>
          <w:lang w:val="en-ID"/>
        </w:rPr>
        <w:t>inovasi</w:t>
      </w:r>
      <w:proofErr w:type="spellEnd"/>
      <w:r w:rsidR="00CA63D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3D0">
        <w:rPr>
          <w:rFonts w:ascii="Times New Roman" w:hAnsi="Times New Roman" w:cs="Times New Roman"/>
          <w:sz w:val="24"/>
          <w:szCs w:val="24"/>
          <w:lang w:val="en-ID"/>
        </w:rPr>
        <w:t>sesuai</w:t>
      </w:r>
      <w:proofErr w:type="spellEnd"/>
      <w:r w:rsidR="00CA63D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3D0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CA63D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3D0">
        <w:rPr>
          <w:rFonts w:ascii="Times New Roman" w:hAnsi="Times New Roman" w:cs="Times New Roman"/>
          <w:sz w:val="24"/>
          <w:szCs w:val="24"/>
          <w:lang w:val="en-ID"/>
        </w:rPr>
        <w:t>situasi</w:t>
      </w:r>
      <w:proofErr w:type="spellEnd"/>
      <w:r w:rsidR="00CA63D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3D0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CA63D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3D0">
        <w:rPr>
          <w:rFonts w:ascii="Times New Roman" w:hAnsi="Times New Roman" w:cs="Times New Roman"/>
          <w:sz w:val="24"/>
          <w:szCs w:val="24"/>
          <w:lang w:val="en-ID"/>
        </w:rPr>
        <w:t>kondisi</w:t>
      </w:r>
      <w:proofErr w:type="spellEnd"/>
      <w:r w:rsidR="00CA63D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A63D0">
        <w:rPr>
          <w:rFonts w:ascii="Times New Roman" w:hAnsi="Times New Roman" w:cs="Times New Roman"/>
          <w:sz w:val="24"/>
          <w:szCs w:val="24"/>
          <w:lang w:val="en-ID"/>
        </w:rPr>
        <w:t>Bangsa</w:t>
      </w:r>
      <w:proofErr w:type="spellEnd"/>
      <w:r w:rsidR="00CA63D0">
        <w:rPr>
          <w:rFonts w:ascii="Times New Roman" w:hAnsi="Times New Roman" w:cs="Times New Roman"/>
          <w:sz w:val="24"/>
          <w:szCs w:val="24"/>
          <w:lang w:val="en-ID"/>
        </w:rPr>
        <w:t xml:space="preserve"> Indonesia.</w:t>
      </w:r>
      <w:r w:rsidR="00A00F0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F74EB9" w:rsidRDefault="00F74EB9" w:rsidP="00F74EB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RENCANA PEMBELAJARAN SEMESTER</w:t>
      </w:r>
    </w:p>
    <w:tbl>
      <w:tblPr>
        <w:tblW w:w="141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2243"/>
        <w:gridCol w:w="1418"/>
        <w:gridCol w:w="3118"/>
        <w:gridCol w:w="1701"/>
        <w:gridCol w:w="1276"/>
        <w:gridCol w:w="992"/>
        <w:gridCol w:w="2381"/>
      </w:tblGrid>
      <w:tr w:rsidR="00FC7F46" w:rsidRPr="003B6273" w:rsidTr="00625513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B9" w:rsidRDefault="00F74EB9" w:rsidP="00AF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(1)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B9" w:rsidRPr="00655F43" w:rsidRDefault="00F74EB9" w:rsidP="00AF62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D"/>
              </w:rPr>
              <w:t>(2)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B9" w:rsidRPr="003B6273" w:rsidRDefault="00F74EB9" w:rsidP="00AF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(3)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B9" w:rsidRPr="003B6273" w:rsidRDefault="00F74EB9" w:rsidP="00AF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B9" w:rsidRDefault="00F74EB9" w:rsidP="00AF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B9" w:rsidRPr="003B6273" w:rsidRDefault="00F74EB9" w:rsidP="00AF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B9" w:rsidRPr="003B6273" w:rsidRDefault="00F74EB9" w:rsidP="00AF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(7)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B9" w:rsidRPr="003B6273" w:rsidRDefault="00F74EB9" w:rsidP="00AF6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(8)</w:t>
            </w:r>
          </w:p>
        </w:tc>
      </w:tr>
      <w:tr w:rsidR="00FC7F46" w:rsidRPr="003B6273" w:rsidTr="00625513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B9" w:rsidRPr="00C84969" w:rsidRDefault="00F74EB9" w:rsidP="00AF6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84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Minggu</w:t>
            </w:r>
            <w:proofErr w:type="spellEnd"/>
          </w:p>
          <w:p w:rsidR="00F74EB9" w:rsidRPr="00C84969" w:rsidRDefault="00F74EB9" w:rsidP="00AF6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84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Ke</w:t>
            </w:r>
            <w:proofErr w:type="spellEnd"/>
            <w:r w:rsidRPr="00C84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B9" w:rsidRPr="00C84969" w:rsidRDefault="00F74EB9" w:rsidP="00AF6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49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Kemampuan Akhir yang </w:t>
            </w:r>
            <w:r w:rsidRPr="00C849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D"/>
              </w:rPr>
              <w:t>d</w:t>
            </w:r>
            <w:r w:rsidRPr="00C849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iharapkan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B9" w:rsidRPr="00C84969" w:rsidRDefault="00F74EB9" w:rsidP="00AF6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84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Materi</w:t>
            </w:r>
            <w:proofErr w:type="spellEnd"/>
            <w:r w:rsidRPr="00C84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4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Pokok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B9" w:rsidRPr="00C84969" w:rsidRDefault="00F74EB9" w:rsidP="00AF6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84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Indikator</w:t>
            </w:r>
            <w:proofErr w:type="spellEnd"/>
            <w:r w:rsidRPr="00C84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B9" w:rsidRPr="00C84969" w:rsidRDefault="00F74EB9" w:rsidP="00AF6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84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Bentuk</w:t>
            </w:r>
            <w:proofErr w:type="spellEnd"/>
            <w:r w:rsidRPr="00C84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4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Pembelajaran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B9" w:rsidRPr="00C84969" w:rsidRDefault="00F74EB9" w:rsidP="00AF6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84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Evaluasi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B9" w:rsidRPr="00C84969" w:rsidRDefault="00F74EB9" w:rsidP="00AF6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84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Waktu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EB9" w:rsidRPr="00C84969" w:rsidRDefault="00F74EB9" w:rsidP="00AF62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84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Bahan</w:t>
            </w:r>
            <w:proofErr w:type="spellEnd"/>
            <w:r w:rsidRPr="00C84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C84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Sumber</w:t>
            </w:r>
            <w:proofErr w:type="spellEnd"/>
          </w:p>
        </w:tc>
      </w:tr>
      <w:tr w:rsidR="00CA711E" w:rsidRPr="003B6273" w:rsidTr="00CA711E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</w:p>
          <w:p w:rsidR="00CA711E" w:rsidRPr="00C84969" w:rsidRDefault="00CA711E" w:rsidP="00AF62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s-MX"/>
              </w:rPr>
            </w:pPr>
          </w:p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s-MX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s-MX"/>
              </w:rPr>
              <w:t>Seluruh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s-MX"/>
              </w:rPr>
              <w:t>peserta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s-MX"/>
              </w:rPr>
              <w:t>didik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s-MX"/>
              </w:rPr>
              <w:t>mampu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s-MX"/>
              </w:rPr>
              <w:t>memahami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s-MX"/>
              </w:rPr>
              <w:t>kewajiban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s-MX"/>
              </w:rPr>
              <w:t xml:space="preserve"> dan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s-MX"/>
              </w:rPr>
              <w:t>haknya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s-MX"/>
              </w:rPr>
              <w:t xml:space="preserve"> yang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s-MX"/>
              </w:rPr>
              <w:t>sudah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s-MX"/>
              </w:rPr>
              <w:t>disepakati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s-MX"/>
              </w:rPr>
              <w:t>bersama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</w:p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Kontrak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kuliah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</w:p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Mahasiswa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mamapu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menjalankan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kewajibannya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memenusi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haknya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sudah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disepakati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</w:p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Ceramah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diskusi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</w:p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Observasi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</w:p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1x100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23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711E" w:rsidRDefault="00CA711E" w:rsidP="00F7726D">
            <w:pPr>
              <w:pStyle w:val="ListParagraph"/>
              <w:numPr>
                <w:ilvl w:val="0"/>
                <w:numId w:val="1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Ahmad 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Djunaidi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Thobieb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Al-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Asyhar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“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Menuju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Era 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Wakaf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Produktif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” (Jakarta: 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Mumtaz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Publishing, 2007)</w:t>
            </w:r>
          </w:p>
          <w:p w:rsidR="00CA711E" w:rsidRDefault="00CA711E" w:rsidP="00F7726D">
            <w:pPr>
              <w:pStyle w:val="ListParagraph"/>
              <w:numPr>
                <w:ilvl w:val="0"/>
                <w:numId w:val="1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Muhammad Abu 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Zahrah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“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Muhadarat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fi al-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Waqf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”, (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Mesir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Dar al-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Fikr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al-‘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Arabiy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1971)</w:t>
            </w:r>
          </w:p>
          <w:p w:rsidR="00CA711E" w:rsidRDefault="00CA711E" w:rsidP="00F7726D">
            <w:pPr>
              <w:pStyle w:val="ListParagraph"/>
              <w:numPr>
                <w:ilvl w:val="0"/>
                <w:numId w:val="1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Uswatun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Hasanah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“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Peranan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Wakaf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Mewujudkan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Kesejahteraan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Sosial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Kasus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Pengelolaan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Vakaf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 Jakarta Selatan)”, 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Disertasi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tidak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diterbitkan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(IAIN 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Syarif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Hidayatullah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1997)</w:t>
            </w:r>
          </w:p>
          <w:p w:rsidR="00CA711E" w:rsidRDefault="00CA711E" w:rsidP="00F7726D">
            <w:pPr>
              <w:pStyle w:val="ListParagraph"/>
              <w:numPr>
                <w:ilvl w:val="0"/>
                <w:numId w:val="1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Ahmad 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Syalabi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“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Mausu’ah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al-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Tarikh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al-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Islamiy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”, (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Mesir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Maktabah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al-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Nahdah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al-</w:t>
            </w:r>
            <w:proofErr w:type="spellStart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Misriyyah</w:t>
            </w:r>
            <w:proofErr w:type="spellEnd"/>
            <w:r w:rsidRPr="00F772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1979)</w:t>
            </w:r>
          </w:p>
          <w:p w:rsidR="00CA711E" w:rsidRDefault="00CA711E" w:rsidP="00CA711E">
            <w:pPr>
              <w:pStyle w:val="ListParagraph"/>
              <w:numPr>
                <w:ilvl w:val="0"/>
                <w:numId w:val="1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Muhammad Abdul </w:t>
            </w:r>
            <w:proofErr w:type="spellStart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Manan</w:t>
            </w:r>
            <w:proofErr w:type="spellEnd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“</w:t>
            </w:r>
            <w:proofErr w:type="spellStart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Teori</w:t>
            </w:r>
            <w:proofErr w:type="spellEnd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Praktek</w:t>
            </w:r>
            <w:proofErr w:type="spellEnd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Perekonomian</w:t>
            </w:r>
            <w:proofErr w:type="spellEnd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Islam”, </w:t>
            </w:r>
            <w:proofErr w:type="spellStart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diterjemahkan</w:t>
            </w:r>
            <w:proofErr w:type="spellEnd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oleh</w:t>
            </w:r>
            <w:proofErr w:type="spellEnd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M. </w:t>
            </w:r>
            <w:proofErr w:type="spellStart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Nastagin</w:t>
            </w:r>
            <w:proofErr w:type="spellEnd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(Yogyakarta: Dana Bhakti </w:t>
            </w:r>
            <w:proofErr w:type="spellStart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Wakaf</w:t>
            </w:r>
            <w:proofErr w:type="spellEnd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1993)</w:t>
            </w:r>
          </w:p>
          <w:p w:rsidR="00CA711E" w:rsidRDefault="00CA711E" w:rsidP="00CA711E">
            <w:pPr>
              <w:pStyle w:val="ListParagraph"/>
              <w:numPr>
                <w:ilvl w:val="0"/>
                <w:numId w:val="1"/>
              </w:numPr>
              <w:tabs>
                <w:tab w:val="left" w:pos="162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Jumhuriyyah</w:t>
            </w:r>
            <w:proofErr w:type="spellEnd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Misr</w:t>
            </w:r>
            <w:proofErr w:type="spellEnd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al-‘</w:t>
            </w:r>
            <w:proofErr w:type="spellStart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Arabiyah</w:t>
            </w:r>
            <w:proofErr w:type="spellEnd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”</w:t>
            </w:r>
            <w:proofErr w:type="spellStart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Qawanin</w:t>
            </w:r>
            <w:proofErr w:type="spellEnd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al-</w:t>
            </w:r>
            <w:proofErr w:type="spellStart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Waqf</w:t>
            </w:r>
            <w:proofErr w:type="spellEnd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</w:t>
            </w:r>
            <w:proofErr w:type="spellEnd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al-</w:t>
            </w:r>
            <w:proofErr w:type="spellStart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Hikr</w:t>
            </w:r>
            <w:proofErr w:type="spellEnd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</w:t>
            </w:r>
            <w:proofErr w:type="spellEnd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al-</w:t>
            </w:r>
            <w:proofErr w:type="spellStart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Qararat</w:t>
            </w:r>
            <w:proofErr w:type="spellEnd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al-</w:t>
            </w:r>
            <w:proofErr w:type="spellStart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Tanfiziyah</w:t>
            </w:r>
            <w:proofErr w:type="spellEnd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”, (</w:t>
            </w:r>
            <w:proofErr w:type="spellStart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Kairo</w:t>
            </w:r>
            <w:proofErr w:type="spellEnd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al-</w:t>
            </w:r>
            <w:proofErr w:type="spellStart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Hai’ah</w:t>
            </w:r>
            <w:proofErr w:type="spellEnd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al-</w:t>
            </w:r>
            <w:proofErr w:type="spellStart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Ammah</w:t>
            </w:r>
            <w:proofErr w:type="spellEnd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li </w:t>
            </w:r>
            <w:proofErr w:type="spellStart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Syuun</w:t>
            </w:r>
            <w:proofErr w:type="spellEnd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al-</w:t>
            </w:r>
            <w:proofErr w:type="spellStart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Matabi</w:t>
            </w:r>
            <w:proofErr w:type="spellEnd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al-</w:t>
            </w:r>
            <w:proofErr w:type="spellStart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amiriyah</w:t>
            </w:r>
            <w:proofErr w:type="spellEnd"/>
            <w:r w:rsidRPr="00CA71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193)</w:t>
            </w:r>
          </w:p>
          <w:p w:rsidR="00CA711E" w:rsidRPr="00CA711E" w:rsidRDefault="00CA711E" w:rsidP="00CA711E">
            <w:pPr>
              <w:pStyle w:val="ListParagraph"/>
              <w:tabs>
                <w:tab w:val="left" w:pos="1620"/>
              </w:tabs>
              <w:autoSpaceDE w:val="0"/>
              <w:autoSpaceDN w:val="0"/>
              <w:adjustRightInd w:val="0"/>
              <w:spacing w:after="0" w:line="36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CA711E" w:rsidRPr="003B6273" w:rsidTr="00CA711E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1C1F2A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Mampu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memahami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pengertian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engertian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menjelaskan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pengertian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:rsidR="00CA711E" w:rsidRPr="00C84969" w:rsidRDefault="00CA711E" w:rsidP="001C1F2A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memberikan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contoh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terkat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Tagihan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tugas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sebelumnya</w:t>
            </w:r>
            <w:proofErr w:type="spellEnd"/>
          </w:p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Ceramah</w:t>
            </w:r>
            <w:proofErr w:type="spellEnd"/>
          </w:p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Responsi</w:t>
            </w:r>
            <w:proofErr w:type="spellEnd"/>
          </w:p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Pemberian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Kuis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1x90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711E" w:rsidRPr="003B6273" w:rsidRDefault="00CA711E" w:rsidP="00AF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711E" w:rsidRPr="003B6273" w:rsidTr="00CA711E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1C1F2A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Mampu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memahami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Sejarah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perkembangan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dunia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Islam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Sejarah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perkembangan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dunia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Islam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E27016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menyebutkan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contoh-contoh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perkembangan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dna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Dunia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Islam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sejak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zaman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Rasulullah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sampai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pada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jatuhnya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Islam</w:t>
            </w:r>
          </w:p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Tagihan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tugas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sebelumnya</w:t>
            </w:r>
            <w:proofErr w:type="spellEnd"/>
          </w:p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Diskusi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kelompok</w:t>
            </w:r>
            <w:proofErr w:type="spellEnd"/>
          </w:p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Ceramah</w:t>
            </w:r>
            <w:proofErr w:type="spellEnd"/>
          </w:p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Pemberian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Uji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kinerja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makalah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1x90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711E" w:rsidRPr="003B6273" w:rsidRDefault="00CA711E" w:rsidP="00AF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711E" w:rsidRPr="003B6273" w:rsidTr="00CA711E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E27016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Mampu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memahami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Pentingnya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bagi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kehidupan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social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ekonomi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Ummat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Signifikansi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bagi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kehidupan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Sosial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Ekonomi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E27016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menjelaskan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betapa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pentingnya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implementasi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ajaran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bagi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kehidupan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social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ekonomi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.</w:t>
            </w:r>
          </w:p>
          <w:p w:rsidR="00CA711E" w:rsidRPr="00C84969" w:rsidRDefault="00CA711E" w:rsidP="00E27016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memberikan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contoh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-contoh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pentinganya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dalam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mengatasi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problematika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social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ekonomi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Ummat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Tagihan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tugas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sebelumnya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.</w:t>
            </w:r>
          </w:p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Diskusi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kelompok</w:t>
            </w:r>
            <w:proofErr w:type="spellEnd"/>
          </w:p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Ceramah</w:t>
            </w:r>
            <w:proofErr w:type="spellEnd"/>
          </w:p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Pemberian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Uji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kinerja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makalah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1x90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711E" w:rsidRPr="003B6273" w:rsidRDefault="00CA711E" w:rsidP="00AF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711E" w:rsidRPr="003B6273" w:rsidTr="00CA711E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ED724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Mampu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memahami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pentingnya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manajemen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secara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profesional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Signifikansi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Manajemen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ED724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menjelaskan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bahwa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haruslah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menggunakan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manajemen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yang modern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perofesional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.</w:t>
            </w:r>
          </w:p>
          <w:p w:rsidR="00CA711E" w:rsidRPr="00C84969" w:rsidRDefault="00CA711E" w:rsidP="00ED724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memberikan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contoh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yang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baik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benar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Tagihan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tugas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sebelumnya</w:t>
            </w:r>
            <w:proofErr w:type="spellEnd"/>
          </w:p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Diskusi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kelompok</w:t>
            </w:r>
            <w:proofErr w:type="spellEnd"/>
          </w:p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Ceramah</w:t>
            </w:r>
            <w:proofErr w:type="spellEnd"/>
          </w:p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Pemberian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Uji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kinerja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makalah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1x90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711E" w:rsidRPr="003B6273" w:rsidRDefault="00CA711E" w:rsidP="00AF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711E" w:rsidRPr="003B6273" w:rsidTr="00CA711E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Mampu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mahami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manajemen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Saudi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Arabiyah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Manajemen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Saudi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Arabiyah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5C013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menjelaskan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sumber-sumber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potensi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Saudi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Arabiyah</w:t>
            </w:r>
            <w:proofErr w:type="spellEnd"/>
          </w:p>
          <w:p w:rsidR="00CA711E" w:rsidRPr="00C84969" w:rsidRDefault="00CA711E" w:rsidP="005C013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menjelaskan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struktur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lembaga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serta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manajemen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pengumpulan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produktifitas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)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Saudi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Arabiyah</w:t>
            </w:r>
            <w:proofErr w:type="spellEnd"/>
          </w:p>
          <w:p w:rsidR="00CA711E" w:rsidRPr="00C84969" w:rsidRDefault="00CA711E" w:rsidP="005C0130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memberikan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contoh-contoh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terkait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tersebut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Tagihan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tugas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sebelumnya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.</w:t>
            </w:r>
          </w:p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Diskusi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kelompok</w:t>
            </w:r>
            <w:proofErr w:type="spellEnd"/>
          </w:p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Ceramah</w:t>
            </w:r>
            <w:proofErr w:type="spellEnd"/>
          </w:p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Pemberian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Uji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kinerja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makalah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1x90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711E" w:rsidRPr="003B6273" w:rsidRDefault="00CA711E" w:rsidP="00AF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711E" w:rsidRPr="003B6273" w:rsidTr="00CA711E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160A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7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Mampu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mahami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manajemen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Mesir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Manajemen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Mesir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menjelaskan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sumber-sumber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potensi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Mesir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menjelaskan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struktur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lembaga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serta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manajemen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pengumpulan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produktifitas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)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Mesir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memberikan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contoh-contoh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terkait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tersebut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Tagihan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tugas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sebelumnya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.</w:t>
            </w:r>
          </w:p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Diskusi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kelompok</w:t>
            </w:r>
            <w:proofErr w:type="spellEnd"/>
          </w:p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Ceramah</w:t>
            </w:r>
            <w:proofErr w:type="spellEnd"/>
          </w:p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Pemberian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Uji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kinerja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makalah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1x90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711E" w:rsidRPr="003B6273" w:rsidRDefault="00CA711E" w:rsidP="00160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711E" w:rsidRPr="003B6273" w:rsidTr="00CA711E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8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Tes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Mid</w:t>
            </w:r>
          </w:p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(UTS)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AF622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1x90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711E" w:rsidRPr="003B6273" w:rsidRDefault="00CA711E" w:rsidP="00AF6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711E" w:rsidRPr="003B6273" w:rsidTr="00CA711E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160A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9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Mampu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mahami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manajemen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Pakistan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Manajemen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Pakistan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menjelaskan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sumber-sumber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potensi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Pakistan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menjelaskan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struktur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lembaga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serta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manajemen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pengumpulan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produktifitas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)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Pakistan</w:t>
            </w:r>
          </w:p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memberikan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contoh-contoh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terkait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tersebut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Tagihan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tugas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sebelumnya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.</w:t>
            </w:r>
          </w:p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Diskusi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kelompok</w:t>
            </w:r>
            <w:proofErr w:type="spellEnd"/>
          </w:p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Ceramah</w:t>
            </w:r>
            <w:proofErr w:type="spellEnd"/>
          </w:p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Pemberian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Uji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kinerja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makalah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1x90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711E" w:rsidRPr="003B6273" w:rsidRDefault="00CA711E" w:rsidP="00160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711E" w:rsidRPr="003B6273" w:rsidTr="00CA711E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160A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Mampu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mahami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manajemen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Bangladesh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Manajemen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Bangladesh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menjelaskan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sumber-sumber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potensi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Pakistan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menjelaskan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struktur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lembaga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serta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manajemen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pengumpulan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produktifitas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)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Bangladesh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memberikan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contoh-contoh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terkait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tersebut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Tagihan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tugas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sebelumnya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.</w:t>
            </w:r>
          </w:p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Diskusi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kelompok</w:t>
            </w:r>
            <w:proofErr w:type="spellEnd"/>
          </w:p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Ceramah</w:t>
            </w:r>
            <w:proofErr w:type="spellEnd"/>
          </w:p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Pemberian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Uji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kinerja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makalah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1x90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711E" w:rsidRPr="003B6273" w:rsidRDefault="00CA711E" w:rsidP="00160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711E" w:rsidRPr="003B6273" w:rsidTr="00CA711E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8B48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11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Mampu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mahami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manajemen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Yordania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Manajemen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Yordania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menjelaskan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sumber-sumber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potensi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Yordania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.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menjelaskan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struktur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lembaga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serta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manajemen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pengumpulan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produktifitas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) zakat-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serta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pendistribusiannya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Yordania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.</w:t>
            </w:r>
          </w:p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memberikan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contoh-contoh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terkait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tersebut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Tagihan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tugas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sebelumnya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.</w:t>
            </w:r>
          </w:p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Diskusi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kelompok</w:t>
            </w:r>
            <w:proofErr w:type="spellEnd"/>
          </w:p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Ceramah</w:t>
            </w:r>
            <w:proofErr w:type="spellEnd"/>
          </w:p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Pemberian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Uji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kinerja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makalah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1x90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711E" w:rsidRPr="003B6273" w:rsidRDefault="00CA711E" w:rsidP="008B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711E" w:rsidRPr="003B6273" w:rsidTr="00CA711E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8B48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12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Mampu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mahami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manajemen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Brunai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Darussalam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Manajemen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Brunai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Darussalam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menjelaskan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sumber-sumber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potensi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Brunai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Darussalam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menjelaskan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struktur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lembaga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serta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manajemen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pengumpulan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produktifitas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) zakat-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serta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pendistribusiannya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Brunai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Darussalam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</w:p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memberikan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contoh-contoh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terkait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tersebut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Tagihan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tugas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sebelumnya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.</w:t>
            </w:r>
          </w:p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Diskusi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kelompok</w:t>
            </w:r>
            <w:proofErr w:type="spellEnd"/>
          </w:p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Ceramah</w:t>
            </w:r>
            <w:proofErr w:type="spellEnd"/>
          </w:p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Pemberian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Uji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kinerja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makalah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1x90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711E" w:rsidRPr="003B6273" w:rsidRDefault="00CA711E" w:rsidP="008B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711E" w:rsidRPr="003B6273" w:rsidTr="00CA711E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8B48E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13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Mampu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mahami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manajemen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lastRenderedPageBreak/>
              <w:t xml:space="preserve">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Malaysia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lastRenderedPageBreak/>
              <w:t>Manajemen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lastRenderedPageBreak/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Malaysia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menjelaskan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sumber-sumber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potensi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Malaysia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menjelaskan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lastRenderedPageBreak/>
              <w:t>struktur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lembaga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serta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manajemen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pengumpulan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produktifitas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) zakat-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serta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pendistribusiannya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Malaysia</w:t>
            </w:r>
          </w:p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memberikan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contoh-contoh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terkait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tersebut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Tagihan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tugas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sebelumnya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.</w:t>
            </w:r>
          </w:p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Diskusi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kelompok</w:t>
            </w:r>
            <w:proofErr w:type="spellEnd"/>
          </w:p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Ceramah</w:t>
            </w:r>
            <w:proofErr w:type="spellEnd"/>
          </w:p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Pemberian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lastRenderedPageBreak/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Uji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kinerja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makalah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8B48E3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1x90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711E" w:rsidRPr="003B6273" w:rsidRDefault="00CA711E" w:rsidP="008B4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711E" w:rsidRPr="003B6273" w:rsidTr="00CA711E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FC7F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FC7F46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Mampu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mahami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manajemen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Indonesia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FC7F46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Manajemen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Indonesia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FC7F46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menjelaskan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sumber-sumber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potensi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Indonesia</w:t>
            </w:r>
          </w:p>
          <w:p w:rsidR="00CA711E" w:rsidRPr="00C84969" w:rsidRDefault="00CA711E" w:rsidP="00C8496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menjelaskan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struktur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lembaga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serta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manajemen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pengumpulan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produktifitas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) zakat-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serta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pendistribusiannya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Indonesia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FC7F46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Tagihan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tugas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sebelumnya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.</w:t>
            </w:r>
          </w:p>
          <w:p w:rsidR="00CA711E" w:rsidRPr="00C84969" w:rsidRDefault="00CA711E" w:rsidP="00FC7F46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Diskusi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kelompok</w:t>
            </w:r>
            <w:proofErr w:type="spellEnd"/>
          </w:p>
          <w:p w:rsidR="00CA711E" w:rsidRPr="00C84969" w:rsidRDefault="00CA711E" w:rsidP="00FC7F46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Ceramah</w:t>
            </w:r>
            <w:proofErr w:type="spellEnd"/>
          </w:p>
          <w:p w:rsidR="00CA711E" w:rsidRPr="00C84969" w:rsidRDefault="00CA711E" w:rsidP="00FC7F46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Pemberian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FC7F46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CA711E" w:rsidRPr="00C84969" w:rsidRDefault="00CA711E" w:rsidP="00FC7F46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Uji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kinerja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makalah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FC7F46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1x90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711E" w:rsidRPr="003B6273" w:rsidRDefault="00CA711E" w:rsidP="00FC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711E" w:rsidRPr="003B6273" w:rsidTr="00CA711E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FC7F4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15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FC7F46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Mampu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mahami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Perbandingaan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manajemen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Negara-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negara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Islam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FC7F46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Perbandingan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Manajemen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di </w:t>
            </w: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Negara-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negara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Islam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FC7F46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menjelaskan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perbandingan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sumber-sumber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potensi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zakat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waqaf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Negara-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negara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Islam.</w:t>
            </w:r>
          </w:p>
          <w:p w:rsidR="00CA711E" w:rsidRPr="00C84969" w:rsidRDefault="00CA711E" w:rsidP="00C84969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Dapat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menjelaskan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perbandingan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struktur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lembaga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serta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manajemen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pengumpulan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pengelolaan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produktifitas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serta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pendistribusiannya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di Negara-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negara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Islam.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FC7F46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Tagihan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tugas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sebelumnya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.</w:t>
            </w:r>
          </w:p>
          <w:p w:rsidR="00CA711E" w:rsidRPr="00C84969" w:rsidRDefault="00CA711E" w:rsidP="00FC7F46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Diskusi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kelompok</w:t>
            </w:r>
            <w:proofErr w:type="spellEnd"/>
          </w:p>
          <w:p w:rsidR="00CA711E" w:rsidRPr="00C84969" w:rsidRDefault="00CA711E" w:rsidP="00FC7F46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Ceramah</w:t>
            </w:r>
            <w:proofErr w:type="spellEnd"/>
          </w:p>
          <w:p w:rsidR="00CA711E" w:rsidRPr="00C84969" w:rsidRDefault="00CA711E" w:rsidP="00FC7F46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Pemberian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Tugas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FC7F46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Observasi</w:t>
            </w:r>
            <w:proofErr w:type="spellEnd"/>
          </w:p>
          <w:p w:rsidR="00CA711E" w:rsidRPr="00C84969" w:rsidRDefault="00CA711E" w:rsidP="00FC7F46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-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Uji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kinerja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makalah</w:t>
            </w:r>
            <w:proofErr w:type="spellEnd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FC7F46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1x90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A711E" w:rsidRPr="003B6273" w:rsidRDefault="00CA711E" w:rsidP="00FC7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711E" w:rsidRPr="003B6273" w:rsidTr="00CA711E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160A6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16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UAS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711E" w:rsidRPr="00C84969" w:rsidRDefault="00CA711E" w:rsidP="00160A64">
            <w:pPr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</w:pPr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1x90 </w:t>
            </w:r>
            <w:proofErr w:type="spellStart"/>
            <w:r w:rsidRPr="00C84969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>Menit</w:t>
            </w:r>
            <w:proofErr w:type="spellEnd"/>
          </w:p>
        </w:tc>
        <w:tc>
          <w:tcPr>
            <w:tcW w:w="2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11E" w:rsidRPr="003B6273" w:rsidRDefault="00CA711E" w:rsidP="00160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74EB9" w:rsidRDefault="00F74EB9" w:rsidP="00F74EB9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F74EB9" w:rsidRPr="003B6273" w:rsidRDefault="00F74EB9" w:rsidP="00F74EB9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ID"/>
        </w:rPr>
        <w:tab/>
        <w:t xml:space="preserve">Bengkulu, 15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>Agustus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ID"/>
        </w:rPr>
        <w:t xml:space="preserve"> 2018</w:t>
      </w:r>
      <w:r w:rsidRPr="003B62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4EB9" w:rsidRDefault="00F74EB9" w:rsidP="00F74EB9">
      <w:pPr>
        <w:tabs>
          <w:tab w:val="left" w:pos="10440"/>
        </w:tabs>
        <w:spacing w:after="0" w:line="240" w:lineRule="auto"/>
        <w:ind w:left="9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3B62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</w:t>
      </w:r>
      <w:r w:rsidRPr="003B627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D</w:t>
      </w:r>
      <w:proofErr w:type="spellStart"/>
      <w:r w:rsidRPr="003B6273">
        <w:rPr>
          <w:rFonts w:ascii="Times New Roman" w:eastAsia="Times New Roman" w:hAnsi="Times New Roman" w:cs="Times New Roman"/>
          <w:sz w:val="24"/>
          <w:szCs w:val="24"/>
          <w:lang w:val="en-US"/>
        </w:rPr>
        <w:t>osen</w:t>
      </w:r>
      <w:proofErr w:type="spellEnd"/>
      <w:r w:rsidRPr="003B627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6273">
        <w:rPr>
          <w:rFonts w:ascii="Times New Roman" w:eastAsia="Times New Roman" w:hAnsi="Times New Roman" w:cs="Times New Roman"/>
          <w:sz w:val="24"/>
          <w:szCs w:val="24"/>
          <w:lang w:val="en-US"/>
        </w:rPr>
        <w:t>Pengampu</w:t>
      </w:r>
      <w:proofErr w:type="spellEnd"/>
      <w:r w:rsidRPr="003B627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C84969" w:rsidRDefault="00C84969" w:rsidP="00F74EB9">
      <w:pPr>
        <w:tabs>
          <w:tab w:val="left" w:pos="10440"/>
        </w:tabs>
        <w:spacing w:after="0" w:line="240" w:lineRule="auto"/>
        <w:ind w:left="936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84969" w:rsidRDefault="00C84969" w:rsidP="00F74EB9">
      <w:pPr>
        <w:tabs>
          <w:tab w:val="left" w:pos="10440"/>
        </w:tabs>
        <w:spacing w:after="0" w:line="240" w:lineRule="auto"/>
        <w:ind w:left="936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25513" w:rsidRDefault="00625513" w:rsidP="00F74EB9">
      <w:pPr>
        <w:tabs>
          <w:tab w:val="left" w:pos="10440"/>
        </w:tabs>
        <w:spacing w:after="0" w:line="240" w:lineRule="auto"/>
        <w:ind w:left="936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74EB9" w:rsidRDefault="00F74EB9" w:rsidP="00F74EB9">
      <w:pPr>
        <w:tabs>
          <w:tab w:val="left" w:pos="10440"/>
        </w:tabs>
        <w:spacing w:after="0" w:line="240" w:lineRule="auto"/>
        <w:ind w:left="936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74EB9" w:rsidRPr="003B6273" w:rsidRDefault="00F74EB9" w:rsidP="00F74EB9">
      <w:pPr>
        <w:tabs>
          <w:tab w:val="left" w:pos="10440"/>
        </w:tabs>
        <w:spacing w:after="0" w:line="240" w:lineRule="auto"/>
        <w:ind w:left="9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Khairuddin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Wahid</w:t>
      </w:r>
    </w:p>
    <w:p w:rsidR="001D5874" w:rsidRDefault="001D5874"/>
    <w:sectPr w:rsidR="001D5874" w:rsidSect="00C84969">
      <w:pgSz w:w="20160" w:h="12240" w:orient="landscape" w:code="5"/>
      <w:pgMar w:top="1701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D47CA7"/>
    <w:multiLevelType w:val="hybridMultilevel"/>
    <w:tmpl w:val="DEC271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60"/>
    <w:rsid w:val="00160A64"/>
    <w:rsid w:val="001C1F2A"/>
    <w:rsid w:val="001D5874"/>
    <w:rsid w:val="005C0130"/>
    <w:rsid w:val="00625513"/>
    <w:rsid w:val="008B48E3"/>
    <w:rsid w:val="00A00F0D"/>
    <w:rsid w:val="00A71E7C"/>
    <w:rsid w:val="00BF6A60"/>
    <w:rsid w:val="00C16BE9"/>
    <w:rsid w:val="00C84969"/>
    <w:rsid w:val="00CA63D0"/>
    <w:rsid w:val="00CA711E"/>
    <w:rsid w:val="00D44916"/>
    <w:rsid w:val="00E27016"/>
    <w:rsid w:val="00E60C4A"/>
    <w:rsid w:val="00ED7243"/>
    <w:rsid w:val="00F74EB9"/>
    <w:rsid w:val="00F7726D"/>
    <w:rsid w:val="00F9634A"/>
    <w:rsid w:val="00FC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3E8907-9812-4429-A5B8-6C46C53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EB9"/>
    <w:pPr>
      <w:spacing w:after="200" w:line="276" w:lineRule="auto"/>
    </w:pPr>
    <w:rPr>
      <w:rFonts w:ascii="Calibri" w:eastAsia="Calibri" w:hAnsi="Calibri" w:cs="Arial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4EB9"/>
    <w:pPr>
      <w:spacing w:after="0" w:line="240" w:lineRule="auto"/>
    </w:pPr>
    <w:rPr>
      <w:rFonts w:ascii="Calibri" w:eastAsia="Calibri" w:hAnsi="Calibri" w:cs="Arial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F74EB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F74EB9"/>
    <w:rPr>
      <w:rFonts w:ascii="Calibri" w:eastAsia="Calibri" w:hAnsi="Calibri" w:cs="Arial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2019-02-04T12:01:00Z</dcterms:created>
  <dcterms:modified xsi:type="dcterms:W3CDTF">2019-02-04T15:24:00Z</dcterms:modified>
</cp:coreProperties>
</file>