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4261" w14:textId="77777777" w:rsidR="00C26935" w:rsidRPr="00037930" w:rsidRDefault="005652A1" w:rsidP="005652A1">
      <w:pPr>
        <w:jc w:val="center"/>
        <w:rPr>
          <w:rFonts w:asciiTheme="majorHAnsi" w:hAnsiTheme="majorHAnsi"/>
          <w:b/>
          <w:sz w:val="20"/>
          <w:szCs w:val="20"/>
        </w:rPr>
      </w:pPr>
      <w:r w:rsidRPr="00037930">
        <w:rPr>
          <w:rFonts w:asciiTheme="majorHAnsi" w:hAnsiTheme="majorHAnsi"/>
          <w:b/>
          <w:sz w:val="20"/>
          <w:szCs w:val="20"/>
        </w:rPr>
        <w:t>TAFSIR AYAT SOSIAL</w:t>
      </w:r>
    </w:p>
    <w:p w14:paraId="33A08E75" w14:textId="77777777" w:rsidR="00B25673" w:rsidRDefault="00B25673" w:rsidP="005652A1">
      <w:pPr>
        <w:jc w:val="center"/>
        <w:rPr>
          <w:rFonts w:asciiTheme="majorHAnsi" w:hAnsiTheme="majorHAnsi"/>
          <w:sz w:val="20"/>
          <w:szCs w:val="20"/>
        </w:rPr>
      </w:pPr>
    </w:p>
    <w:p w14:paraId="3185E4DD" w14:textId="77777777" w:rsidR="00B25673" w:rsidRDefault="00B25673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MATA KULIAH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: </w:t>
      </w:r>
      <w:r w:rsidR="008D4B5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TAFSIR AYAT SOSIAL</w:t>
      </w:r>
    </w:p>
    <w:p w14:paraId="78A9BB43" w14:textId="77777777" w:rsidR="00B25673" w:rsidRDefault="00B25673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KOMPONEN JURUSAN</w:t>
      </w:r>
      <w:r>
        <w:rPr>
          <w:rFonts w:asciiTheme="majorHAnsi" w:hAnsiTheme="majorHAnsi"/>
          <w:sz w:val="20"/>
          <w:szCs w:val="20"/>
        </w:rPr>
        <w:tab/>
        <w:t>:</w:t>
      </w:r>
      <w:r w:rsidR="008D4B5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USHULUDDIN</w:t>
      </w:r>
    </w:p>
    <w:p w14:paraId="2281F666" w14:textId="77777777" w:rsidR="00B25673" w:rsidRDefault="00B25673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 STUDI</w:t>
      </w:r>
      <w:r>
        <w:rPr>
          <w:rFonts w:asciiTheme="majorHAnsi" w:hAnsiTheme="majorHAnsi"/>
          <w:sz w:val="20"/>
          <w:szCs w:val="20"/>
        </w:rPr>
        <w:tab/>
        <w:t xml:space="preserve">: </w:t>
      </w:r>
      <w:r w:rsidR="008D4B5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ILMU QUR’AN TAFSIR</w:t>
      </w:r>
    </w:p>
    <w:p w14:paraId="6ED660AC" w14:textId="3F539599" w:rsidR="00B25673" w:rsidRDefault="00B25673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SEMESTER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: </w:t>
      </w:r>
      <w:r w:rsidR="008D4B5A">
        <w:rPr>
          <w:rFonts w:asciiTheme="majorHAnsi" w:hAnsiTheme="majorHAnsi"/>
          <w:sz w:val="20"/>
          <w:szCs w:val="20"/>
        </w:rPr>
        <w:t xml:space="preserve"> </w:t>
      </w:r>
      <w:r w:rsidR="008D4D2F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>V</w:t>
      </w:r>
    </w:p>
    <w:p w14:paraId="31479A79" w14:textId="77777777" w:rsidR="00B25673" w:rsidRDefault="003B3FC3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BOBOT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:  2</w:t>
      </w:r>
      <w:r w:rsidR="00B25673">
        <w:rPr>
          <w:rFonts w:asciiTheme="majorHAnsi" w:hAnsiTheme="majorHAnsi"/>
          <w:sz w:val="20"/>
          <w:szCs w:val="20"/>
        </w:rPr>
        <w:t xml:space="preserve"> SKS</w:t>
      </w:r>
    </w:p>
    <w:p w14:paraId="22FDF4B1" w14:textId="77777777" w:rsidR="00B25673" w:rsidRDefault="00B25673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DOSEN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:  YUSNELMA EKA AFRI, Lc., M. Hum</w:t>
      </w:r>
    </w:p>
    <w:p w14:paraId="03A0F0E3" w14:textId="77777777" w:rsidR="00B25673" w:rsidRDefault="00B25673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5045EBFC" w14:textId="66CF4EE9" w:rsidR="00B25673" w:rsidRPr="00037930" w:rsidRDefault="00B25673" w:rsidP="00B25673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37930">
        <w:rPr>
          <w:rFonts w:asciiTheme="majorHAnsi" w:hAnsiTheme="majorHAnsi"/>
          <w:b/>
          <w:sz w:val="20"/>
          <w:szCs w:val="20"/>
        </w:rPr>
        <w:t>MATA KULIAH PRASYARAT</w:t>
      </w:r>
      <w:r w:rsidR="000656E9">
        <w:rPr>
          <w:rFonts w:asciiTheme="majorHAnsi" w:hAnsiTheme="majorHAnsi"/>
          <w:b/>
          <w:sz w:val="20"/>
          <w:szCs w:val="20"/>
        </w:rPr>
        <w:t xml:space="preserve"> </w:t>
      </w:r>
    </w:p>
    <w:p w14:paraId="257B133E" w14:textId="77777777" w:rsidR="00B25673" w:rsidRDefault="00B25673" w:rsidP="00194ED0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Sebelum mengikuti mata kuliah ini mahasiswa harus sudah menguasai mata kuliah Ulumul Qur’an</w:t>
      </w:r>
    </w:p>
    <w:p w14:paraId="7D9DEC30" w14:textId="77777777" w:rsidR="00B25673" w:rsidRDefault="00B25673" w:rsidP="00194ED0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2E7AF642" w14:textId="77777777" w:rsidR="00B25673" w:rsidRPr="00037930" w:rsidRDefault="00B25673" w:rsidP="00194ED0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37930">
        <w:rPr>
          <w:rFonts w:asciiTheme="majorHAnsi" w:hAnsiTheme="majorHAnsi"/>
          <w:b/>
          <w:sz w:val="20"/>
          <w:szCs w:val="20"/>
        </w:rPr>
        <w:t>DESKRIPSI MATA KULIAH</w:t>
      </w:r>
    </w:p>
    <w:p w14:paraId="3E460F87" w14:textId="3ABAE082" w:rsidR="00B25673" w:rsidRDefault="008178B3" w:rsidP="00194ED0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</w:t>
      </w:r>
      <w:r w:rsidR="00B25673">
        <w:rPr>
          <w:rFonts w:asciiTheme="majorHAnsi" w:hAnsiTheme="majorHAnsi"/>
          <w:sz w:val="20"/>
          <w:szCs w:val="20"/>
        </w:rPr>
        <w:t>ahasiswa memahami kandungan ayat-ayat al-</w:t>
      </w:r>
      <w:r w:rsidR="00194ED0">
        <w:rPr>
          <w:rFonts w:asciiTheme="majorHAnsi" w:hAnsiTheme="majorHAnsi"/>
          <w:sz w:val="20"/>
          <w:szCs w:val="20"/>
        </w:rPr>
        <w:t>Qur’an yang berkaitan dengan sos</w:t>
      </w:r>
      <w:r w:rsidR="00B25673">
        <w:rPr>
          <w:rFonts w:asciiTheme="majorHAnsi" w:hAnsiTheme="majorHAnsi"/>
          <w:sz w:val="20"/>
          <w:szCs w:val="20"/>
        </w:rPr>
        <w:t>ial masyarakat serta mengetahui cara memahami al-Qur’an.</w:t>
      </w:r>
    </w:p>
    <w:p w14:paraId="20CE87CF" w14:textId="77777777" w:rsidR="00B25673" w:rsidRDefault="00B25673" w:rsidP="00194ED0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2E3CDAE7" w14:textId="77777777" w:rsidR="00B25673" w:rsidRPr="00037930" w:rsidRDefault="00B25673" w:rsidP="00194ED0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37930">
        <w:rPr>
          <w:rFonts w:asciiTheme="majorHAnsi" w:hAnsiTheme="majorHAnsi"/>
          <w:b/>
          <w:sz w:val="20"/>
          <w:szCs w:val="20"/>
        </w:rPr>
        <w:t>STANDAR KOMPETENSI</w:t>
      </w:r>
    </w:p>
    <w:p w14:paraId="6FA6AD6D" w14:textId="77777777" w:rsidR="005652A1" w:rsidRDefault="00B25673" w:rsidP="00194ED0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Mahasiswa mengetahui dan memahami</w:t>
      </w:r>
      <w:r w:rsidR="00210905">
        <w:rPr>
          <w:rFonts w:asciiTheme="majorHAnsi" w:hAnsiTheme="majorHAnsi"/>
          <w:sz w:val="20"/>
          <w:szCs w:val="20"/>
        </w:rPr>
        <w:t xml:space="preserve"> kandungan ayat-ayat al-Qur’</w:t>
      </w:r>
      <w:r w:rsidR="00874BA1">
        <w:rPr>
          <w:rFonts w:asciiTheme="majorHAnsi" w:hAnsiTheme="majorHAnsi"/>
          <w:sz w:val="20"/>
          <w:szCs w:val="20"/>
        </w:rPr>
        <w:t>an yang berkai</w:t>
      </w:r>
      <w:r w:rsidR="00210905">
        <w:rPr>
          <w:rFonts w:asciiTheme="majorHAnsi" w:hAnsiTheme="majorHAnsi"/>
          <w:sz w:val="20"/>
          <w:szCs w:val="20"/>
        </w:rPr>
        <w:t xml:space="preserve">tan </w:t>
      </w:r>
      <w:r w:rsidR="00194ED0">
        <w:rPr>
          <w:rFonts w:asciiTheme="majorHAnsi" w:hAnsiTheme="majorHAnsi"/>
          <w:sz w:val="20"/>
          <w:szCs w:val="20"/>
        </w:rPr>
        <w:t>dengan sos</w:t>
      </w:r>
      <w:r w:rsidR="00874BA1">
        <w:rPr>
          <w:rFonts w:asciiTheme="majorHAnsi" w:hAnsiTheme="majorHAnsi"/>
          <w:sz w:val="20"/>
          <w:szCs w:val="20"/>
        </w:rPr>
        <w:t>ial yaitu hubungan antar umat beragama, al-Qur’an dan pemberdayaan kaum dhu’afa, membangun keluarga harmonis, pembangunan ekonomi umat, kedudukan dan peran perempuan, akhlaq, etika berkeluarga</w:t>
      </w:r>
      <w:r w:rsidR="00305EA9">
        <w:rPr>
          <w:rFonts w:asciiTheme="majorHAnsi" w:hAnsiTheme="majorHAnsi"/>
          <w:sz w:val="20"/>
          <w:szCs w:val="20"/>
        </w:rPr>
        <w:t xml:space="preserve"> bermasyarakat</w:t>
      </w:r>
      <w:r w:rsidR="00874BA1">
        <w:rPr>
          <w:rFonts w:asciiTheme="majorHAnsi" w:hAnsiTheme="majorHAnsi"/>
          <w:sz w:val="20"/>
          <w:szCs w:val="20"/>
        </w:rPr>
        <w:t>, Pelestarian lingkungan hidup, kerja dan ketenagakerjaan,  pendidikan pembanguna karakter dan pengembangan sumber daya manusia, hukum keadilan dan hak asasi manusia.</w:t>
      </w:r>
    </w:p>
    <w:p w14:paraId="685822CF" w14:textId="77777777" w:rsidR="00874BA1" w:rsidRDefault="00874BA1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9699" w:type="dxa"/>
        <w:tblLook w:val="04A0" w:firstRow="1" w:lastRow="0" w:firstColumn="1" w:lastColumn="0" w:noHBand="0" w:noVBand="1"/>
      </w:tblPr>
      <w:tblGrid>
        <w:gridCol w:w="3227"/>
        <w:gridCol w:w="3627"/>
        <w:gridCol w:w="2845"/>
      </w:tblGrid>
      <w:tr w:rsidR="00235CA2" w14:paraId="220CB43A" w14:textId="77777777" w:rsidTr="00054623">
        <w:tc>
          <w:tcPr>
            <w:tcW w:w="3227" w:type="dxa"/>
          </w:tcPr>
          <w:p w14:paraId="183C54EA" w14:textId="77777777" w:rsidR="00235CA2" w:rsidRPr="008E7434" w:rsidRDefault="00235CA2" w:rsidP="008E74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E7434">
              <w:rPr>
                <w:rFonts w:asciiTheme="majorHAnsi" w:hAnsiTheme="majorHAnsi"/>
                <w:b/>
                <w:sz w:val="20"/>
                <w:szCs w:val="20"/>
              </w:rPr>
              <w:t>Kompotensi  Dasar</w:t>
            </w:r>
          </w:p>
        </w:tc>
        <w:tc>
          <w:tcPr>
            <w:tcW w:w="3627" w:type="dxa"/>
          </w:tcPr>
          <w:p w14:paraId="5D925632" w14:textId="77777777" w:rsidR="00235CA2" w:rsidRPr="008E7434" w:rsidRDefault="00235CA2" w:rsidP="008E74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E7434">
              <w:rPr>
                <w:rFonts w:asciiTheme="majorHAnsi" w:hAnsiTheme="majorHAnsi"/>
                <w:b/>
                <w:sz w:val="20"/>
                <w:szCs w:val="20"/>
              </w:rPr>
              <w:t>Indikator keberhasilan</w:t>
            </w:r>
          </w:p>
        </w:tc>
        <w:tc>
          <w:tcPr>
            <w:tcW w:w="2845" w:type="dxa"/>
          </w:tcPr>
          <w:p w14:paraId="5201970D" w14:textId="77777777" w:rsidR="00235CA2" w:rsidRPr="008E7434" w:rsidRDefault="008E7434" w:rsidP="008E74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E7434">
              <w:rPr>
                <w:rFonts w:asciiTheme="majorHAnsi" w:hAnsiTheme="majorHAnsi"/>
                <w:b/>
                <w:sz w:val="20"/>
                <w:szCs w:val="20"/>
              </w:rPr>
              <w:t>Materi Pokok</w:t>
            </w:r>
          </w:p>
        </w:tc>
      </w:tr>
      <w:tr w:rsidR="00235CA2" w:rsidRPr="004D5BA1" w14:paraId="0D35C55B" w14:textId="77777777" w:rsidTr="00054623">
        <w:tc>
          <w:tcPr>
            <w:tcW w:w="3227" w:type="dxa"/>
          </w:tcPr>
          <w:p w14:paraId="5C6ADB20" w14:textId="77777777" w:rsidR="00DE2939" w:rsidRPr="004D5BA1" w:rsidRDefault="00DE2939" w:rsidP="00DE2939">
            <w:pPr>
              <w:tabs>
                <w:tab w:val="left" w:pos="2552"/>
              </w:tabs>
              <w:ind w:righ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E7434" w:rsidRPr="004D5BA1">
              <w:rPr>
                <w:rFonts w:ascii="Times New Roman" w:hAnsi="Times New Roman" w:cs="Times New Roman"/>
                <w:sz w:val="20"/>
                <w:szCs w:val="20"/>
              </w:rPr>
              <w:t>Memahami d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an menjelaskan pengertian serta mengelaborasika</w:t>
            </w:r>
            <w:r w:rsidR="0084153D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8E7434" w:rsidRPr="004D5BA1">
              <w:rPr>
                <w:rFonts w:ascii="Times New Roman" w:hAnsi="Times New Roman" w:cs="Times New Roman"/>
                <w:sz w:val="20"/>
                <w:szCs w:val="20"/>
              </w:rPr>
              <w:t>pengetahuan dan pemikiran dari setiap topik  bahasan seta aspek-aspek yang dibahas di dalamnya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655476" w14:textId="77777777" w:rsidR="008E7434" w:rsidRPr="004D5BA1" w:rsidRDefault="008E7434" w:rsidP="00DE2939">
            <w:pPr>
              <w:tabs>
                <w:tab w:val="left" w:pos="2552"/>
              </w:tabs>
              <w:ind w:righ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-Memperdalam pengetahuan dengan jalan menafsirkan ayat-ayat yang termasuk dalam tema bahasan, sehingga dapat menggali lebih jauh dan komprehensif maksud yang terkandung di dalam ayat-ayat al-Qur’an yang bahasannya terinci dalam beberapa tema berikut ini yaitu hubungan antar umat beragama, al-Qur’an dan pemberdayaan kaum dhu’afa</w:t>
            </w:r>
            <w:r w:rsidR="00DE29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,membangun keluarga harmonis, 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pembangunan ekonomi umat, kedudukan dan per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an perempuan, 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akhlaq</w:t>
            </w:r>
            <w:r w:rsidR="00DE29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, etika 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berkelua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>rga bermasyarakat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elestarian lingkungan hidup, kerja d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an ketenagakerjaan,  pendidikan, 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pembanguna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karakter dan pengembangan sumber daya manusia, hukum keadilan dan hak asasi manusia</w:t>
            </w:r>
          </w:p>
        </w:tc>
        <w:tc>
          <w:tcPr>
            <w:tcW w:w="3627" w:type="dxa"/>
          </w:tcPr>
          <w:p w14:paraId="6C65F3AE" w14:textId="77777777" w:rsidR="00235CA2" w:rsidRPr="004D5BA1" w:rsidRDefault="00DE2939" w:rsidP="00DE2939">
            <w:p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54623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meru</w:t>
            </w:r>
            <w:r w:rsidR="00054623" w:rsidRPr="004D5BA1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skan pengertian dari setiap topik bahasan .</w:t>
            </w:r>
          </w:p>
          <w:p w14:paraId="1E42389F" w14:textId="77777777" w:rsidR="00DE2939" w:rsidRPr="004D5BA1" w:rsidRDefault="00054623" w:rsidP="00DE2939">
            <w:p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E2939" w:rsidRPr="004D5BA1">
              <w:rPr>
                <w:rFonts w:ascii="Times New Roman" w:hAnsi="Times New Roman" w:cs="Times New Roman"/>
                <w:sz w:val="20"/>
                <w:szCs w:val="20"/>
              </w:rPr>
              <w:t>Mampu menjelaskan setiap topik bahasan dan aspek-aspek yang dibahas di dalamnya</w:t>
            </w:r>
          </w:p>
          <w:p w14:paraId="6D830081" w14:textId="77777777" w:rsidR="00DE2939" w:rsidRPr="004D5BA1" w:rsidRDefault="00DE2939" w:rsidP="00054623">
            <w:pPr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54623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90AF4" w:rsidRPr="004D5BA1">
              <w:rPr>
                <w:rFonts w:ascii="Times New Roman" w:hAnsi="Times New Roman" w:cs="Times New Roman"/>
                <w:sz w:val="20"/>
                <w:szCs w:val="20"/>
              </w:rPr>
              <w:t>ampu</w:t>
            </w:r>
            <w:r w:rsidR="00054623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AF4" w:rsidRPr="004D5BA1">
              <w:rPr>
                <w:rFonts w:ascii="Times New Roman" w:hAnsi="Times New Roman" w:cs="Times New Roman"/>
                <w:sz w:val="20"/>
                <w:szCs w:val="20"/>
              </w:rPr>
              <w:t>mengelaborasi</w:t>
            </w:r>
            <w:r w:rsidR="00054623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pengetahuan </w:t>
            </w:r>
            <w:r w:rsidR="00054623" w:rsidRPr="004D5BA1">
              <w:rPr>
                <w:rFonts w:ascii="Times New Roman" w:hAnsi="Times New Roman" w:cs="Times New Roman"/>
                <w:sz w:val="20"/>
                <w:szCs w:val="20"/>
              </w:rPr>
              <w:t>dan pemikiran dari setiap topik bahasan dan aspek-aspek yang dibahas di dalamnya.</w:t>
            </w:r>
          </w:p>
          <w:p w14:paraId="55B73F69" w14:textId="77777777" w:rsidR="00054623" w:rsidRPr="004D5BA1" w:rsidRDefault="00054623" w:rsidP="00054623">
            <w:pPr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4. Mampu memperdalam pengetahuan dan pemikiran dari setiap topik bahasan dan aspek-aspek yang dibahas di dalamnya</w:t>
            </w:r>
          </w:p>
        </w:tc>
        <w:tc>
          <w:tcPr>
            <w:tcW w:w="2845" w:type="dxa"/>
          </w:tcPr>
          <w:p w14:paraId="57CE85E3" w14:textId="32621015" w:rsidR="003C1669" w:rsidRPr="004D5BA1" w:rsidRDefault="00054623" w:rsidP="003C1669">
            <w:pPr>
              <w:ind w:left="92" w:hanging="92"/>
              <w:jc w:val="both"/>
              <w:rPr>
                <w:rFonts w:ascii="Times New Roman" w:hAnsi="Times New Roman" w:cs="Times New Roman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166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. Ayat </w:t>
            </w:r>
            <w:r w:rsidR="003C1669" w:rsidRPr="004D5BA1">
              <w:rPr>
                <w:rFonts w:ascii="Times New Roman" w:hAnsi="Times New Roman" w:cs="Times New Roman"/>
              </w:rPr>
              <w:t>tentang nilai sosial dalam al-quran</w:t>
            </w:r>
            <w:r w:rsidR="003E4F08" w:rsidRPr="004D5BA1">
              <w:rPr>
                <w:rFonts w:ascii="Times New Roman" w:hAnsi="Times New Roman" w:cs="Times New Roman"/>
              </w:rPr>
              <w:t xml:space="preserve"> : Q.S. A</w:t>
            </w:r>
            <w:r w:rsidR="00EC072F" w:rsidRPr="004D5BA1">
              <w:rPr>
                <w:rFonts w:ascii="Times New Roman" w:hAnsi="Times New Roman" w:cs="Times New Roman"/>
              </w:rPr>
              <w:t>l-an'am ayat: 108</w:t>
            </w:r>
          </w:p>
          <w:p w14:paraId="0852E2A9" w14:textId="77777777" w:rsidR="003C1669" w:rsidRPr="004D5BA1" w:rsidRDefault="003C1669" w:rsidP="003C1669">
            <w:pPr>
              <w:ind w:left="92" w:hanging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</w:rPr>
              <w:t xml:space="preserve">2. </w:t>
            </w:r>
            <w:r w:rsidR="00054623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Ayat tentang hubungan antar umat beragama: QS. </w:t>
            </w:r>
            <w:r w:rsidR="00E36F09" w:rsidRPr="004D5BA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54623" w:rsidRPr="004D5BA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36F09" w:rsidRPr="004D5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65771" w:rsidRPr="004D5BA1">
              <w:rPr>
                <w:rFonts w:ascii="Times New Roman" w:hAnsi="Times New Roman" w:cs="Times New Roman"/>
                <w:sz w:val="20"/>
                <w:szCs w:val="20"/>
              </w:rPr>
              <w:t>Baqo</w:t>
            </w:r>
            <w:r w:rsidR="00E36F09" w:rsidRPr="004D5BA1">
              <w:rPr>
                <w:rFonts w:ascii="Times New Roman" w:hAnsi="Times New Roman" w:cs="Times New Roman"/>
                <w:sz w:val="20"/>
                <w:szCs w:val="20"/>
              </w:rPr>
              <w:t>roh /2: 62, 120, 213, 256;  Yunus/</w:t>
            </w:r>
            <w:r w:rsidR="00E00780" w:rsidRPr="004D5BA1">
              <w:rPr>
                <w:rFonts w:ascii="Times New Roman" w:hAnsi="Times New Roman" w:cs="Times New Roman"/>
                <w:sz w:val="20"/>
                <w:szCs w:val="20"/>
              </w:rPr>
              <w:t>10:99-100, alAn’am/6: 108, al-Mumtahanah/60: 8-9)</w:t>
            </w:r>
          </w:p>
          <w:p w14:paraId="4BCB1990" w14:textId="72C15897" w:rsidR="00E00780" w:rsidRPr="004D5BA1" w:rsidRDefault="003C1669" w:rsidP="003C1669">
            <w:pPr>
              <w:ind w:left="92" w:hanging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E00780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Ayat tentang akhlaq, etika berkeluarg</w:t>
            </w:r>
            <w:r w:rsidR="00305EA9" w:rsidRPr="004D5BA1">
              <w:rPr>
                <w:rFonts w:ascii="Times New Roman" w:hAnsi="Times New Roman" w:cs="Times New Roman"/>
                <w:sz w:val="20"/>
                <w:szCs w:val="20"/>
              </w:rPr>
              <w:t>a, bermasyarakat</w:t>
            </w:r>
            <w:r w:rsidR="00E00780" w:rsidRPr="004D5BA1">
              <w:rPr>
                <w:rFonts w:ascii="Times New Roman" w:hAnsi="Times New Roman" w:cs="Times New Roman"/>
                <w:sz w:val="20"/>
                <w:szCs w:val="20"/>
              </w:rPr>
              <w:t>: QS.</w:t>
            </w:r>
            <w:r w:rsidR="00305EA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Al-Qolam/68:4; an-Nisa’/4:19; </w:t>
            </w:r>
            <w:r w:rsidR="00E00780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Al-Hujurat/49: 11-13; ,ar-Ra’d</w:t>
            </w:r>
            <w:r w:rsidR="00D65771" w:rsidRPr="004D5BA1">
              <w:rPr>
                <w:rFonts w:ascii="Times New Roman" w:hAnsi="Times New Roman" w:cs="Times New Roman"/>
                <w:sz w:val="20"/>
                <w:szCs w:val="20"/>
              </w:rPr>
              <w:t>/13:11; al-Anfal/8:53; al-Baqoroh/2:139</w:t>
            </w:r>
          </w:p>
          <w:p w14:paraId="49A07643" w14:textId="3EFD7998" w:rsidR="00305EA9" w:rsidRPr="004D5BA1" w:rsidRDefault="003C1669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5EA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. Ayat tentang membangun keluarga harmonis: </w:t>
            </w:r>
            <w:r w:rsidR="00DA4484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QS. Ar-Rum/30:21; </w:t>
            </w:r>
            <w:r w:rsidR="00DF171C" w:rsidRPr="004D5BA1"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r w:rsidR="00DA4484" w:rsidRPr="004D5BA1">
              <w:rPr>
                <w:rFonts w:ascii="Times New Roman" w:hAnsi="Times New Roman" w:cs="Times New Roman"/>
                <w:sz w:val="20"/>
                <w:szCs w:val="20"/>
              </w:rPr>
              <w:t>qoroh/2: 155,233; at-Taghabun/64:15, anNisa’/4: 19,34.</w:t>
            </w:r>
          </w:p>
          <w:p w14:paraId="2BE5D716" w14:textId="11349F80" w:rsidR="00040602" w:rsidRPr="004D5BA1" w:rsidRDefault="003C1669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70FD" w:rsidRPr="004D5BA1">
              <w:rPr>
                <w:rFonts w:ascii="Times New Roman" w:hAnsi="Times New Roman" w:cs="Times New Roman"/>
                <w:sz w:val="20"/>
                <w:szCs w:val="20"/>
              </w:rPr>
              <w:t>. Ayat tentang kedudukan dan peran perempuan: QS. An-Nisa’</w:t>
            </w:r>
            <w:r w:rsidR="00364D94" w:rsidRPr="004D5BA1">
              <w:rPr>
                <w:rFonts w:ascii="Times New Roman" w:hAnsi="Times New Roman" w:cs="Times New Roman"/>
                <w:sz w:val="20"/>
                <w:szCs w:val="20"/>
              </w:rPr>
              <w:t>/4:32;</w:t>
            </w:r>
            <w:r w:rsidR="00EA49B3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al-Baqoroh/2: 187:233;</w:t>
            </w:r>
            <w:r w:rsidR="00364D94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an-Nahl/16:97; an-Nur/24: 31</w:t>
            </w:r>
            <w:r w:rsidR="004C33B8" w:rsidRPr="004D5BA1">
              <w:rPr>
                <w:rFonts w:ascii="Times New Roman" w:hAnsi="Times New Roman" w:cs="Times New Roman"/>
                <w:sz w:val="20"/>
                <w:szCs w:val="20"/>
              </w:rPr>
              <w:t>; Luqman/31:14</w:t>
            </w:r>
          </w:p>
          <w:p w14:paraId="2B792C4D" w14:textId="2F340D3C" w:rsidR="00DA4484" w:rsidRPr="004D5BA1" w:rsidRDefault="003C1669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0602" w:rsidRPr="004D5BA1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 w:rsidR="00DA4484" w:rsidRPr="004D5BA1">
              <w:rPr>
                <w:rFonts w:ascii="Times New Roman" w:hAnsi="Times New Roman" w:cs="Times New Roman"/>
                <w:sz w:val="20"/>
                <w:szCs w:val="20"/>
              </w:rPr>
              <w:t>yat tentang pemberdayaan kaum dhu’afa’:</w:t>
            </w:r>
            <w:r w:rsidR="00040602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QS. 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>At-Taubah/9:91;  an-Nisa’/4:9;  al-A’rof/7: 129.</w:t>
            </w:r>
          </w:p>
          <w:p w14:paraId="62A5607C" w14:textId="5C81BC68" w:rsidR="003A7039" w:rsidRPr="004D5BA1" w:rsidRDefault="003C1669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4153D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Ayat tentang p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>elestarian lingkungan hidup:</w:t>
            </w:r>
            <w:r w:rsidR="00F7250A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QS. Al-</w:t>
            </w:r>
            <w:r w:rsidR="00F7250A" w:rsidRPr="004D5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A’</w:t>
            </w:r>
            <w:r w:rsidR="004C33B8" w:rsidRPr="004D5BA1">
              <w:rPr>
                <w:rFonts w:ascii="Times New Roman" w:hAnsi="Times New Roman" w:cs="Times New Roman"/>
                <w:sz w:val="20"/>
                <w:szCs w:val="20"/>
              </w:rPr>
              <w:t>rof/7:74:56-57;  ar-Rum/30:41; alBaqoroh /2:164; al Furqon/25:53; Fathir/35: 12.</w:t>
            </w:r>
          </w:p>
          <w:p w14:paraId="7D735F11" w14:textId="5F3BDF26" w:rsidR="003A7039" w:rsidRPr="004D5BA1" w:rsidRDefault="003C1669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4153D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Ayat tentang 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kesehatan dalam perspektif </w:t>
            </w:r>
            <w:r w:rsidR="0084153D" w:rsidRPr="004D5BA1">
              <w:rPr>
                <w:rFonts w:ascii="Times New Roman" w:hAnsi="Times New Roman" w:cs="Times New Roman"/>
                <w:sz w:val="20"/>
                <w:szCs w:val="20"/>
              </w:rPr>
              <w:t>al-Qur’an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944C8B" w:rsidRPr="004D5BA1">
              <w:rPr>
                <w:rFonts w:ascii="Times New Roman" w:hAnsi="Times New Roman" w:cs="Times New Roman"/>
                <w:sz w:val="20"/>
                <w:szCs w:val="20"/>
              </w:rPr>
              <w:t>QS. Al-Anfal/8:11</w:t>
            </w:r>
            <w:r w:rsidR="00350636" w:rsidRPr="004D5BA1">
              <w:rPr>
                <w:rFonts w:ascii="Times New Roman" w:hAnsi="Times New Roman" w:cs="Times New Roman"/>
                <w:sz w:val="20"/>
                <w:szCs w:val="20"/>
              </w:rPr>
              <w:t>:60</w:t>
            </w:r>
            <w:r w:rsidR="00944C8B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50636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an-Nahl/19:69;   al-Maidah/5: 88.</w:t>
            </w:r>
          </w:p>
          <w:p w14:paraId="4E131034" w14:textId="1061F0FD" w:rsidR="003A7039" w:rsidRPr="004D5BA1" w:rsidRDefault="003C1669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4153D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Ayat tentang 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Kerja dan ketenagakerjaan: </w:t>
            </w:r>
            <w:r w:rsidR="00E64E1E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QS. At-Taubah/9:105 </w:t>
            </w:r>
            <w:r w:rsidR="00006BE6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al-Jumu’ah/62:10 al-Kahfi/18:7; </w:t>
            </w:r>
            <w:r w:rsidR="001D36F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Saba’/34:10-13; al-Anbiya’/21:80;</w:t>
            </w:r>
          </w:p>
          <w:p w14:paraId="4C616CA3" w14:textId="7B06406E" w:rsidR="003A7039" w:rsidRPr="004D5BA1" w:rsidRDefault="003C1669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4153D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Ayat tentang </w:t>
            </w:r>
            <w:r w:rsidR="003A7039" w:rsidRPr="004D5BA1">
              <w:rPr>
                <w:rFonts w:ascii="Times New Roman" w:hAnsi="Times New Roman" w:cs="Times New Roman"/>
                <w:sz w:val="20"/>
                <w:szCs w:val="20"/>
              </w:rPr>
              <w:t>Pendidikan, pembangunan karakter dan pengembangan sumber daya manusia:</w:t>
            </w:r>
            <w:r w:rsidR="001D36F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4398" w:rsidRPr="004D5BA1">
              <w:rPr>
                <w:rFonts w:ascii="Times New Roman" w:hAnsi="Times New Roman" w:cs="Times New Roman"/>
                <w:sz w:val="20"/>
                <w:szCs w:val="20"/>
              </w:rPr>
              <w:t>QS. Al-Maida/5:110; al-Anbiya’/21:80 al-A’rof/7:74; an-Naml/27:15 al-‘Alaq/96:</w:t>
            </w:r>
            <w:r w:rsidR="00F72FC4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4398" w:rsidRPr="004D5BA1"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  <w:r w:rsidR="00F72FC4" w:rsidRPr="004D5BA1">
              <w:rPr>
                <w:rFonts w:ascii="Times New Roman" w:hAnsi="Times New Roman" w:cs="Times New Roman"/>
                <w:sz w:val="20"/>
                <w:szCs w:val="20"/>
              </w:rPr>
              <w:t>; al-Baqoroh/2:31.</w:t>
            </w:r>
          </w:p>
          <w:p w14:paraId="50918992" w14:textId="4BFD161F" w:rsidR="003A7039" w:rsidRPr="004D5BA1" w:rsidRDefault="003A7039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1669" w:rsidRPr="004D5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4153D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Ayat tentang 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hukum, keadilan dan hak asasi manusia: </w:t>
            </w:r>
            <w:r w:rsidR="001D36F9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66A" w:rsidRPr="004D5BA1">
              <w:rPr>
                <w:rFonts w:ascii="Times New Roman" w:hAnsi="Times New Roman" w:cs="Times New Roman"/>
                <w:sz w:val="20"/>
                <w:szCs w:val="20"/>
              </w:rPr>
              <w:t>QS.</w:t>
            </w:r>
            <w:r w:rsidR="00B82968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An-Nahl/16:90;</w:t>
            </w:r>
            <w:r w:rsidR="006B166A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Al-Isro’/17:70</w:t>
            </w:r>
            <w:r w:rsidR="00B82968" w:rsidRPr="004D5BA1">
              <w:rPr>
                <w:rFonts w:ascii="Times New Roman" w:hAnsi="Times New Roman" w:cs="Times New Roman"/>
                <w:sz w:val="20"/>
                <w:szCs w:val="20"/>
              </w:rPr>
              <w:t>; al-Maidah/5:3-34:38; an-Nur/24:2; an-Nisa’/4:15-16:58;  al-Baqoroh/2:178.</w:t>
            </w:r>
          </w:p>
          <w:p w14:paraId="103E7116" w14:textId="4EDB5DD4" w:rsidR="0018505E" w:rsidRPr="004D5BA1" w:rsidRDefault="0018505E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1669" w:rsidRPr="004D5B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71732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yat  </w:t>
            </w:r>
            <w:r w:rsidR="00B2204F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yang </w:t>
            </w:r>
            <w:r w:rsidR="00771732" w:rsidRPr="004D5BA1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r w:rsidR="00F4285F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interaksi  sosial </w:t>
            </w:r>
            <w:r w:rsidR="003C1669" w:rsidRPr="004D5BA1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r w:rsidR="00F4285F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 masyarakat </w:t>
            </w:r>
            <w:r w:rsidR="00246D43" w:rsidRPr="004D5BA1">
              <w:rPr>
                <w:rFonts w:ascii="Times New Roman" w:hAnsi="Times New Roman" w:cs="Times New Roman"/>
                <w:sz w:val="20"/>
                <w:szCs w:val="20"/>
              </w:rPr>
              <w:t>: QS. Al Hujurat :13.</w:t>
            </w:r>
          </w:p>
          <w:p w14:paraId="50AB6C0D" w14:textId="71D1F737" w:rsidR="005F743F" w:rsidRPr="004D5BA1" w:rsidRDefault="005F743F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7D7414" w:rsidRPr="004D5BA1">
              <w:rPr>
                <w:rFonts w:ascii="Times New Roman" w:hAnsi="Times New Roman" w:cs="Times New Roman"/>
                <w:sz w:val="20"/>
                <w:szCs w:val="20"/>
              </w:rPr>
              <w:t xml:space="preserve">Muroja’ah </w:t>
            </w:r>
          </w:p>
          <w:p w14:paraId="7A579681" w14:textId="77777777" w:rsidR="00E00780" w:rsidRPr="004D5BA1" w:rsidRDefault="00E00780" w:rsidP="00B25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398" w:rsidRPr="004D5BA1" w14:paraId="56D78220" w14:textId="77777777" w:rsidTr="006B166A">
        <w:trPr>
          <w:trHeight w:val="53"/>
        </w:trPr>
        <w:tc>
          <w:tcPr>
            <w:tcW w:w="3227" w:type="dxa"/>
          </w:tcPr>
          <w:p w14:paraId="62E0FC83" w14:textId="77777777" w:rsidR="00904398" w:rsidRPr="004D5BA1" w:rsidRDefault="00904398" w:rsidP="00DE2939">
            <w:pPr>
              <w:tabs>
                <w:tab w:val="left" w:pos="2552"/>
              </w:tabs>
              <w:ind w:righ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</w:tcPr>
          <w:p w14:paraId="6C44203A" w14:textId="77777777" w:rsidR="00904398" w:rsidRPr="004D5BA1" w:rsidRDefault="00904398" w:rsidP="00DE2939">
            <w:pPr>
              <w:ind w:left="181" w:hanging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</w:tcPr>
          <w:p w14:paraId="0C954DD4" w14:textId="77777777" w:rsidR="00904398" w:rsidRPr="004D5BA1" w:rsidRDefault="00904398" w:rsidP="00E00780">
            <w:pPr>
              <w:ind w:left="92" w:hanging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A7E3BD" w14:textId="77777777" w:rsidR="00874BA1" w:rsidRPr="004D5BA1" w:rsidRDefault="00874BA1" w:rsidP="00B25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D88288" w14:textId="77777777" w:rsidR="007806D7" w:rsidRPr="004D5BA1" w:rsidRDefault="007806D7" w:rsidP="00B25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BA1">
        <w:rPr>
          <w:rFonts w:ascii="Times New Roman" w:hAnsi="Times New Roman" w:cs="Times New Roman"/>
          <w:b/>
          <w:sz w:val="20"/>
          <w:szCs w:val="20"/>
        </w:rPr>
        <w:t>Referensi</w:t>
      </w:r>
      <w:r w:rsidRPr="004D5BA1">
        <w:rPr>
          <w:rFonts w:ascii="Times New Roman" w:hAnsi="Times New Roman" w:cs="Times New Roman"/>
          <w:sz w:val="20"/>
          <w:szCs w:val="20"/>
        </w:rPr>
        <w:t>:</w:t>
      </w:r>
    </w:p>
    <w:p w14:paraId="28147014" w14:textId="77777777" w:rsidR="007806D7" w:rsidRPr="004D5BA1" w:rsidRDefault="007806D7" w:rsidP="00B25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BA1">
        <w:rPr>
          <w:rFonts w:ascii="Times New Roman" w:hAnsi="Times New Roman" w:cs="Times New Roman"/>
          <w:sz w:val="20"/>
          <w:szCs w:val="20"/>
        </w:rPr>
        <w:t xml:space="preserve">Ibnu Katsir, </w:t>
      </w:r>
      <w:r w:rsidRPr="004D5BA1">
        <w:rPr>
          <w:rFonts w:ascii="Times New Roman" w:hAnsi="Times New Roman" w:cs="Times New Roman"/>
          <w:i/>
          <w:sz w:val="20"/>
          <w:szCs w:val="20"/>
        </w:rPr>
        <w:t>Tafsir al-Qur’an al-‘Azim</w:t>
      </w:r>
      <w:r w:rsidRPr="004D5BA1">
        <w:rPr>
          <w:rFonts w:ascii="Times New Roman" w:hAnsi="Times New Roman" w:cs="Times New Roman"/>
          <w:sz w:val="20"/>
          <w:szCs w:val="20"/>
        </w:rPr>
        <w:t>.</w:t>
      </w:r>
    </w:p>
    <w:p w14:paraId="331C6C7C" w14:textId="77777777" w:rsidR="007806D7" w:rsidRPr="004D5BA1" w:rsidRDefault="007806D7" w:rsidP="00B25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BA1">
        <w:rPr>
          <w:rFonts w:ascii="Times New Roman" w:hAnsi="Times New Roman" w:cs="Times New Roman"/>
          <w:sz w:val="20"/>
          <w:szCs w:val="20"/>
        </w:rPr>
        <w:t xml:space="preserve">Al-Zamakhsyari, </w:t>
      </w:r>
      <w:r w:rsidRPr="004D5BA1">
        <w:rPr>
          <w:rFonts w:ascii="Times New Roman" w:hAnsi="Times New Roman" w:cs="Times New Roman"/>
          <w:i/>
          <w:sz w:val="20"/>
          <w:szCs w:val="20"/>
        </w:rPr>
        <w:t>Tafsir al-Kasysyaf</w:t>
      </w:r>
      <w:r w:rsidRPr="004D5BA1">
        <w:rPr>
          <w:rFonts w:ascii="Times New Roman" w:hAnsi="Times New Roman" w:cs="Times New Roman"/>
          <w:sz w:val="20"/>
          <w:szCs w:val="20"/>
        </w:rPr>
        <w:t>.</w:t>
      </w:r>
    </w:p>
    <w:p w14:paraId="647A93E2" w14:textId="77777777" w:rsidR="007806D7" w:rsidRDefault="007806D7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Al-Thabari, </w:t>
      </w:r>
      <w:r w:rsidRPr="00037930">
        <w:rPr>
          <w:rFonts w:asciiTheme="majorHAnsi" w:hAnsiTheme="majorHAnsi"/>
          <w:i/>
          <w:sz w:val="20"/>
          <w:szCs w:val="20"/>
        </w:rPr>
        <w:t>Jami’ alBayan fi Tafsir al-Qur’an</w:t>
      </w:r>
      <w:r>
        <w:rPr>
          <w:rFonts w:asciiTheme="majorHAnsi" w:hAnsiTheme="majorHAnsi"/>
          <w:sz w:val="20"/>
          <w:szCs w:val="20"/>
        </w:rPr>
        <w:t>.</w:t>
      </w:r>
    </w:p>
    <w:p w14:paraId="4D881FD7" w14:textId="77777777" w:rsidR="007806D7" w:rsidRDefault="007806D7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Sayyid Quthub</w:t>
      </w:r>
      <w:r w:rsidRPr="00037930">
        <w:rPr>
          <w:rFonts w:asciiTheme="majorHAnsi" w:hAnsiTheme="majorHAnsi"/>
          <w:i/>
          <w:sz w:val="20"/>
          <w:szCs w:val="20"/>
        </w:rPr>
        <w:t>, Fi Zilal al-Qur’an</w:t>
      </w:r>
      <w:r>
        <w:rPr>
          <w:rFonts w:asciiTheme="majorHAnsi" w:hAnsiTheme="majorHAnsi"/>
          <w:sz w:val="20"/>
          <w:szCs w:val="20"/>
        </w:rPr>
        <w:t>.</w:t>
      </w:r>
    </w:p>
    <w:p w14:paraId="7A3A53AB" w14:textId="77777777" w:rsidR="007806D7" w:rsidRDefault="007806D7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Depag, </w:t>
      </w:r>
      <w:r w:rsidRPr="00037930">
        <w:rPr>
          <w:rFonts w:asciiTheme="majorHAnsi" w:hAnsiTheme="majorHAnsi"/>
          <w:i/>
          <w:sz w:val="20"/>
          <w:szCs w:val="20"/>
        </w:rPr>
        <w:t>al-Qur’an dan tafsi</w:t>
      </w:r>
      <w:r w:rsidR="00037930">
        <w:rPr>
          <w:rFonts w:asciiTheme="majorHAnsi" w:hAnsiTheme="majorHAnsi"/>
          <w:i/>
          <w:sz w:val="20"/>
          <w:szCs w:val="20"/>
        </w:rPr>
        <w:t>rnya</w:t>
      </w:r>
      <w:r>
        <w:rPr>
          <w:rFonts w:asciiTheme="majorHAnsi" w:hAnsiTheme="majorHAnsi"/>
          <w:sz w:val="20"/>
          <w:szCs w:val="20"/>
        </w:rPr>
        <w:t>.</w:t>
      </w:r>
    </w:p>
    <w:p w14:paraId="2AA8BBC9" w14:textId="77777777" w:rsidR="007806D7" w:rsidRDefault="007806D7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Hamka, </w:t>
      </w:r>
      <w:r w:rsidRPr="00037930">
        <w:rPr>
          <w:rFonts w:asciiTheme="majorHAnsi" w:hAnsiTheme="majorHAnsi"/>
          <w:i/>
          <w:sz w:val="20"/>
          <w:szCs w:val="20"/>
        </w:rPr>
        <w:t>Tafsir al-Azhar</w:t>
      </w:r>
      <w:r>
        <w:rPr>
          <w:rFonts w:asciiTheme="majorHAnsi" w:hAnsiTheme="majorHAnsi"/>
          <w:sz w:val="20"/>
          <w:szCs w:val="20"/>
        </w:rPr>
        <w:t>.</w:t>
      </w:r>
    </w:p>
    <w:p w14:paraId="2638E0D1" w14:textId="77777777" w:rsidR="007806D7" w:rsidRDefault="007806D7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Ibnu al’Arabi, </w:t>
      </w:r>
      <w:r w:rsidRPr="00037930">
        <w:rPr>
          <w:rFonts w:asciiTheme="majorHAnsi" w:hAnsiTheme="majorHAnsi"/>
          <w:i/>
          <w:sz w:val="20"/>
          <w:szCs w:val="20"/>
        </w:rPr>
        <w:t>Ahkam al-Qur’an</w:t>
      </w:r>
      <w:r>
        <w:rPr>
          <w:rFonts w:asciiTheme="majorHAnsi" w:hAnsiTheme="majorHAnsi"/>
          <w:sz w:val="20"/>
          <w:szCs w:val="20"/>
        </w:rPr>
        <w:t>.</w:t>
      </w:r>
    </w:p>
    <w:p w14:paraId="6F1580BF" w14:textId="77777777" w:rsidR="007806D7" w:rsidRDefault="007806D7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Al-Qurthubi, </w:t>
      </w:r>
      <w:r w:rsidRPr="00037930">
        <w:rPr>
          <w:rFonts w:asciiTheme="majorHAnsi" w:hAnsiTheme="majorHAnsi"/>
          <w:i/>
          <w:sz w:val="20"/>
          <w:szCs w:val="20"/>
        </w:rPr>
        <w:t>al-Jami’ li Ahkam al-Qur’an</w:t>
      </w:r>
      <w:r>
        <w:rPr>
          <w:rFonts w:asciiTheme="majorHAnsi" w:hAnsiTheme="majorHAnsi"/>
          <w:sz w:val="20"/>
          <w:szCs w:val="20"/>
        </w:rPr>
        <w:t>.</w:t>
      </w:r>
    </w:p>
    <w:p w14:paraId="26F922E3" w14:textId="77777777" w:rsidR="007806D7" w:rsidRDefault="007806D7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Al-Syaukani</w:t>
      </w:r>
      <w:r w:rsidRPr="00037930">
        <w:rPr>
          <w:rFonts w:asciiTheme="majorHAnsi" w:hAnsiTheme="majorHAnsi"/>
          <w:i/>
          <w:sz w:val="20"/>
          <w:szCs w:val="20"/>
        </w:rPr>
        <w:t>, Fath al-Qodir</w:t>
      </w:r>
      <w:r>
        <w:rPr>
          <w:rFonts w:asciiTheme="majorHAnsi" w:hAnsiTheme="majorHAnsi"/>
          <w:sz w:val="20"/>
          <w:szCs w:val="20"/>
        </w:rPr>
        <w:t>.</w:t>
      </w:r>
    </w:p>
    <w:p w14:paraId="3EBC2FEA" w14:textId="77777777" w:rsidR="007806D7" w:rsidRPr="005652A1" w:rsidRDefault="007806D7" w:rsidP="00B2567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Muhammad ‘Ali al-Sayis, </w:t>
      </w:r>
      <w:r w:rsidRPr="00037930">
        <w:rPr>
          <w:rFonts w:asciiTheme="majorHAnsi" w:hAnsiTheme="majorHAnsi"/>
          <w:i/>
          <w:sz w:val="20"/>
          <w:szCs w:val="20"/>
        </w:rPr>
        <w:t>Tafsir ayat al-Ahkam</w:t>
      </w:r>
      <w:r>
        <w:rPr>
          <w:rFonts w:asciiTheme="majorHAnsi" w:hAnsiTheme="majorHAnsi"/>
          <w:sz w:val="20"/>
          <w:szCs w:val="20"/>
        </w:rPr>
        <w:t>.</w:t>
      </w:r>
    </w:p>
    <w:sectPr w:rsidR="007806D7" w:rsidRPr="005652A1" w:rsidSect="000F6F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56AF"/>
    <w:multiLevelType w:val="hybridMultilevel"/>
    <w:tmpl w:val="3D182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2296"/>
    <w:multiLevelType w:val="hybridMultilevel"/>
    <w:tmpl w:val="21202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6FC8"/>
    <w:multiLevelType w:val="hybridMultilevel"/>
    <w:tmpl w:val="4CA6F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7125A"/>
    <w:multiLevelType w:val="hybridMultilevel"/>
    <w:tmpl w:val="965E3240"/>
    <w:lvl w:ilvl="0" w:tplc="14F6A3F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89"/>
    <w:rsid w:val="00006BE6"/>
    <w:rsid w:val="00037930"/>
    <w:rsid w:val="00040602"/>
    <w:rsid w:val="00054623"/>
    <w:rsid w:val="000656E9"/>
    <w:rsid w:val="000F6F4F"/>
    <w:rsid w:val="00143258"/>
    <w:rsid w:val="00172BB7"/>
    <w:rsid w:val="0018505E"/>
    <w:rsid w:val="00194ED0"/>
    <w:rsid w:val="001D36F9"/>
    <w:rsid w:val="00210905"/>
    <w:rsid w:val="00235CA2"/>
    <w:rsid w:val="00246D43"/>
    <w:rsid w:val="00305EA9"/>
    <w:rsid w:val="0031179B"/>
    <w:rsid w:val="00350636"/>
    <w:rsid w:val="00364D94"/>
    <w:rsid w:val="00372FF2"/>
    <w:rsid w:val="00382786"/>
    <w:rsid w:val="003A1F89"/>
    <w:rsid w:val="003A7039"/>
    <w:rsid w:val="003B3FC3"/>
    <w:rsid w:val="003C1669"/>
    <w:rsid w:val="003E4F08"/>
    <w:rsid w:val="004570CE"/>
    <w:rsid w:val="00481052"/>
    <w:rsid w:val="004970FD"/>
    <w:rsid w:val="004C311D"/>
    <w:rsid w:val="004C33B8"/>
    <w:rsid w:val="004D5BA1"/>
    <w:rsid w:val="005652A1"/>
    <w:rsid w:val="005C32DE"/>
    <w:rsid w:val="005F743F"/>
    <w:rsid w:val="00641202"/>
    <w:rsid w:val="00653772"/>
    <w:rsid w:val="006B166A"/>
    <w:rsid w:val="0072548E"/>
    <w:rsid w:val="00771732"/>
    <w:rsid w:val="007806D7"/>
    <w:rsid w:val="00783ED8"/>
    <w:rsid w:val="007D7414"/>
    <w:rsid w:val="007F7D9F"/>
    <w:rsid w:val="008178B3"/>
    <w:rsid w:val="0084153D"/>
    <w:rsid w:val="00874BA1"/>
    <w:rsid w:val="008C5EED"/>
    <w:rsid w:val="008D4B5A"/>
    <w:rsid w:val="008D4D2F"/>
    <w:rsid w:val="008E7434"/>
    <w:rsid w:val="00904398"/>
    <w:rsid w:val="00944C8B"/>
    <w:rsid w:val="00971215"/>
    <w:rsid w:val="00990AF4"/>
    <w:rsid w:val="00993538"/>
    <w:rsid w:val="009E501F"/>
    <w:rsid w:val="00A3301E"/>
    <w:rsid w:val="00B2204F"/>
    <w:rsid w:val="00B25673"/>
    <w:rsid w:val="00B82968"/>
    <w:rsid w:val="00BA4023"/>
    <w:rsid w:val="00BD55E9"/>
    <w:rsid w:val="00BE3063"/>
    <w:rsid w:val="00C11971"/>
    <w:rsid w:val="00C2152D"/>
    <w:rsid w:val="00C26935"/>
    <w:rsid w:val="00C51B17"/>
    <w:rsid w:val="00C64D02"/>
    <w:rsid w:val="00D65771"/>
    <w:rsid w:val="00DA4484"/>
    <w:rsid w:val="00DC17F4"/>
    <w:rsid w:val="00DE2939"/>
    <w:rsid w:val="00DF171C"/>
    <w:rsid w:val="00E00780"/>
    <w:rsid w:val="00E36F09"/>
    <w:rsid w:val="00E64E1E"/>
    <w:rsid w:val="00E90D0C"/>
    <w:rsid w:val="00EA49B3"/>
    <w:rsid w:val="00EC072F"/>
    <w:rsid w:val="00F4285F"/>
    <w:rsid w:val="00F433B8"/>
    <w:rsid w:val="00F53E4C"/>
    <w:rsid w:val="00F7250A"/>
    <w:rsid w:val="00F7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045C"/>
  <w15:docId w15:val="{396C276D-FC76-4C7B-B1F5-3F9C6409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4F"/>
  </w:style>
  <w:style w:type="paragraph" w:styleId="Heading1">
    <w:name w:val="heading 1"/>
    <w:basedOn w:val="Normal"/>
    <w:next w:val="Normal"/>
    <w:link w:val="Heading1Char"/>
    <w:uiPriority w:val="9"/>
    <w:qFormat/>
    <w:rsid w:val="00C26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26935"/>
    <w:pPr>
      <w:outlineLvl w:val="9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3E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49CD-DDDF-4352-AA3B-1773C005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user</cp:lastModifiedBy>
  <cp:revision>6</cp:revision>
  <dcterms:created xsi:type="dcterms:W3CDTF">2021-03-29T03:29:00Z</dcterms:created>
  <dcterms:modified xsi:type="dcterms:W3CDTF">2021-03-29T03:32:00Z</dcterms:modified>
</cp:coreProperties>
</file>