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00" w:type="dxa"/>
        <w:jc w:val="center"/>
        <w:tblInd w:w="107" w:type="dxa"/>
        <w:tblLook w:val="04A0" w:firstRow="1" w:lastRow="0" w:firstColumn="1" w:lastColumn="0" w:noHBand="0" w:noVBand="1"/>
      </w:tblPr>
      <w:tblGrid>
        <w:gridCol w:w="2046"/>
        <w:gridCol w:w="1069"/>
        <w:gridCol w:w="897"/>
        <w:gridCol w:w="601"/>
        <w:gridCol w:w="141"/>
        <w:gridCol w:w="1931"/>
        <w:gridCol w:w="1793"/>
        <w:gridCol w:w="1819"/>
        <w:gridCol w:w="3203"/>
      </w:tblGrid>
      <w:tr w:rsidR="00DC1DB4" w:rsidRPr="00EA292E" w:rsidTr="00AF3B44">
        <w:trPr>
          <w:jc w:val="center"/>
        </w:trPr>
        <w:tc>
          <w:tcPr>
            <w:tcW w:w="1843" w:type="dxa"/>
          </w:tcPr>
          <w:p w:rsidR="00DC1DB4" w:rsidRPr="00EA292E" w:rsidRDefault="00045E0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16205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3087" cy="87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7" w:type="dxa"/>
            <w:gridSpan w:val="8"/>
            <w:vAlign w:val="center"/>
          </w:tcPr>
          <w:p w:rsidR="00DC1DB4" w:rsidRPr="00E433EA" w:rsidRDefault="00045E0D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>UNIVERSITAS</w:t>
            </w: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 ISLAM NEGERI </w:t>
            </w:r>
            <w:r w:rsidR="00DC1DB4" w:rsidRPr="00E433EA">
              <w:rPr>
                <w:rFonts w:asciiTheme="minorBidi" w:hAnsiTheme="minorBidi"/>
                <w:b/>
                <w:sz w:val="28"/>
                <w:szCs w:val="28"/>
              </w:rPr>
              <w:t>BENGKULU</w:t>
            </w:r>
          </w:p>
          <w:p w:rsidR="00DC1DB4" w:rsidRPr="00E433EA" w:rsidRDefault="00DC1DB4" w:rsidP="00442B3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442B31">
              <w:rPr>
                <w:rFonts w:asciiTheme="minorBidi" w:hAnsiTheme="minorBidi"/>
                <w:b/>
                <w:sz w:val="28"/>
                <w:szCs w:val="28"/>
              </w:rPr>
              <w:t>USHULUDDIN, ADAB DAN DAKWAH</w:t>
            </w:r>
          </w:p>
          <w:p w:rsidR="00DC1DB4" w:rsidRPr="00EA292E" w:rsidRDefault="004A7ED9" w:rsidP="0059501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PROGRAM STUDI</w:t>
            </w:r>
            <w:r w:rsidR="00442B31">
              <w:rPr>
                <w:rFonts w:asciiTheme="minorBidi" w:hAnsiTheme="minorBidi"/>
                <w:b/>
                <w:sz w:val="28"/>
                <w:szCs w:val="28"/>
              </w:rPr>
              <w:t xml:space="preserve">  ILMU ALQUR’AN DAN TAFSIR</w:t>
            </w:r>
          </w:p>
        </w:tc>
      </w:tr>
      <w:tr w:rsidR="00DC1DB4" w:rsidRPr="00E433EA" w:rsidTr="00AF3B44">
        <w:trPr>
          <w:jc w:val="center"/>
        </w:trPr>
        <w:tc>
          <w:tcPr>
            <w:tcW w:w="13500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AF3B44">
        <w:trPr>
          <w:jc w:val="center"/>
        </w:trPr>
        <w:tc>
          <w:tcPr>
            <w:tcW w:w="2978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:rsidTr="00AF3B44">
        <w:trPr>
          <w:jc w:val="center"/>
        </w:trPr>
        <w:tc>
          <w:tcPr>
            <w:tcW w:w="2978" w:type="dxa"/>
            <w:gridSpan w:val="2"/>
          </w:tcPr>
          <w:p w:rsidR="004B18D8" w:rsidRPr="00844363" w:rsidRDefault="00AF3B4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44363">
              <w:rPr>
                <w:b/>
                <w:bCs/>
              </w:rPr>
              <w:t>Hermeneutika Alqur’an</w:t>
            </w:r>
          </w:p>
        </w:tc>
        <w:tc>
          <w:tcPr>
            <w:tcW w:w="1417" w:type="dxa"/>
            <w:gridSpan w:val="2"/>
          </w:tcPr>
          <w:p w:rsidR="004B18D8" w:rsidRPr="00E433EA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842" w:type="dxa"/>
          </w:tcPr>
          <w:p w:rsidR="004B18D8" w:rsidRPr="00E433EA" w:rsidRDefault="00DE00C5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</w:t>
            </w:r>
          </w:p>
        </w:tc>
        <w:tc>
          <w:tcPr>
            <w:tcW w:w="1843" w:type="dxa"/>
          </w:tcPr>
          <w:p w:rsidR="004B18D8" w:rsidRPr="00E433EA" w:rsidRDefault="0059501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IV</w:t>
            </w:r>
          </w:p>
        </w:tc>
        <w:tc>
          <w:tcPr>
            <w:tcW w:w="3293" w:type="dxa"/>
          </w:tcPr>
          <w:p w:rsidR="004B18D8" w:rsidRPr="00E433EA" w:rsidRDefault="00885A4D" w:rsidP="003D50B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 xml:space="preserve">1  </w:t>
            </w:r>
            <w:r w:rsidR="0031418D">
              <w:rPr>
                <w:rFonts w:asciiTheme="minorBidi" w:hAnsiTheme="minorBidi"/>
                <w:sz w:val="22"/>
              </w:rPr>
              <w:t>Februari 2022</w:t>
            </w:r>
            <w:r w:rsidR="003C1EC8">
              <w:rPr>
                <w:rFonts w:asciiTheme="minorBidi" w:hAnsiTheme="minorBidi"/>
                <w:sz w:val="22"/>
              </w:rPr>
              <w:t xml:space="preserve"> </w:t>
            </w:r>
          </w:p>
        </w:tc>
      </w:tr>
      <w:tr w:rsidR="004B18D8" w:rsidRPr="00E433EA" w:rsidTr="00AF3B44">
        <w:trPr>
          <w:jc w:val="center"/>
        </w:trPr>
        <w:tc>
          <w:tcPr>
            <w:tcW w:w="2978" w:type="dxa"/>
            <w:gridSpan w:val="2"/>
            <w:vMerge w:val="restart"/>
            <w:vAlign w:val="center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  <w:vAlign w:val="center"/>
          </w:tcPr>
          <w:p w:rsidR="004B18D8" w:rsidRPr="00E433EA" w:rsidRDefault="004B18D8" w:rsidP="00D722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  <w:vAlign w:val="center"/>
          </w:tcPr>
          <w:p w:rsidR="004B18D8" w:rsidRPr="00E433EA" w:rsidRDefault="00782A6B" w:rsidP="00D722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293" w:type="dxa"/>
            <w:shd w:val="clear" w:color="auto" w:fill="DBE5F1" w:themeFill="accent1" w:themeFillTint="33"/>
            <w:vAlign w:val="center"/>
          </w:tcPr>
          <w:p w:rsidR="004B18D8" w:rsidRPr="00E433EA" w:rsidRDefault="004B18D8" w:rsidP="00D722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:rsidTr="00AF3B44">
        <w:trPr>
          <w:trHeight w:val="489"/>
          <w:jc w:val="center"/>
        </w:trPr>
        <w:tc>
          <w:tcPr>
            <w:tcW w:w="2978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36FE7" w:rsidRPr="00442B31" w:rsidRDefault="00D7222B" w:rsidP="00503E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442B31">
              <w:rPr>
                <w:rFonts w:asciiTheme="majorBidi" w:hAnsiTheme="majorBidi" w:cstheme="majorBidi"/>
                <w:sz w:val="22"/>
              </w:rPr>
              <w:t>Prof. Dr. Rohimin, M.Ag</w:t>
            </w:r>
          </w:p>
        </w:tc>
        <w:tc>
          <w:tcPr>
            <w:tcW w:w="3685" w:type="dxa"/>
            <w:gridSpan w:val="2"/>
            <w:vAlign w:val="center"/>
          </w:tcPr>
          <w:p w:rsidR="00147775" w:rsidRPr="00442B31" w:rsidRDefault="00147775" w:rsidP="00503E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442B31">
              <w:rPr>
                <w:rFonts w:asciiTheme="majorBidi" w:hAnsiTheme="majorBidi" w:cstheme="majorBidi"/>
                <w:sz w:val="22"/>
              </w:rPr>
              <w:t>Prof. Dr. Rohimin, M.Ag</w:t>
            </w:r>
          </w:p>
        </w:tc>
        <w:tc>
          <w:tcPr>
            <w:tcW w:w="3293" w:type="dxa"/>
            <w:vAlign w:val="center"/>
          </w:tcPr>
          <w:p w:rsidR="00147775" w:rsidRPr="0031418D" w:rsidRDefault="0031418D" w:rsidP="00503E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31418D">
              <w:rPr>
                <w:rFonts w:asciiTheme="majorBidi" w:hAnsiTheme="majorBidi" w:cstheme="majorBidi"/>
                <w:sz w:val="22"/>
              </w:rPr>
              <w:t>Syukraini</w:t>
            </w:r>
            <w:r w:rsidR="00885A4D">
              <w:rPr>
                <w:rFonts w:asciiTheme="majorBidi" w:hAnsiTheme="majorBidi" w:cstheme="majorBidi"/>
                <w:sz w:val="22"/>
              </w:rPr>
              <w:t xml:space="preserve"> Ahmad, MA</w:t>
            </w:r>
          </w:p>
        </w:tc>
      </w:tr>
      <w:tr w:rsidR="001B75B5" w:rsidRPr="00EA292E" w:rsidTr="00AF3B44">
        <w:trPr>
          <w:jc w:val="center"/>
        </w:trPr>
        <w:tc>
          <w:tcPr>
            <w:tcW w:w="2978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963" w:type="dxa"/>
            <w:gridSpan w:val="4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Pr="00442B31" w:rsidRDefault="00E433EA" w:rsidP="00E433EA">
            <w:pPr>
              <w:rPr>
                <w:rFonts w:asciiTheme="majorBidi" w:hAnsiTheme="majorBidi" w:cstheme="majorBidi"/>
                <w:sz w:val="22"/>
                <w:lang w:eastAsia="id-ID"/>
              </w:rPr>
            </w:pPr>
            <w:r w:rsidRPr="00442B31">
              <w:rPr>
                <w:rFonts w:asciiTheme="majorBidi" w:hAnsiTheme="majorBidi" w:cstheme="majorBidi"/>
                <w:sz w:val="22"/>
                <w:lang w:eastAsia="id-ID"/>
              </w:rPr>
              <w:t>CPL1</w:t>
            </w:r>
          </w:p>
          <w:p w:rsidR="00844363" w:rsidRPr="00442B31" w:rsidRDefault="00844363" w:rsidP="00E433EA">
            <w:pPr>
              <w:rPr>
                <w:rFonts w:asciiTheme="majorBidi" w:hAnsiTheme="majorBidi" w:cstheme="majorBidi"/>
                <w:sz w:val="22"/>
                <w:lang w:eastAsia="id-ID"/>
              </w:rPr>
            </w:pPr>
          </w:p>
          <w:p w:rsidR="00E433EA" w:rsidRPr="00442B31" w:rsidRDefault="00E433EA" w:rsidP="00E433EA">
            <w:pPr>
              <w:rPr>
                <w:rFonts w:asciiTheme="majorBidi" w:hAnsiTheme="majorBidi" w:cstheme="majorBidi"/>
                <w:sz w:val="22"/>
                <w:lang w:eastAsia="id-ID"/>
              </w:rPr>
            </w:pPr>
            <w:r w:rsidRPr="00442B31">
              <w:rPr>
                <w:rFonts w:asciiTheme="majorBidi" w:hAnsiTheme="majorBidi" w:cstheme="majorBidi"/>
                <w:sz w:val="22"/>
                <w:lang w:eastAsia="id-ID"/>
              </w:rPr>
              <w:t>CPL2</w:t>
            </w:r>
          </w:p>
          <w:p w:rsidR="00844363" w:rsidRPr="00442B31" w:rsidRDefault="00844363" w:rsidP="00844363">
            <w:pPr>
              <w:rPr>
                <w:rFonts w:asciiTheme="majorBidi" w:hAnsiTheme="majorBidi" w:cstheme="majorBidi"/>
                <w:sz w:val="22"/>
                <w:lang w:eastAsia="id-ID"/>
              </w:rPr>
            </w:pPr>
            <w:r w:rsidRPr="00442B31">
              <w:rPr>
                <w:rFonts w:asciiTheme="majorBidi" w:hAnsiTheme="majorBidi" w:cstheme="majorBidi"/>
                <w:sz w:val="22"/>
                <w:lang w:eastAsia="id-ID"/>
              </w:rPr>
              <w:t>CPL3</w:t>
            </w:r>
          </w:p>
          <w:p w:rsidR="00844363" w:rsidRPr="00442B31" w:rsidRDefault="00844363" w:rsidP="00E433EA">
            <w:pPr>
              <w:rPr>
                <w:rFonts w:asciiTheme="majorBidi" w:hAnsiTheme="majorBidi" w:cstheme="majorBidi"/>
                <w:sz w:val="22"/>
                <w:lang w:eastAsia="id-ID"/>
              </w:rPr>
            </w:pPr>
          </w:p>
          <w:p w:rsidR="00F8466F" w:rsidRPr="00436FE7" w:rsidRDefault="00F8466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743" w:type="dxa"/>
            <w:gridSpan w:val="6"/>
          </w:tcPr>
          <w:p w:rsidR="0088168D" w:rsidRPr="00BD318B" w:rsidRDefault="0088168D" w:rsidP="00EA4530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Mahasiswa mengetahui dan memahami </w:t>
            </w:r>
            <w:r w:rsidR="009A2CB6">
              <w:t xml:space="preserve">Hermeneutika Alqur’an </w:t>
            </w:r>
            <w:r w:rsidR="00D0271E">
              <w:t>dan berbagai objek pembahasannya</w:t>
            </w:r>
            <w:r>
              <w:t>.</w:t>
            </w:r>
          </w:p>
          <w:p w:rsidR="0088168D" w:rsidRPr="00BD318B" w:rsidRDefault="0088168D" w:rsidP="00EA4530">
            <w:pPr>
              <w:pStyle w:val="ListParagraph"/>
              <w:numPr>
                <w:ilvl w:val="0"/>
                <w:numId w:val="2"/>
              </w:numPr>
              <w:jc w:val="both"/>
            </w:pPr>
            <w:r w:rsidRPr="00BD318B">
              <w:t xml:space="preserve">Memiliki keterampilan </w:t>
            </w:r>
            <w:r>
              <w:t xml:space="preserve">yang berkaitan dengan </w:t>
            </w:r>
            <w:r w:rsidR="009A2CB6">
              <w:t>Hermeneutika Alqur’an</w:t>
            </w:r>
            <w:r w:rsidRPr="00BD318B">
              <w:t>.</w:t>
            </w:r>
          </w:p>
          <w:p w:rsidR="0088168D" w:rsidRPr="00C4129B" w:rsidRDefault="0088168D" w:rsidP="00EA4530">
            <w:pPr>
              <w:pStyle w:val="ListParagraph"/>
              <w:numPr>
                <w:ilvl w:val="0"/>
                <w:numId w:val="2"/>
              </w:numPr>
              <w:jc w:val="lowKashida"/>
            </w:pPr>
            <w:r w:rsidRPr="00C4129B">
              <w:t xml:space="preserve">Menumbuhkan </w:t>
            </w:r>
            <w:r>
              <w:t>apresiasi</w:t>
            </w:r>
            <w:r w:rsidRPr="00C4129B">
              <w:t xml:space="preserve"> terhadap </w:t>
            </w:r>
            <w:r w:rsidR="009A2CB6">
              <w:t xml:space="preserve">Hermeneutika Alqur’an </w:t>
            </w:r>
            <w:r w:rsidR="00D0271E">
              <w:t>dengan berbagai pembahasannya dalam rangka memahami ayat-ayat al-Qur’an.</w:t>
            </w:r>
          </w:p>
          <w:p w:rsidR="00F8466F" w:rsidRPr="00436FE7" w:rsidRDefault="00F8466F" w:rsidP="008443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</w:p>
        </w:tc>
      </w:tr>
      <w:tr w:rsidR="00E433EA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963" w:type="dxa"/>
            <w:gridSpan w:val="4"/>
            <w:shd w:val="clear" w:color="auto" w:fill="DBE5F1" w:themeFill="accent1" w:themeFillTint="33"/>
          </w:tcPr>
          <w:p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E433EA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Pr="00844363" w:rsidRDefault="00E433EA" w:rsidP="00237C2B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743" w:type="dxa"/>
            <w:gridSpan w:val="6"/>
          </w:tcPr>
          <w:p w:rsidR="00E433EA" w:rsidRPr="00844363" w:rsidRDefault="0088168D" w:rsidP="00D0271E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 xml:space="preserve">Mahasiswa diharapkan dapat menginternalisasikan dan mengimplementasikan </w:t>
            </w:r>
            <w:r w:rsidR="009A2CB6" w:rsidRPr="00844363">
              <w:rPr>
                <w:rFonts w:asciiTheme="majorBidi" w:hAnsiTheme="majorBidi" w:cstheme="majorBidi"/>
                <w:szCs w:val="24"/>
              </w:rPr>
              <w:t>konsepsi Hermeneutik</w:t>
            </w:r>
            <w:r w:rsidR="00D0271E" w:rsidRPr="00844363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844363">
              <w:rPr>
                <w:rFonts w:asciiTheme="majorBidi" w:hAnsiTheme="majorBidi" w:cstheme="majorBidi"/>
                <w:szCs w:val="24"/>
              </w:rPr>
              <w:t xml:space="preserve">dalam </w:t>
            </w:r>
            <w:r w:rsidR="00D0271E" w:rsidRPr="00844363">
              <w:rPr>
                <w:rFonts w:asciiTheme="majorBidi" w:hAnsiTheme="majorBidi" w:cstheme="majorBidi"/>
                <w:szCs w:val="24"/>
              </w:rPr>
              <w:t>memahami ayat-ayat al-Qur’an</w:t>
            </w:r>
            <w:r w:rsidR="00D0271E"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.</w:t>
            </w:r>
          </w:p>
        </w:tc>
      </w:tr>
      <w:tr w:rsidR="00E433EA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Pr="00844363" w:rsidRDefault="00E433EA" w:rsidP="00237C2B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743" w:type="dxa"/>
            <w:gridSpan w:val="6"/>
          </w:tcPr>
          <w:p w:rsidR="00E433EA" w:rsidRPr="00844363" w:rsidRDefault="0088168D" w:rsidP="0088168D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 xml:space="preserve">Mahasiswa mengetahui </w:t>
            </w:r>
            <w:r w:rsidR="009A2CB6" w:rsidRPr="00844363">
              <w:rPr>
                <w:rFonts w:asciiTheme="majorBidi" w:hAnsiTheme="majorBidi" w:cstheme="majorBidi"/>
                <w:szCs w:val="24"/>
              </w:rPr>
              <w:t>Hermeneutika Alqur’an</w:t>
            </w:r>
            <w:r w:rsidR="009A2CB6"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 xml:space="preserve"> </w:t>
            </w:r>
            <w:r w:rsidR="00D0271E"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dan urgensi mempelajarinya.</w:t>
            </w:r>
          </w:p>
        </w:tc>
      </w:tr>
      <w:tr w:rsidR="0088168D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88168D" w:rsidRPr="00EA292E" w:rsidRDefault="0088168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8168D" w:rsidRPr="00844363" w:rsidRDefault="0088168D" w:rsidP="00290540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743" w:type="dxa"/>
            <w:gridSpan w:val="6"/>
          </w:tcPr>
          <w:p w:rsidR="0088168D" w:rsidRPr="00844363" w:rsidRDefault="0088168D" w:rsidP="00B2178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 xml:space="preserve">Mahasiswa mengetahui sejarah </w:t>
            </w:r>
            <w:r w:rsidR="009A2CB6" w:rsidRPr="00844363">
              <w:rPr>
                <w:rFonts w:asciiTheme="majorBidi" w:hAnsiTheme="majorBidi" w:cstheme="majorBidi"/>
                <w:szCs w:val="24"/>
              </w:rPr>
              <w:t xml:space="preserve">Hermeneutika Alqur’an </w:t>
            </w:r>
          </w:p>
        </w:tc>
      </w:tr>
      <w:tr w:rsidR="0088168D" w:rsidRPr="00EA292E" w:rsidTr="00AF3B44">
        <w:trPr>
          <w:jc w:val="center"/>
        </w:trPr>
        <w:tc>
          <w:tcPr>
            <w:tcW w:w="2978" w:type="dxa"/>
            <w:gridSpan w:val="2"/>
            <w:vMerge/>
          </w:tcPr>
          <w:p w:rsidR="0088168D" w:rsidRPr="00EA292E" w:rsidRDefault="0088168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8168D" w:rsidRPr="00844363" w:rsidRDefault="0088168D" w:rsidP="00237C2B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743" w:type="dxa"/>
            <w:gridSpan w:val="6"/>
          </w:tcPr>
          <w:p w:rsidR="0088168D" w:rsidRPr="00844363" w:rsidRDefault="0088168D" w:rsidP="00B21788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 xml:space="preserve">Mahasiswa mengetahui </w:t>
            </w:r>
            <w:r w:rsidR="00D0271E" w:rsidRPr="00844363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 xml:space="preserve">tema-tema yang dipelajari dalam </w:t>
            </w:r>
            <w:r w:rsidR="009A2CB6" w:rsidRPr="00844363">
              <w:rPr>
                <w:rFonts w:asciiTheme="majorBidi" w:hAnsiTheme="majorBidi" w:cstheme="majorBidi"/>
                <w:szCs w:val="24"/>
              </w:rPr>
              <w:t>Hermeneutika Alqur’an</w:t>
            </w:r>
          </w:p>
        </w:tc>
      </w:tr>
      <w:tr w:rsidR="00290540" w:rsidRPr="00EA292E" w:rsidTr="00AF3B44">
        <w:trPr>
          <w:trHeight w:val="251"/>
          <w:jc w:val="center"/>
        </w:trPr>
        <w:tc>
          <w:tcPr>
            <w:tcW w:w="2978" w:type="dxa"/>
            <w:gridSpan w:val="2"/>
            <w:vMerge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290540" w:rsidRPr="00844363" w:rsidRDefault="00290540" w:rsidP="00F8466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43" w:type="dxa"/>
            <w:gridSpan w:val="6"/>
          </w:tcPr>
          <w:p w:rsidR="00290540" w:rsidRPr="00844363" w:rsidRDefault="00290540" w:rsidP="004248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290540" w:rsidRPr="00EA292E" w:rsidTr="00AF3B44">
        <w:trPr>
          <w:jc w:val="center"/>
        </w:trPr>
        <w:tc>
          <w:tcPr>
            <w:tcW w:w="2978" w:type="dxa"/>
            <w:gridSpan w:val="2"/>
          </w:tcPr>
          <w:p w:rsidR="00290540" w:rsidRPr="00844363" w:rsidRDefault="00290540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844363">
              <w:rPr>
                <w:rFonts w:asciiTheme="majorBidi" w:hAnsiTheme="majorBidi" w:cstheme="majorBidi"/>
                <w:sz w:val="22"/>
              </w:rPr>
              <w:t>Deskripsi Singkat MK</w:t>
            </w:r>
          </w:p>
        </w:tc>
        <w:tc>
          <w:tcPr>
            <w:tcW w:w="10522" w:type="dxa"/>
            <w:gridSpan w:val="7"/>
          </w:tcPr>
          <w:p w:rsidR="00844363" w:rsidRPr="0076282B" w:rsidRDefault="0088168D" w:rsidP="0076282B">
            <w:pPr>
              <w:jc w:val="both"/>
              <w:rPr>
                <w:rFonts w:asciiTheme="majorBidi" w:hAnsiTheme="majorBidi" w:cstheme="majorBidi"/>
              </w:rPr>
            </w:pPr>
            <w:r w:rsidRPr="0076282B">
              <w:rPr>
                <w:rFonts w:asciiTheme="majorBidi" w:hAnsiTheme="majorBidi" w:cstheme="majorBidi"/>
              </w:rPr>
              <w:t>Mata</w:t>
            </w:r>
            <w:r w:rsidR="00EE1B40" w:rsidRPr="0076282B">
              <w:rPr>
                <w:rFonts w:asciiTheme="majorBidi" w:hAnsiTheme="majorBidi" w:cstheme="majorBidi"/>
              </w:rPr>
              <w:t xml:space="preserve"> </w:t>
            </w:r>
            <w:r w:rsidRPr="0076282B">
              <w:rPr>
                <w:rFonts w:asciiTheme="majorBidi" w:hAnsiTheme="majorBidi" w:cstheme="majorBidi"/>
              </w:rPr>
              <w:t xml:space="preserve">kuliah </w:t>
            </w:r>
            <w:r w:rsidR="001C00A6" w:rsidRPr="0076282B">
              <w:rPr>
                <w:rFonts w:asciiTheme="majorBidi" w:hAnsiTheme="majorBidi" w:cstheme="majorBidi"/>
                <w:b/>
                <w:bCs/>
              </w:rPr>
              <w:t>Hermeneutika Alqur’an</w:t>
            </w:r>
            <w:r w:rsidR="001C00A6" w:rsidRPr="0076282B">
              <w:rPr>
                <w:rFonts w:asciiTheme="majorBidi" w:hAnsiTheme="majorBidi" w:cstheme="majorBidi"/>
              </w:rPr>
              <w:t xml:space="preserve"> </w:t>
            </w:r>
            <w:r w:rsidRPr="0076282B">
              <w:rPr>
                <w:rFonts w:asciiTheme="majorBidi" w:hAnsiTheme="majorBidi" w:cstheme="majorBidi"/>
              </w:rPr>
              <w:t>merupakan mata</w:t>
            </w:r>
            <w:r w:rsidR="00EE1B40" w:rsidRPr="0076282B">
              <w:rPr>
                <w:rFonts w:asciiTheme="majorBidi" w:hAnsiTheme="majorBidi" w:cstheme="majorBidi"/>
              </w:rPr>
              <w:t xml:space="preserve"> </w:t>
            </w:r>
            <w:r w:rsidRPr="0076282B">
              <w:rPr>
                <w:rFonts w:asciiTheme="majorBidi" w:hAnsiTheme="majorBidi" w:cstheme="majorBidi"/>
              </w:rPr>
              <w:t>kuliah wajib yang didesain untuk mengkaji</w:t>
            </w:r>
            <w:r w:rsidR="001C00A6" w:rsidRPr="0076282B">
              <w:rPr>
                <w:rFonts w:asciiTheme="majorBidi" w:hAnsiTheme="majorBidi" w:cstheme="majorBidi"/>
              </w:rPr>
              <w:t xml:space="preserve"> hermeneutika dan berbagai aspek yang melingkupinya, khususnya </w:t>
            </w:r>
            <w:r w:rsidR="0076282B" w:rsidRPr="0076282B">
              <w:rPr>
                <w:rFonts w:asciiTheme="majorBidi" w:hAnsiTheme="majorBidi" w:cstheme="majorBidi"/>
              </w:rPr>
              <w:t>keterkaitannya dengan</w:t>
            </w:r>
            <w:r w:rsidR="001C00A6" w:rsidRPr="0076282B">
              <w:rPr>
                <w:rFonts w:asciiTheme="majorBidi" w:hAnsiTheme="majorBidi" w:cstheme="majorBidi"/>
              </w:rPr>
              <w:t xml:space="preserve"> Alqur’an.</w:t>
            </w:r>
            <w:r w:rsidRPr="0076282B">
              <w:rPr>
                <w:rFonts w:asciiTheme="majorBidi" w:hAnsiTheme="majorBidi" w:cstheme="majorBidi"/>
              </w:rPr>
              <w:t xml:space="preserve"> </w:t>
            </w:r>
            <w:r w:rsidR="00844363" w:rsidRPr="0076282B">
              <w:rPr>
                <w:rFonts w:asciiTheme="majorBidi" w:hAnsiTheme="majorBidi" w:cstheme="majorBidi"/>
                <w:szCs w:val="24"/>
              </w:rPr>
              <w:t>Hermeneutika sebagai Satu disiplin ilmu terus berkembang dan diajarkan pada Fakultas-fakultas di PTU (Perguruan Tinggi Umum) d</w:t>
            </w:r>
            <w:r w:rsidR="0076282B" w:rsidRPr="0076282B">
              <w:rPr>
                <w:rFonts w:asciiTheme="majorBidi" w:hAnsiTheme="majorBidi" w:cstheme="majorBidi"/>
                <w:szCs w:val="24"/>
              </w:rPr>
              <w:t>an PTA (Perguruan</w:t>
            </w:r>
            <w:bookmarkStart w:id="0" w:name="_GoBack"/>
            <w:bookmarkEnd w:id="0"/>
            <w:r w:rsidR="0076282B" w:rsidRPr="0076282B">
              <w:rPr>
                <w:rFonts w:asciiTheme="majorBidi" w:hAnsiTheme="majorBidi" w:cstheme="majorBidi"/>
                <w:szCs w:val="24"/>
              </w:rPr>
              <w:t xml:space="preserve"> Tinggi Agama)</w:t>
            </w:r>
            <w:r w:rsidR="00844363" w:rsidRPr="0076282B">
              <w:rPr>
                <w:rFonts w:asciiTheme="majorBidi" w:hAnsiTheme="majorBidi" w:cstheme="majorBidi"/>
                <w:szCs w:val="24"/>
              </w:rPr>
              <w:t>. Sebagai Metode dan Seni dalam menafsirkan teks, Hermeneutika dan Mata Kuliah Hermeneutika akan mengantarkan Mahasiswa agar dapat menjelaskan dan menerapkan</w:t>
            </w:r>
            <w:r w:rsidR="00442B31" w:rsidRPr="0076282B">
              <w:rPr>
                <w:rFonts w:asciiTheme="majorBidi" w:hAnsiTheme="majorBidi" w:cstheme="majorBidi"/>
                <w:szCs w:val="24"/>
              </w:rPr>
              <w:t xml:space="preserve"> hermeneutika untuk kajian teks, termasuk teks </w:t>
            </w:r>
            <w:r w:rsidR="00844363" w:rsidRPr="0076282B">
              <w:rPr>
                <w:rFonts w:asciiTheme="majorBidi" w:hAnsiTheme="majorBidi" w:cstheme="majorBidi"/>
                <w:szCs w:val="24"/>
              </w:rPr>
              <w:t>Al-Qur`an</w:t>
            </w:r>
            <w:r w:rsidR="00442B31" w:rsidRPr="0076282B">
              <w:rPr>
                <w:rFonts w:asciiTheme="majorBidi" w:hAnsiTheme="majorBidi" w:cstheme="majorBidi"/>
                <w:szCs w:val="24"/>
              </w:rPr>
              <w:t>.</w:t>
            </w:r>
            <w:r w:rsidR="0076282B" w:rsidRPr="0076282B">
              <w:rPr>
                <w:rFonts w:asciiTheme="majorBidi" w:hAnsiTheme="majorBidi" w:cstheme="majorBidi"/>
              </w:rPr>
              <w:t xml:space="preserve"> </w:t>
            </w:r>
            <w:r w:rsidR="00844363" w:rsidRPr="0076282B">
              <w:rPr>
                <w:rFonts w:asciiTheme="majorBidi" w:hAnsiTheme="majorBidi" w:cstheme="majorBidi"/>
                <w:sz w:val="22"/>
              </w:rPr>
              <w:t>Mata Kuliah Hermeneutika merupakan mata kuliah yang terkait dengan aktifitas</w:t>
            </w:r>
            <w:r w:rsidR="001C00A6" w:rsidRPr="0076282B">
              <w:rPr>
                <w:rFonts w:asciiTheme="majorBidi" w:hAnsiTheme="majorBidi" w:cstheme="majorBidi"/>
                <w:sz w:val="22"/>
              </w:rPr>
              <w:t xml:space="preserve"> memahami teks</w:t>
            </w:r>
            <w:r w:rsidR="00844363" w:rsidRPr="0076282B">
              <w:rPr>
                <w:rFonts w:asciiTheme="majorBidi" w:hAnsiTheme="majorBidi" w:cstheme="majorBidi"/>
                <w:sz w:val="22"/>
              </w:rPr>
              <w:t>. Mata kuliah ini fokus pada pengenalan sekaligus pendalaman mengenai hermeneutika</w:t>
            </w:r>
            <w:r w:rsidR="0076282B" w:rsidRPr="0076282B">
              <w:rPr>
                <w:rFonts w:asciiTheme="majorBidi" w:hAnsiTheme="majorBidi" w:cstheme="majorBidi"/>
                <w:sz w:val="22"/>
              </w:rPr>
              <w:t xml:space="preserve"> Alqur’an</w:t>
            </w:r>
            <w:r w:rsidR="00844363" w:rsidRPr="0076282B">
              <w:rPr>
                <w:rFonts w:asciiTheme="majorBidi" w:hAnsiTheme="majorBidi" w:cstheme="majorBidi"/>
                <w:sz w:val="22"/>
              </w:rPr>
              <w:t xml:space="preserve">, baik deri segi pengertian, karakteristik, </w:t>
            </w:r>
            <w:r w:rsidR="00844363" w:rsidRPr="0076282B">
              <w:rPr>
                <w:rFonts w:asciiTheme="majorBidi" w:hAnsiTheme="majorBidi" w:cstheme="majorBidi"/>
                <w:sz w:val="22"/>
              </w:rPr>
              <w:lastRenderedPageBreak/>
              <w:t>ruang lingku</w:t>
            </w:r>
            <w:r w:rsidR="0076282B" w:rsidRPr="0076282B">
              <w:rPr>
                <w:rFonts w:asciiTheme="majorBidi" w:hAnsiTheme="majorBidi" w:cstheme="majorBidi"/>
                <w:sz w:val="22"/>
              </w:rPr>
              <w:t xml:space="preserve">p </w:t>
            </w:r>
            <w:r w:rsidR="0076282B">
              <w:rPr>
                <w:rFonts w:asciiTheme="majorBidi" w:hAnsiTheme="majorBidi" w:cstheme="majorBidi"/>
                <w:sz w:val="22"/>
              </w:rPr>
              <w:t>kajian</w:t>
            </w:r>
            <w:r w:rsidR="00844363" w:rsidRPr="0076282B">
              <w:rPr>
                <w:rFonts w:asciiTheme="majorBidi" w:hAnsiTheme="majorBidi" w:cstheme="majorBidi"/>
                <w:sz w:val="22"/>
              </w:rPr>
              <w:t xml:space="preserve">. Proses pembelajaran mata kuliah ini diorientasikan sebagai upaya menjadikan </w:t>
            </w:r>
            <w:r w:rsidR="00844363" w:rsidRPr="0076282B">
              <w:rPr>
                <w:rFonts w:asciiTheme="majorBidi" w:hAnsiTheme="majorBidi" w:cstheme="majorBidi"/>
                <w:sz w:val="22"/>
                <w:lang w:eastAsia="id-ID"/>
              </w:rPr>
              <w:t xml:space="preserve">mahasiswa memiliki </w:t>
            </w:r>
            <w:r w:rsidR="0076282B">
              <w:rPr>
                <w:rFonts w:asciiTheme="majorBidi" w:hAnsiTheme="majorBidi" w:cstheme="majorBidi"/>
                <w:sz w:val="22"/>
                <w:lang w:eastAsia="id-ID"/>
              </w:rPr>
              <w:t xml:space="preserve">wawasan dan </w:t>
            </w:r>
            <w:r w:rsidR="00844363" w:rsidRPr="0076282B">
              <w:rPr>
                <w:rFonts w:asciiTheme="majorBidi" w:hAnsiTheme="majorBidi" w:cstheme="majorBidi"/>
                <w:sz w:val="22"/>
                <w:lang w:eastAsia="id-ID"/>
              </w:rPr>
              <w:t xml:space="preserve">daya analitis yang benar terhadap pemikiran hermeneutika secara proporsional </w:t>
            </w:r>
            <w:r w:rsidR="0076282B">
              <w:rPr>
                <w:rFonts w:asciiTheme="majorBidi" w:hAnsiTheme="majorBidi" w:cstheme="majorBidi"/>
                <w:sz w:val="22"/>
                <w:lang w:eastAsia="id-ID"/>
              </w:rPr>
              <w:t xml:space="preserve">terkait dengan Alqur’an </w:t>
            </w:r>
            <w:r w:rsidR="00844363" w:rsidRPr="0076282B">
              <w:rPr>
                <w:rFonts w:asciiTheme="majorBidi" w:hAnsiTheme="majorBidi" w:cstheme="majorBidi"/>
                <w:sz w:val="22"/>
                <w:lang w:eastAsia="id-ID"/>
              </w:rPr>
              <w:t>berdasarkan aspek ontologis, epitemologis maupun aksiologis.</w:t>
            </w:r>
          </w:p>
          <w:p w:rsidR="00844363" w:rsidRPr="0076282B" w:rsidRDefault="00844363" w:rsidP="00EE1B40">
            <w:pPr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90540" w:rsidRPr="00EA292E" w:rsidTr="00AF3B44">
        <w:trPr>
          <w:jc w:val="center"/>
        </w:trPr>
        <w:tc>
          <w:tcPr>
            <w:tcW w:w="2978" w:type="dxa"/>
            <w:gridSpan w:val="2"/>
          </w:tcPr>
          <w:p w:rsidR="00290540" w:rsidRPr="00844363" w:rsidRDefault="00290540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844363">
              <w:rPr>
                <w:rFonts w:asciiTheme="majorBidi" w:hAnsiTheme="majorBidi" w:cstheme="majorBidi"/>
                <w:sz w:val="22"/>
              </w:rPr>
              <w:lastRenderedPageBreak/>
              <w:t>Materi Pembelajaran/ Pokok Bahasan</w:t>
            </w:r>
          </w:p>
        </w:tc>
        <w:tc>
          <w:tcPr>
            <w:tcW w:w="10522" w:type="dxa"/>
            <w:gridSpan w:val="7"/>
          </w:tcPr>
          <w:p w:rsidR="0088168D" w:rsidRPr="001C00A6" w:rsidRDefault="001C00A6" w:rsidP="00045E0D">
            <w:pPr>
              <w:spacing w:after="120"/>
              <w:jc w:val="both"/>
            </w:pPr>
            <w:r>
              <w:t>Gambaran umum tentang hermeneutika Alqur’an, Hermeneutika sebagai metode penafsiran, Hermeneutika sebagai disiplin ilmu pengetahuan; Ontologi, Epistemologi dan Aksiologi, Hermeneutika sebagai produk penafsiran, Hermeneutika Alqur’an di Indonesia ; sejarah dan diskursus keislaman, Alqur’an sebagai teks hermeneutik (Mushaf Alqur’an), Hermeneutika ayat-ayat Eskatologi dalam Alqur’an, Hermeneutika ayat-ayat kisah dalam Alqur’an, Hermeneutika dan Ilmu-ilmu Alqur’an, Hermeneutika dan Asbabun Nuzul, Hermeneutika al Makky dan al Madaniy, Pro Kontra hermeneutika Alqur’an, Hermeneutika Kitab-kitab Tafsir berbahasa etnis lokal</w:t>
            </w:r>
          </w:p>
        </w:tc>
      </w:tr>
      <w:tr w:rsidR="00290540" w:rsidRPr="00EA292E" w:rsidTr="00AF3B44">
        <w:trPr>
          <w:jc w:val="center"/>
        </w:trPr>
        <w:tc>
          <w:tcPr>
            <w:tcW w:w="2978" w:type="dxa"/>
            <w:gridSpan w:val="2"/>
          </w:tcPr>
          <w:p w:rsidR="00290540" w:rsidRPr="00844363" w:rsidRDefault="00290540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844363">
              <w:rPr>
                <w:rFonts w:asciiTheme="majorBidi" w:hAnsiTheme="majorBidi" w:cstheme="majorBidi"/>
                <w:sz w:val="22"/>
              </w:rPr>
              <w:t>Pustaka</w:t>
            </w:r>
          </w:p>
        </w:tc>
        <w:tc>
          <w:tcPr>
            <w:tcW w:w="10522" w:type="dxa"/>
            <w:gridSpan w:val="7"/>
          </w:tcPr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Kaidah Tafsir</w:t>
            </w:r>
            <w:r w:rsidRPr="00155429">
              <w:rPr>
                <w:rFonts w:asciiTheme="majorBidi" w:hAnsiTheme="majorBidi" w:cstheme="majorBidi"/>
              </w:rPr>
              <w:t>, M. Quraish Shihab, Tangerang;Lentera Hati, 2013, cet.I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Memahami Bahasa Agama; Sebuah Kajian Hermeneutika</w:t>
            </w:r>
            <w:r w:rsidRPr="00155429">
              <w:rPr>
                <w:rFonts w:asciiTheme="majorBidi" w:hAnsiTheme="majorBidi" w:cstheme="majorBidi"/>
              </w:rPr>
              <w:t>, Komaruddin Hidayat, Bandung; Mizan, 2011, Ed. Baru, Cet.I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 xml:space="preserve">Seni Memahami; Hermeneutik dari Schleiermacher sampai Derrida, </w:t>
            </w:r>
            <w:r w:rsidRPr="00155429">
              <w:rPr>
                <w:rFonts w:asciiTheme="majorBidi" w:hAnsiTheme="majorBidi" w:cstheme="majorBidi"/>
              </w:rPr>
              <w:t>F. Budi Hardiman, Yogyakarta ; Penerbit PT Kanisius,2015 Cet. 9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Hermeneutika dan Pengembangan Ulumul Qur’an,</w:t>
            </w:r>
            <w:r w:rsidRPr="00155429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Sahiron Syamsuddin, Yogyakarta: Pesantren Nawesea Press, 2009.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Metodologi Ilmu Tafsir dan Aplikasi Model Penafsiran</w:t>
            </w:r>
            <w:r w:rsidRPr="00155429">
              <w:rPr>
                <w:rFonts w:asciiTheme="majorBidi" w:hAnsiTheme="majorBidi" w:cstheme="majorBidi"/>
              </w:rPr>
              <w:t>, Dr. Rohimin, M.Ag, Yogyakarta; Pustaka Pelajar,2007, cet.I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Orientalis dan Diabolisme Pemikiran</w:t>
            </w:r>
            <w:r w:rsidRPr="00155429">
              <w:rPr>
                <w:rFonts w:asciiTheme="majorBidi" w:hAnsiTheme="majorBidi" w:cstheme="majorBidi"/>
              </w:rPr>
              <w:t>, Dr. Syamsuddin Arif, Depok; Gema Insani, 2008, cet.I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Hermeneutika Qur’ani ;Antara Teks, Konteks dan Kontekstualisasi</w:t>
            </w:r>
            <w:r w:rsidRPr="00155429">
              <w:rPr>
                <w:rFonts w:asciiTheme="majorBidi" w:hAnsiTheme="majorBidi" w:cstheme="majorBidi"/>
              </w:rPr>
              <w:t>, Fahruddin Faiz,Yogyakarta; Penerbit Qalam, 2002, cet.II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 xml:space="preserve">Hermeneutika Alqur’an; Tema-Tema Kontroversial, </w:t>
            </w:r>
            <w:r w:rsidRPr="00155429">
              <w:rPr>
                <w:rFonts w:asciiTheme="majorBidi" w:hAnsiTheme="majorBidi" w:cstheme="majorBidi"/>
              </w:rPr>
              <w:t>Fahruddin Faiz, Yogyakarta; eLSAQ Press, 2005, Cet.I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al-Itqan Fi Ulum al-Quran</w:t>
            </w:r>
            <w:r>
              <w:rPr>
                <w:rFonts w:asciiTheme="majorBidi" w:hAnsiTheme="majorBidi" w:cstheme="majorBidi"/>
              </w:rPr>
              <w:t>, Assuyuthi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Mabahits fi Ulum al-Qur’an</w:t>
            </w:r>
            <w:r>
              <w:rPr>
                <w:rFonts w:asciiTheme="majorBidi" w:hAnsiTheme="majorBidi" w:cstheme="majorBidi"/>
              </w:rPr>
              <w:t>, Manna’ Khalil al-Qatthan</w:t>
            </w:r>
            <w:r w:rsidR="00EE1B40" w:rsidRPr="00155429">
              <w:rPr>
                <w:rFonts w:asciiTheme="majorBidi" w:hAnsiTheme="majorBidi" w:cstheme="majorBidi"/>
              </w:rPr>
              <w:t>, Beirut: Mansyurah al-Risalah, 1981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Mabahits fi Ulum al-Qur’an</w:t>
            </w:r>
            <w:r>
              <w:rPr>
                <w:rFonts w:asciiTheme="majorBidi" w:hAnsiTheme="majorBidi" w:cstheme="majorBidi"/>
              </w:rPr>
              <w:t>, Subhi al-Shalih</w:t>
            </w:r>
            <w:r w:rsidR="003D50BB" w:rsidRPr="00155429">
              <w:rPr>
                <w:rFonts w:asciiTheme="majorBidi" w:hAnsiTheme="majorBidi" w:cstheme="majorBidi"/>
                <w:i/>
                <w:iCs/>
              </w:rPr>
              <w:t>,</w:t>
            </w:r>
            <w:r w:rsidR="003D50BB" w:rsidRPr="00155429">
              <w:rPr>
                <w:rFonts w:asciiTheme="majorBidi" w:hAnsiTheme="majorBidi" w:cstheme="majorBidi"/>
              </w:rPr>
              <w:t xml:space="preserve"> Beirut: Mansyurah al-Risalah, 1981</w:t>
            </w:r>
          </w:p>
          <w:p w:rsidR="00155429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al-Tibyan fi Ulum al-Qur’an</w:t>
            </w:r>
            <w:r>
              <w:rPr>
                <w:rFonts w:asciiTheme="majorBidi" w:hAnsiTheme="majorBidi" w:cstheme="majorBidi"/>
              </w:rPr>
              <w:t>, Muhammad Ali al-Shabuny</w:t>
            </w:r>
            <w:r w:rsidR="003D50BB" w:rsidRPr="00155429">
              <w:rPr>
                <w:rFonts w:asciiTheme="majorBidi" w:hAnsiTheme="majorBidi" w:cstheme="majorBidi"/>
              </w:rPr>
              <w:t>, Jakarta: al-Ma’arif, 1982</w:t>
            </w:r>
          </w:p>
          <w:p w:rsidR="00290540" w:rsidRPr="00155429" w:rsidRDefault="00155429" w:rsidP="00EA4530">
            <w:pPr>
              <w:pStyle w:val="ListParagraph"/>
              <w:numPr>
                <w:ilvl w:val="0"/>
                <w:numId w:val="3"/>
              </w:numPr>
              <w:ind w:left="508" w:hanging="508"/>
              <w:jc w:val="both"/>
              <w:rPr>
                <w:rFonts w:asciiTheme="majorBidi" w:hAnsiTheme="majorBidi" w:cstheme="majorBidi"/>
              </w:rPr>
            </w:pPr>
            <w:r w:rsidRPr="00155429">
              <w:rPr>
                <w:rFonts w:asciiTheme="majorBidi" w:hAnsiTheme="majorBidi" w:cstheme="majorBidi"/>
                <w:i/>
                <w:iCs/>
              </w:rPr>
              <w:t>Mukjizat al-Qur’an</w:t>
            </w:r>
            <w:r>
              <w:rPr>
                <w:rFonts w:asciiTheme="majorBidi" w:hAnsiTheme="majorBidi" w:cstheme="majorBidi"/>
              </w:rPr>
              <w:t>, M. Quraish Shihab</w:t>
            </w:r>
            <w:r w:rsidR="003D50BB" w:rsidRPr="00155429">
              <w:rPr>
                <w:rFonts w:asciiTheme="majorBidi" w:hAnsiTheme="majorBidi" w:cstheme="majorBidi"/>
              </w:rPr>
              <w:t>, Bandung: Mizan, 1997</w:t>
            </w:r>
          </w:p>
        </w:tc>
      </w:tr>
      <w:tr w:rsidR="00290540" w:rsidRPr="00EA292E" w:rsidTr="00AF3B44">
        <w:trPr>
          <w:jc w:val="center"/>
        </w:trPr>
        <w:tc>
          <w:tcPr>
            <w:tcW w:w="2978" w:type="dxa"/>
            <w:gridSpan w:val="2"/>
          </w:tcPr>
          <w:p w:rsidR="00290540" w:rsidRPr="00844363" w:rsidRDefault="00290540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522" w:type="dxa"/>
            <w:gridSpan w:val="7"/>
          </w:tcPr>
          <w:p w:rsidR="00290540" w:rsidRPr="00844363" w:rsidRDefault="0088168D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>M</w:t>
            </w:r>
            <w:r w:rsidR="00CC177B" w:rsidRPr="00844363">
              <w:rPr>
                <w:rFonts w:asciiTheme="majorBidi" w:hAnsiTheme="majorBidi" w:cstheme="majorBidi"/>
                <w:szCs w:val="24"/>
              </w:rPr>
              <w:t xml:space="preserve">edia </w:t>
            </w:r>
            <w:r w:rsidR="00045E0D">
              <w:rPr>
                <w:rFonts w:asciiTheme="majorBidi" w:hAnsiTheme="majorBidi" w:cstheme="majorBidi"/>
                <w:szCs w:val="24"/>
              </w:rPr>
              <w:t>Pembelajaran d</w:t>
            </w:r>
            <w:r w:rsidR="00045E0D" w:rsidRPr="00844363">
              <w:rPr>
                <w:rFonts w:asciiTheme="majorBidi" w:hAnsiTheme="majorBidi" w:cstheme="majorBidi"/>
                <w:szCs w:val="24"/>
              </w:rPr>
              <w:t>alam Mata Kuliah Ini Adalah Laptop, Infocus, Layar Infocus.</w:t>
            </w:r>
          </w:p>
        </w:tc>
      </w:tr>
      <w:tr w:rsidR="00CC177B" w:rsidRPr="00EA292E" w:rsidTr="00AF3B44">
        <w:trPr>
          <w:jc w:val="center"/>
        </w:trPr>
        <w:tc>
          <w:tcPr>
            <w:tcW w:w="2978" w:type="dxa"/>
            <w:gridSpan w:val="2"/>
          </w:tcPr>
          <w:p w:rsidR="00CC177B" w:rsidRPr="00844363" w:rsidRDefault="00CC177B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>Dosen/ Team Teaching</w:t>
            </w:r>
          </w:p>
        </w:tc>
        <w:tc>
          <w:tcPr>
            <w:tcW w:w="10522" w:type="dxa"/>
            <w:gridSpan w:val="7"/>
          </w:tcPr>
          <w:p w:rsidR="00CC177B" w:rsidRPr="00844363" w:rsidRDefault="00AF3B44" w:rsidP="00237C2B">
            <w:pPr>
              <w:rPr>
                <w:rFonts w:asciiTheme="majorBidi" w:hAnsiTheme="majorBidi" w:cstheme="majorBidi"/>
                <w:noProof/>
                <w:szCs w:val="24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>Prof. Dr. Rohimin, M.Ag</w:t>
            </w:r>
          </w:p>
        </w:tc>
      </w:tr>
      <w:tr w:rsidR="00CC177B" w:rsidRPr="00EA292E" w:rsidTr="00AF3B44">
        <w:trPr>
          <w:jc w:val="center"/>
        </w:trPr>
        <w:tc>
          <w:tcPr>
            <w:tcW w:w="2978" w:type="dxa"/>
            <w:gridSpan w:val="2"/>
          </w:tcPr>
          <w:p w:rsidR="00CC177B" w:rsidRPr="00844363" w:rsidRDefault="00CC177B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844363"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522" w:type="dxa"/>
            <w:gridSpan w:val="7"/>
          </w:tcPr>
          <w:p w:rsidR="00CC177B" w:rsidRPr="00844363" w:rsidRDefault="0076282B" w:rsidP="00DC1DB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</w:tbl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471" w:type="dxa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418"/>
        <w:gridCol w:w="1842"/>
        <w:gridCol w:w="1701"/>
        <w:gridCol w:w="284"/>
        <w:gridCol w:w="2360"/>
        <w:gridCol w:w="1755"/>
      </w:tblGrid>
      <w:tr w:rsidR="00D7222B" w:rsidTr="00885A4D">
        <w:tc>
          <w:tcPr>
            <w:tcW w:w="993" w:type="dxa"/>
            <w:shd w:val="clear" w:color="auto" w:fill="C6D9F1" w:themeFill="text2" w:themeFillTint="33"/>
            <w:vAlign w:val="center"/>
          </w:tcPr>
          <w:p w:rsidR="0093149C" w:rsidRPr="00844363" w:rsidRDefault="005805BE" w:rsidP="00844363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44363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844363" w:rsidRDefault="005805BE" w:rsidP="00844363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44363">
              <w:rPr>
                <w:rFonts w:asciiTheme="minorBidi" w:hAnsiTheme="minorBidi"/>
                <w:b/>
                <w:bCs/>
                <w:sz w:val="22"/>
              </w:rPr>
              <w:t>Ke-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5805BE" w:rsidRPr="00844363" w:rsidRDefault="005805BE" w:rsidP="00844363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844363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844363" w:rsidRDefault="005805BE" w:rsidP="00844363">
            <w:pPr>
              <w:jc w:val="center"/>
              <w:rPr>
                <w:rFonts w:asciiTheme="minorBidi" w:hAnsiTheme="minorBidi"/>
                <w:sz w:val="22"/>
              </w:rPr>
            </w:pPr>
            <w:r w:rsidRPr="00844363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5805BE" w:rsidRPr="00844363" w:rsidRDefault="005805BE" w:rsidP="00844363">
            <w:pPr>
              <w:jc w:val="center"/>
              <w:rPr>
                <w:rFonts w:asciiTheme="minorBidi" w:hAnsiTheme="minorBidi"/>
                <w:sz w:val="22"/>
              </w:rPr>
            </w:pPr>
            <w:r w:rsidRPr="00844363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5805BE" w:rsidRPr="00844363" w:rsidRDefault="005805BE" w:rsidP="0084436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844363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805BE" w:rsidRPr="00844363" w:rsidRDefault="0093149C" w:rsidP="0084436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844363">
              <w:rPr>
                <w:rFonts w:asciiTheme="minorBidi" w:hAnsiTheme="minorBidi"/>
                <w:b/>
                <w:sz w:val="22"/>
              </w:rPr>
              <w:t xml:space="preserve">Bentuk dan </w:t>
            </w:r>
            <w:r w:rsidR="005805BE" w:rsidRPr="00844363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644" w:type="dxa"/>
            <w:gridSpan w:val="2"/>
            <w:shd w:val="clear" w:color="auto" w:fill="C6D9F1" w:themeFill="text2" w:themeFillTint="33"/>
            <w:vAlign w:val="center"/>
          </w:tcPr>
          <w:p w:rsidR="005805BE" w:rsidRPr="00844363" w:rsidRDefault="005805BE" w:rsidP="00844363">
            <w:pPr>
              <w:jc w:val="center"/>
              <w:rPr>
                <w:rFonts w:asciiTheme="minorBidi" w:hAnsiTheme="minorBidi"/>
                <w:sz w:val="22"/>
              </w:rPr>
            </w:pPr>
            <w:r w:rsidRPr="00844363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755" w:type="dxa"/>
            <w:shd w:val="clear" w:color="auto" w:fill="C6D9F1" w:themeFill="text2" w:themeFillTint="33"/>
            <w:vAlign w:val="center"/>
          </w:tcPr>
          <w:p w:rsidR="005805BE" w:rsidRPr="00844363" w:rsidRDefault="005805BE" w:rsidP="0084436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844363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BB3C70" w:rsidRDefault="00BB3C7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118" w:type="dxa"/>
          </w:tcPr>
          <w:p w:rsidR="00BB3C70" w:rsidRPr="00D27516" w:rsidRDefault="00BB3C70" w:rsidP="00903FBF">
            <w:r w:rsidRPr="00D27516">
              <w:t>Pengantar perkuliahan</w:t>
            </w:r>
          </w:p>
        </w:tc>
        <w:tc>
          <w:tcPr>
            <w:tcW w:w="1418" w:type="dxa"/>
          </w:tcPr>
          <w:p w:rsidR="00BB3C70" w:rsidRDefault="00595014" w:rsidP="0059501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BB3C70" w:rsidRDefault="00BB3C7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BB3C70" w:rsidRDefault="00BB3C7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BB3C70" w:rsidRDefault="00BB3C7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BB3C70" w:rsidRPr="00D27516" w:rsidRDefault="00BB3C70" w:rsidP="00BB3C70">
            <w:pPr>
              <w:jc w:val="both"/>
            </w:pPr>
            <w:r>
              <w:t>Pengantar mata kuliah</w:t>
            </w:r>
          </w:p>
        </w:tc>
        <w:tc>
          <w:tcPr>
            <w:tcW w:w="1755" w:type="dxa"/>
          </w:tcPr>
          <w:p w:rsidR="00BB3C70" w:rsidRDefault="00BB3C7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BB3C70" w:rsidRDefault="00BB3C7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BB3C70" w:rsidRDefault="00BB3C7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BB3C70" w:rsidRDefault="00BB3C7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118" w:type="dxa"/>
          </w:tcPr>
          <w:p w:rsidR="00AF3B44" w:rsidRDefault="007161A0" w:rsidP="00AF3B44">
            <w:r>
              <w:t xml:space="preserve">Memahami </w:t>
            </w:r>
            <w:r w:rsidR="00AF3B44">
              <w:t xml:space="preserve">Gambaran umum tentang hermeneutika Alqur’an </w:t>
            </w:r>
          </w:p>
          <w:p w:rsidR="007161A0" w:rsidRPr="00D27516" w:rsidRDefault="007161A0" w:rsidP="001E08DF"/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7161A0" w:rsidRPr="00D27516" w:rsidRDefault="00D7222B" w:rsidP="00045E0D">
            <w:r>
              <w:t xml:space="preserve">Gambaran umum tentang hermeneutika Alqur’an </w:t>
            </w:r>
          </w:p>
        </w:tc>
        <w:tc>
          <w:tcPr>
            <w:tcW w:w="1755" w:type="dxa"/>
          </w:tcPr>
          <w:p w:rsidR="007161A0" w:rsidRDefault="007161A0" w:rsidP="00BB3C7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BB3C7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BB3C7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BB3C7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118" w:type="dxa"/>
          </w:tcPr>
          <w:p w:rsidR="00AF3B44" w:rsidRDefault="007161A0" w:rsidP="00AF3B44">
            <w:r w:rsidRPr="00175759">
              <w:t xml:space="preserve">Memahami </w:t>
            </w:r>
            <w:r w:rsidR="00AF3B44">
              <w:t>Hermeneutika sebagai metode penafsiran</w:t>
            </w:r>
          </w:p>
          <w:p w:rsidR="007161A0" w:rsidRPr="00D27516" w:rsidRDefault="007161A0" w:rsidP="001E08DF">
            <w:pPr>
              <w:jc w:val="lowKashida"/>
            </w:pPr>
          </w:p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D7222B" w:rsidRDefault="00D7222B" w:rsidP="00D7222B">
            <w:r>
              <w:t>Hermeneutika sebagai metode penafsiran</w:t>
            </w:r>
          </w:p>
          <w:p w:rsidR="007161A0" w:rsidRPr="00D27516" w:rsidRDefault="007161A0" w:rsidP="001E08DF"/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rPr>
          <w:trHeight w:val="1397"/>
        </w:trPr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18" w:type="dxa"/>
          </w:tcPr>
          <w:p w:rsidR="007161A0" w:rsidRPr="00D27516" w:rsidRDefault="007161A0" w:rsidP="00885A4D">
            <w:r w:rsidRPr="00D27516">
              <w:t xml:space="preserve">Memahami </w:t>
            </w:r>
            <w:r w:rsidR="00AF3B44">
              <w:t>Hermeneutika sebagai disiplin ilmu pengetahuan; Ontologi, Epistemologi dan Aksiologi</w:t>
            </w:r>
          </w:p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7161A0" w:rsidRPr="00D27516" w:rsidRDefault="00D7222B" w:rsidP="00AF3B44">
            <w:r>
              <w:t>Hermeneutika sebagai disiplin ilmu pengetahuan; Ontologi, Epistemologi dan Aksiologi</w:t>
            </w:r>
          </w:p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118" w:type="dxa"/>
          </w:tcPr>
          <w:p w:rsidR="00AF3B44" w:rsidRDefault="007161A0" w:rsidP="00AF3B44">
            <w:r w:rsidRPr="00D27516">
              <w:t>Memahami</w:t>
            </w:r>
            <w:r>
              <w:t xml:space="preserve"> </w:t>
            </w:r>
            <w:r w:rsidR="00AF3B44">
              <w:t>Hermeneutika sebagai produk penafsiran</w:t>
            </w:r>
          </w:p>
          <w:p w:rsidR="007161A0" w:rsidRPr="005A7E28" w:rsidRDefault="007161A0" w:rsidP="001E08DF"/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7161A0" w:rsidRPr="005A7E28" w:rsidRDefault="00D7222B" w:rsidP="00AF3B44">
            <w:r>
              <w:t>Hermeneutika sebagai produk penafsiran</w:t>
            </w:r>
          </w:p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118" w:type="dxa"/>
          </w:tcPr>
          <w:p w:rsidR="007161A0" w:rsidRPr="00D27516" w:rsidRDefault="007161A0" w:rsidP="00885A4D">
            <w:r w:rsidRPr="00D27516">
              <w:t xml:space="preserve">Memahami </w:t>
            </w:r>
            <w:r w:rsidR="00AF3B44">
              <w:t>Hermeneutika Alqur’an di Indonesia ; sejarah dan diskursus keislaman</w:t>
            </w:r>
          </w:p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7161A0" w:rsidRPr="00D27516" w:rsidRDefault="00D7222B" w:rsidP="00AF3B44">
            <w:r>
              <w:t>Hermeneutika Alqur’an di Indonesia ; sejarah dan diskursus keislaman</w:t>
            </w:r>
          </w:p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3118" w:type="dxa"/>
          </w:tcPr>
          <w:p w:rsidR="00AF3B44" w:rsidRDefault="007161A0" w:rsidP="00AF3B44">
            <w:r>
              <w:t xml:space="preserve">Memahami </w:t>
            </w:r>
            <w:r w:rsidR="00AF3B44">
              <w:t>Alqur’an sebagai teks hermeneutik (Mushaf Alqur’an)</w:t>
            </w:r>
          </w:p>
          <w:p w:rsidR="007161A0" w:rsidRPr="00D27516" w:rsidRDefault="007161A0" w:rsidP="001E08DF">
            <w:pPr>
              <w:jc w:val="lowKashida"/>
            </w:pPr>
          </w:p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701" w:type="dxa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644" w:type="dxa"/>
            <w:gridSpan w:val="2"/>
          </w:tcPr>
          <w:p w:rsidR="00D7222B" w:rsidRDefault="00D7222B" w:rsidP="00D7222B">
            <w:r>
              <w:t>Alqur’an sebagai teks hermeneutik (Mushaf Alqur’an)</w:t>
            </w:r>
          </w:p>
          <w:p w:rsidR="007161A0" w:rsidRPr="00D27516" w:rsidRDefault="007161A0" w:rsidP="001E08DF"/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595014" w:rsidTr="00844363">
        <w:tc>
          <w:tcPr>
            <w:tcW w:w="993" w:type="dxa"/>
            <w:shd w:val="clear" w:color="auto" w:fill="DBE5F1" w:themeFill="accent1" w:themeFillTint="33"/>
            <w:vAlign w:val="center"/>
          </w:tcPr>
          <w:p w:rsidR="00595014" w:rsidRDefault="00595014" w:rsidP="00844363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0723" w:type="dxa"/>
            <w:gridSpan w:val="6"/>
            <w:shd w:val="clear" w:color="auto" w:fill="DBE5F1" w:themeFill="accent1" w:themeFillTint="33"/>
          </w:tcPr>
          <w:p w:rsidR="00595014" w:rsidRDefault="00595014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755" w:type="dxa"/>
            <w:shd w:val="clear" w:color="auto" w:fill="DBE5F1" w:themeFill="accent1" w:themeFillTint="33"/>
          </w:tcPr>
          <w:p w:rsidR="00595014" w:rsidRDefault="00595014">
            <w:pPr>
              <w:rPr>
                <w:rFonts w:cs="Times New Roman"/>
                <w:sz w:val="22"/>
              </w:rPr>
            </w:pP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3118" w:type="dxa"/>
          </w:tcPr>
          <w:p w:rsidR="00AF3B44" w:rsidRDefault="00DE00C5" w:rsidP="00AF3B44">
            <w:r w:rsidRPr="00D27516">
              <w:t xml:space="preserve">Memahami </w:t>
            </w:r>
            <w:r w:rsidR="00AF3B44">
              <w:t>Hermeneutika ayat-ayat Eskatologi dalam Alqur’an</w:t>
            </w:r>
          </w:p>
          <w:p w:rsidR="00DE00C5" w:rsidRPr="00D27516" w:rsidRDefault="00DE00C5" w:rsidP="001E08DF"/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AF3B44" w:rsidRDefault="00AF3B44" w:rsidP="00AF3B44">
            <w:r>
              <w:t>Hermeneutika ayat-ayat Eskatologi dalam Alqur’an</w:t>
            </w:r>
          </w:p>
          <w:p w:rsidR="00DE00C5" w:rsidRPr="00D27516" w:rsidRDefault="00DE00C5" w:rsidP="001E08DF"/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3118" w:type="dxa"/>
          </w:tcPr>
          <w:p w:rsidR="00AF3B44" w:rsidRDefault="00DE00C5" w:rsidP="00AF3B44">
            <w:r w:rsidRPr="00D27516">
              <w:t xml:space="preserve">Memahami </w:t>
            </w:r>
            <w:r w:rsidR="00AF3B44">
              <w:t>Hermeneutika ayat-ayat kisah dalam Alqur’an</w:t>
            </w:r>
          </w:p>
          <w:p w:rsidR="00DE00C5" w:rsidRPr="00D27516" w:rsidRDefault="00DE00C5" w:rsidP="001E08DF">
            <w:pPr>
              <w:ind w:left="44"/>
              <w:jc w:val="lowKashida"/>
            </w:pPr>
          </w:p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AF3B44" w:rsidRDefault="00AF3B44" w:rsidP="00AF3B44">
            <w:r>
              <w:t>Hermeneutika ayat-ayat kisah dalam Alqur’an</w:t>
            </w:r>
          </w:p>
          <w:p w:rsidR="00DE00C5" w:rsidRPr="00D27516" w:rsidRDefault="00DE00C5" w:rsidP="001E08DF"/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3118" w:type="dxa"/>
          </w:tcPr>
          <w:p w:rsidR="00AF3B44" w:rsidRDefault="00DE00C5" w:rsidP="00AF3B44">
            <w:r w:rsidRPr="00D27516">
              <w:t xml:space="preserve">Memahami </w:t>
            </w:r>
            <w:r w:rsidR="00AF3B44">
              <w:t>Hermeneutika dan Ilmu-ilmu Alqur’an</w:t>
            </w:r>
          </w:p>
          <w:p w:rsidR="00DE00C5" w:rsidRPr="00D27516" w:rsidRDefault="00DE00C5" w:rsidP="001E08DF">
            <w:pPr>
              <w:jc w:val="lowKashida"/>
            </w:pPr>
          </w:p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AF3B44" w:rsidRDefault="00AF3B44" w:rsidP="00AF3B44">
            <w:r>
              <w:t>Hermeneutika dan Ilmu-ilmu Alqur’an</w:t>
            </w:r>
          </w:p>
          <w:p w:rsidR="00DE00C5" w:rsidRPr="00D27516" w:rsidRDefault="00DE00C5" w:rsidP="001E08DF"/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3118" w:type="dxa"/>
          </w:tcPr>
          <w:p w:rsidR="00AF3B44" w:rsidRDefault="00DE00C5" w:rsidP="00AF3B44">
            <w:r w:rsidRPr="00D27516">
              <w:t xml:space="preserve">Memahami </w:t>
            </w:r>
            <w:r w:rsidR="00AF3B44">
              <w:t>Hermeneutika dan Asbabun Nuzul</w:t>
            </w:r>
          </w:p>
          <w:p w:rsidR="00DE00C5" w:rsidRPr="00D27516" w:rsidRDefault="00DE00C5" w:rsidP="001E08DF">
            <w:pPr>
              <w:jc w:val="lowKashida"/>
            </w:pPr>
          </w:p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AF3B44" w:rsidRDefault="00AF3B44" w:rsidP="00AF3B44">
            <w:r>
              <w:t>Hermeneutika dan Asbabun Nuzul</w:t>
            </w:r>
          </w:p>
          <w:p w:rsidR="00DE00C5" w:rsidRPr="00D27516" w:rsidRDefault="00DE00C5" w:rsidP="001E08DF"/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3118" w:type="dxa"/>
          </w:tcPr>
          <w:p w:rsidR="00AF3B44" w:rsidRDefault="00DE00C5" w:rsidP="00AF3B44">
            <w:r w:rsidRPr="00D27516">
              <w:t xml:space="preserve">Memahami </w:t>
            </w:r>
            <w:r w:rsidR="00AF3B44">
              <w:t>Hermeneutika al Makky dan al Madaniy</w:t>
            </w:r>
          </w:p>
          <w:p w:rsidR="00DE00C5" w:rsidRPr="00D27516" w:rsidRDefault="00DE00C5" w:rsidP="001E08DF">
            <w:pPr>
              <w:jc w:val="lowKashida"/>
            </w:pPr>
          </w:p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DE00C5" w:rsidRPr="00D27516" w:rsidRDefault="00AF3B44" w:rsidP="00045E0D">
            <w:r>
              <w:t>Hermeneutika al Makky dan al Madaniy</w:t>
            </w:r>
          </w:p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DE00C5" w:rsidRDefault="00DE00C5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3118" w:type="dxa"/>
          </w:tcPr>
          <w:p w:rsidR="00AF3B44" w:rsidRDefault="00DE00C5" w:rsidP="00AF3B44">
            <w:r>
              <w:t xml:space="preserve">Memahami </w:t>
            </w:r>
            <w:r w:rsidR="00AF3B44">
              <w:t xml:space="preserve">Pro Kontra hermeneutika Alqur’an </w:t>
            </w:r>
          </w:p>
          <w:p w:rsidR="00DE00C5" w:rsidRPr="00D27516" w:rsidRDefault="00DE00C5" w:rsidP="001E08DF">
            <w:pPr>
              <w:jc w:val="lowKashida"/>
            </w:pPr>
          </w:p>
        </w:tc>
        <w:tc>
          <w:tcPr>
            <w:tcW w:w="1418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DE00C5" w:rsidRDefault="00DE00C5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DE00C5" w:rsidRDefault="00DE00C5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DE00C5" w:rsidRPr="00D27516" w:rsidRDefault="00AF3B44" w:rsidP="00AF3B44">
            <w:r>
              <w:t xml:space="preserve">Pro Kontra hermeneutika Alqur’an </w:t>
            </w:r>
          </w:p>
        </w:tc>
        <w:tc>
          <w:tcPr>
            <w:tcW w:w="1755" w:type="dxa"/>
          </w:tcPr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DE00C5" w:rsidRDefault="00DE00C5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D7222B" w:rsidTr="00885A4D">
        <w:tc>
          <w:tcPr>
            <w:tcW w:w="993" w:type="dxa"/>
            <w:vAlign w:val="center"/>
          </w:tcPr>
          <w:p w:rsidR="007161A0" w:rsidRDefault="007161A0" w:rsidP="008443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3118" w:type="dxa"/>
          </w:tcPr>
          <w:p w:rsidR="00AF3B44" w:rsidRDefault="007161A0" w:rsidP="00AF3B44">
            <w:r w:rsidRPr="00D27516">
              <w:t xml:space="preserve">Memahami </w:t>
            </w:r>
            <w:r w:rsidR="00AF3B44">
              <w:t>Hermeneutika Kitab-kitab Tafsir berbahasa etnis lokal</w:t>
            </w:r>
          </w:p>
          <w:p w:rsidR="007161A0" w:rsidRPr="00D27516" w:rsidRDefault="007161A0" w:rsidP="001E08DF"/>
        </w:tc>
        <w:tc>
          <w:tcPr>
            <w:tcW w:w="1418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menjelaskan materi</w:t>
            </w:r>
          </w:p>
        </w:tc>
        <w:tc>
          <w:tcPr>
            <w:tcW w:w="1842" w:type="dxa"/>
          </w:tcPr>
          <w:p w:rsidR="007161A0" w:rsidRDefault="007161A0" w:rsidP="00B217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dan tugas</w:t>
            </w:r>
          </w:p>
        </w:tc>
        <w:tc>
          <w:tcPr>
            <w:tcW w:w="1985" w:type="dxa"/>
            <w:gridSpan w:val="2"/>
          </w:tcPr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Diskusi, ceramah</w:t>
            </w:r>
          </w:p>
          <w:p w:rsidR="007161A0" w:rsidRDefault="007161A0" w:rsidP="006A227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 menit</w:t>
            </w:r>
          </w:p>
        </w:tc>
        <w:tc>
          <w:tcPr>
            <w:tcW w:w="2360" w:type="dxa"/>
          </w:tcPr>
          <w:p w:rsidR="007161A0" w:rsidRPr="00D27516" w:rsidRDefault="00AF3B44" w:rsidP="00045E0D">
            <w:r>
              <w:t>Hermeneutika Kitab-kitab Tafsir berbahasa etnis lokal</w:t>
            </w:r>
          </w:p>
        </w:tc>
        <w:tc>
          <w:tcPr>
            <w:tcW w:w="1755" w:type="dxa"/>
          </w:tcPr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 10%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Tugas 20%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UTS 30%</w:t>
            </w:r>
          </w:p>
          <w:p w:rsidR="007161A0" w:rsidRDefault="007161A0" w:rsidP="00903FB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UAS 40%</w:t>
            </w:r>
          </w:p>
        </w:tc>
      </w:tr>
      <w:tr w:rsidR="00595014" w:rsidTr="00844363">
        <w:tc>
          <w:tcPr>
            <w:tcW w:w="993" w:type="dxa"/>
            <w:shd w:val="clear" w:color="auto" w:fill="DBE5F1" w:themeFill="accent1" w:themeFillTint="33"/>
            <w:vAlign w:val="center"/>
          </w:tcPr>
          <w:p w:rsidR="00595014" w:rsidRDefault="00595014" w:rsidP="00844363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478" w:type="dxa"/>
            <w:gridSpan w:val="7"/>
            <w:shd w:val="clear" w:color="auto" w:fill="DBE5F1" w:themeFill="accent1" w:themeFillTint="33"/>
          </w:tcPr>
          <w:p w:rsidR="00595014" w:rsidRDefault="00595014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EA4530" w:rsidRDefault="00EA453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885A4D" w:rsidRDefault="00885A4D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885A4D" w:rsidRDefault="00885A4D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93149C" w:rsidRPr="009333FF" w:rsidRDefault="0093149C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Cs w:val="24"/>
        </w:rPr>
      </w:pPr>
      <w:r w:rsidRPr="009333FF">
        <w:rPr>
          <w:rFonts w:ascii="Calibri" w:hAnsi="Calibri"/>
          <w:b/>
          <w:szCs w:val="24"/>
          <w:u w:val="single"/>
        </w:rPr>
        <w:lastRenderedPageBreak/>
        <w:t>Catatan</w:t>
      </w:r>
      <w:r w:rsidRPr="009333FF">
        <w:rPr>
          <w:rFonts w:ascii="Calibri" w:hAnsi="Calibri"/>
          <w:b/>
          <w:szCs w:val="24"/>
        </w:rPr>
        <w:t xml:space="preserve"> :</w:t>
      </w:r>
    </w:p>
    <w:p w:rsidR="0093149C" w:rsidRPr="0071505C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</w:t>
      </w:r>
      <w:r w:rsidRPr="00997F04">
        <w:rPr>
          <w:rFonts w:asciiTheme="minorHAnsi" w:hAnsiTheme="minorHAnsi"/>
          <w:b/>
          <w:iCs/>
          <w:kern w:val="28"/>
          <w:sz w:val="22"/>
        </w:rPr>
        <w:t>apaian</w:t>
      </w:r>
      <w:r>
        <w:rPr>
          <w:rFonts w:asciiTheme="minorHAnsi" w:hAnsiTheme="minorHAnsi"/>
          <w:b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/>
          <w:iCs/>
          <w:kern w:val="28"/>
          <w:sz w:val="22"/>
        </w:rPr>
        <w:t>P</w:t>
      </w:r>
      <w:r w:rsidRPr="00997F04">
        <w:rPr>
          <w:rFonts w:asciiTheme="minorHAnsi" w:hAnsiTheme="minorHAnsi"/>
          <w:b/>
          <w:iCs/>
          <w:kern w:val="28"/>
          <w:sz w:val="22"/>
        </w:rPr>
        <w:t>embelajaran</w:t>
      </w:r>
      <w:r>
        <w:rPr>
          <w:rFonts w:asciiTheme="minorHAnsi" w:hAnsiTheme="minorHAnsi"/>
          <w:b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/>
          <w:iCs/>
          <w:kern w:val="28"/>
          <w:sz w:val="22"/>
        </w:rPr>
        <w:t>Lulusan PRODI (CPL-PRODI)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</w:t>
      </w:r>
      <w:r>
        <w:rPr>
          <w:rFonts w:asciiTheme="minorHAnsi" w:hAnsiTheme="minorHAnsi"/>
          <w:bCs/>
          <w:iCs/>
          <w:kern w:val="28"/>
          <w:sz w:val="22"/>
        </w:rPr>
        <w:t>dimiliki oleh setiap lulusan P</w:t>
      </w:r>
      <w:r w:rsidRPr="00997F04">
        <w:rPr>
          <w:rFonts w:asciiTheme="minorHAnsi" w:hAnsiTheme="minorHAnsi"/>
          <w:bCs/>
          <w:iCs/>
          <w:kern w:val="28"/>
          <w:sz w:val="22"/>
        </w:rPr>
        <w:t>RODI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merupakan internalisasi dari sikap, penguasaan pengetahuan dan ketrampilan sesuai dengan jenjang prodinya yang diperoleh melalui proses pembelajaran.</w:t>
      </w:r>
    </w:p>
    <w:p w:rsidR="0093149C" w:rsidRPr="0071505C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</w:t>
      </w:r>
      <w:r w:rsidRPr="00997F04">
        <w:rPr>
          <w:rFonts w:asciiTheme="minorHAnsi" w:hAnsiTheme="minorHAnsi"/>
          <w:b/>
          <w:iCs/>
          <w:kern w:val="28"/>
          <w:sz w:val="22"/>
        </w:rPr>
        <w:t>L</w:t>
      </w:r>
      <w:r w:rsidRPr="00C31DE3">
        <w:rPr>
          <w:rFonts w:asciiTheme="minorHAnsi" w:hAnsiTheme="minorHAnsi"/>
          <w:b/>
          <w:iCs/>
          <w:kern w:val="28"/>
          <w:sz w:val="22"/>
        </w:rPr>
        <w:t xml:space="preserve"> yang dibebankan pada mata kuliah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beberapa capaian pembela</w:t>
      </w:r>
      <w:r>
        <w:rPr>
          <w:rFonts w:asciiTheme="minorHAnsi" w:hAnsiTheme="minorHAnsi"/>
          <w:bCs/>
          <w:iCs/>
          <w:kern w:val="28"/>
          <w:sz w:val="22"/>
        </w:rPr>
        <w:t>jaran lulusan program studi (CP</w:t>
      </w:r>
      <w:r w:rsidRPr="0071505C">
        <w:rPr>
          <w:rFonts w:asciiTheme="minorHAnsi" w:hAnsiTheme="minorHAnsi"/>
          <w:bCs/>
          <w:iCs/>
          <w:kern w:val="28"/>
          <w:sz w:val="22"/>
        </w:rPr>
        <w:t>L-PRODI) yang digunakan untuk pembentukan/pengembangan sebuah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 xml:space="preserve"> yang terdiridariaspeksikap, ketrampulanumum, ketrampilankhususdanpengetahuan.</w:t>
      </w:r>
    </w:p>
    <w:p w:rsidR="0093149C" w:rsidRPr="0071505C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dijabarkan</w:t>
      </w:r>
      <w:r>
        <w:rPr>
          <w:rFonts w:asciiTheme="minorHAnsi" w:hAnsiTheme="minorHAnsi"/>
          <w:bCs/>
          <w:iCs/>
          <w:kern w:val="28"/>
          <w:sz w:val="22"/>
        </w:rPr>
        <w:t xml:space="preserve"> secara spesifik dari CPL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dibebankan pada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>, danbersifatspesifikterhadapbahankajianataumateripembelajaranmatakuliahtersebut.</w:t>
      </w:r>
    </w:p>
    <w:p w:rsidR="0093149C" w:rsidRPr="00C31DE3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</w:t>
      </w:r>
      <w:r>
        <w:rPr>
          <w:rFonts w:asciiTheme="minorHAnsi" w:hAnsiTheme="minorHAnsi"/>
          <w:bCs/>
          <w:iCs/>
          <w:kern w:val="28"/>
          <w:sz w:val="22"/>
        </w:rPr>
        <w:t>jabarkan secara spesifik dari CPMK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dapat diukur atau diamati dan merupakan kemampuan akhir yang direncanak</w:t>
      </w:r>
      <w:r>
        <w:rPr>
          <w:rFonts w:asciiTheme="minorHAnsi" w:hAnsiTheme="minorHAnsi"/>
          <w:bCs/>
          <w:iCs/>
          <w:kern w:val="28"/>
          <w:sz w:val="22"/>
        </w:rPr>
        <w:t xml:space="preserve">an pada tiap tahap pembelajaran, </w:t>
      </w:r>
      <w:r w:rsidRPr="00997F04">
        <w:rPr>
          <w:rFonts w:asciiTheme="minorHAnsi" w:hAnsiTheme="minorHAnsi"/>
          <w:bCs/>
          <w:iCs/>
          <w:kern w:val="28"/>
          <w:sz w:val="22"/>
        </w:rPr>
        <w:t>dan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bersifat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spesifik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terhadap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materi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pembelajaran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matakuliah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tersebut.</w:t>
      </w:r>
    </w:p>
    <w:p w:rsidR="0093149C" w:rsidRPr="00C31DE3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>
        <w:rPr>
          <w:rFonts w:asciiTheme="minorHAnsi" w:hAnsiTheme="minorHAnsi"/>
          <w:bCs/>
          <w:iCs/>
          <w:kern w:val="28"/>
          <w:sz w:val="22"/>
        </w:rPr>
        <w:t xml:space="preserve">adalah </w:t>
      </w:r>
      <w:r w:rsidRPr="00C31DE3">
        <w:rPr>
          <w:rFonts w:asciiTheme="minorHAnsi" w:hAnsiTheme="minorHAnsi"/>
          <w:bCs/>
          <w:iCs/>
          <w:kern w:val="28"/>
          <w:sz w:val="22"/>
        </w:rPr>
        <w:t>kemampuan dalam proses maupun hasil belajar mahasiswa adalah pernyataan spesifik dan terukur yang mengidentifikasi kemampuan atau kinerja hasil belajar mahasiswa yang disertai bukti-bukti.</w:t>
      </w:r>
    </w:p>
    <w:p w:rsidR="0093149C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Kri</w:t>
      </w:r>
      <w:r w:rsidRPr="00C31DE3">
        <w:rPr>
          <w:rFonts w:asciiTheme="minorHAnsi" w:hAnsiTheme="minorHAnsi"/>
          <w:b/>
          <w:iCs/>
          <w:kern w:val="28"/>
          <w:sz w:val="22"/>
        </w:rPr>
        <w:t>teria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</w:t>
      </w:r>
      <w:r>
        <w:rPr>
          <w:rFonts w:asciiTheme="minorHAnsi" w:hAnsiTheme="minorHAnsi"/>
          <w:bCs/>
          <w:iCs/>
          <w:kern w:val="28"/>
          <w:sz w:val="22"/>
        </w:rPr>
        <w:t>asarkan indik</w:t>
      </w:r>
      <w:r w:rsidRPr="00F55158">
        <w:rPr>
          <w:rFonts w:asciiTheme="minorHAnsi" w:hAnsiTheme="minorHAnsi"/>
          <w:bCs/>
          <w:iCs/>
          <w:kern w:val="28"/>
          <w:sz w:val="22"/>
        </w:rPr>
        <w:t>ator-indi</w:t>
      </w:r>
      <w:r>
        <w:rPr>
          <w:rFonts w:asciiTheme="minorHAnsi" w:hAnsiTheme="minorHAnsi"/>
          <w:bCs/>
          <w:iCs/>
          <w:kern w:val="28"/>
          <w:sz w:val="22"/>
        </w:rPr>
        <w:t>kator yang telah ditetapkan.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</w:t>
      </w:r>
      <w:r>
        <w:rPr>
          <w:rFonts w:asciiTheme="minorHAnsi" w:hAnsiTheme="minorHAnsi"/>
          <w:bCs/>
          <w:iCs/>
          <w:kern w:val="28"/>
          <w:sz w:val="22"/>
        </w:rPr>
        <w:t xml:space="preserve">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merupakan pedoman bagi penilai agar penilai</w:t>
      </w:r>
      <w:r>
        <w:rPr>
          <w:rFonts w:asciiTheme="minorHAnsi" w:hAnsiTheme="minorHAnsi"/>
          <w:bCs/>
          <w:iCs/>
          <w:kern w:val="28"/>
          <w:sz w:val="22"/>
        </w:rPr>
        <w:t>an konsisten dan tidak bias.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 dapat berupa kuantitatif ataupun kualitatif.</w:t>
      </w:r>
    </w:p>
    <w:p w:rsidR="0093149C" w:rsidRPr="00C31DE3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C31DE3">
        <w:rPr>
          <w:rFonts w:asciiTheme="minorHAnsi" w:hAnsiTheme="minorHAnsi"/>
          <w:bCs/>
          <w:iCs/>
          <w:kern w:val="28"/>
          <w:sz w:val="22"/>
        </w:rPr>
        <w:t>tes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dan non-tes.</w:t>
      </w:r>
    </w:p>
    <w:p w:rsidR="0093149C" w:rsidRPr="009333FF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C31DE3">
        <w:rPr>
          <w:rFonts w:asciiTheme="minorHAnsi" w:hAnsiTheme="minorHAnsi"/>
          <w:bCs/>
          <w:iCs/>
          <w:kern w:val="28"/>
          <w:sz w:val="22"/>
        </w:rPr>
        <w:t>Kuliah, Responsi, Tutorial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Seminar atau yang setara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Praktikum, Praktik Studio, Praktik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Bengkel, Praktik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Lapangan, Penelitian, Pengabdian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Kepada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Masyarakat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dan/atau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bentuk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C31DE3">
        <w:rPr>
          <w:rFonts w:asciiTheme="minorHAnsi" w:hAnsiTheme="minorHAnsi"/>
          <w:bCs/>
          <w:iCs/>
          <w:kern w:val="28"/>
          <w:sz w:val="22"/>
        </w:rPr>
        <w:t>pembelajaran lain yang 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93149C" w:rsidRPr="000740EE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BA7C48">
        <w:rPr>
          <w:rFonts w:asciiTheme="minorHAnsi" w:hAnsiTheme="minorHAnsi"/>
          <w:bCs/>
          <w:iCs/>
          <w:kern w:val="28"/>
          <w:sz w:val="22"/>
        </w:rPr>
        <w:t>Small Group Discussion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Role-Play &amp; Simulation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Discovery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Self-Directed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Cooperative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Collaborative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Contextual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Project Based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metode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lainnya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yg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93149C" w:rsidRPr="009333FF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97F04">
        <w:rPr>
          <w:rFonts w:asciiTheme="minorHAnsi" w:hAnsiTheme="minorHAnsi"/>
          <w:b/>
          <w:iCs/>
          <w:kern w:val="28"/>
          <w:sz w:val="22"/>
        </w:rPr>
        <w:t>Materi Pembelajaran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adalah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rincian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atau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uraian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dari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bahan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kajian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yg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dapat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disajikan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dalam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bentuk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beberapa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pokok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dan sub-pokok</w:t>
      </w:r>
      <w:r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997F04">
        <w:rPr>
          <w:rFonts w:asciiTheme="minorHAnsi" w:hAnsiTheme="minorHAnsi"/>
          <w:bCs/>
          <w:iCs/>
          <w:kern w:val="28"/>
          <w:sz w:val="22"/>
        </w:rPr>
        <w:t>bahasan.</w:t>
      </w:r>
    </w:p>
    <w:p w:rsidR="00C65575" w:rsidRPr="00D61A60" w:rsidRDefault="0093149C" w:rsidP="00EA453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333FF">
        <w:rPr>
          <w:rFonts w:asciiTheme="minorHAnsi" w:hAnsiTheme="minorHAnsi"/>
          <w:b/>
          <w:iCs/>
          <w:kern w:val="28"/>
          <w:sz w:val="22"/>
        </w:rPr>
        <w:t>Bobot penilaian</w:t>
      </w:r>
      <w:r w:rsidRPr="009333FF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sectPr w:rsidR="00C65575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87D"/>
    <w:multiLevelType w:val="hybridMultilevel"/>
    <w:tmpl w:val="06F67FF8"/>
    <w:lvl w:ilvl="0" w:tplc="B486F504">
      <w:start w:val="1"/>
      <w:numFmt w:val="decimal"/>
      <w:lvlText w:val="%1."/>
      <w:lvlJc w:val="left"/>
      <w:pPr>
        <w:ind w:left="3060" w:hanging="360"/>
      </w:pPr>
      <w:rPr>
        <w:rFonts w:ascii="Times New Roman" w:eastAsiaTheme="minorHAnsi" w:hAnsi="Times New Roman" w:cstheme="minorBidi"/>
      </w:rPr>
    </w:lvl>
    <w:lvl w:ilvl="1" w:tplc="04210019">
      <w:start w:val="1"/>
      <w:numFmt w:val="lowerLetter"/>
      <w:lvlText w:val="%2."/>
      <w:lvlJc w:val="left"/>
      <w:pPr>
        <w:ind w:left="3780" w:hanging="360"/>
      </w:pPr>
    </w:lvl>
    <w:lvl w:ilvl="2" w:tplc="0421001B">
      <w:start w:val="1"/>
      <w:numFmt w:val="lowerRoman"/>
      <w:lvlText w:val="%3."/>
      <w:lvlJc w:val="right"/>
      <w:pPr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C72DF"/>
    <w:multiLevelType w:val="hybridMultilevel"/>
    <w:tmpl w:val="1CA8AC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45E0D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47775"/>
    <w:rsid w:val="00150B48"/>
    <w:rsid w:val="00152E28"/>
    <w:rsid w:val="00153AB2"/>
    <w:rsid w:val="00154D7B"/>
    <w:rsid w:val="00155429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00A6"/>
    <w:rsid w:val="001C6190"/>
    <w:rsid w:val="001D7C3D"/>
    <w:rsid w:val="001E217B"/>
    <w:rsid w:val="001E6F96"/>
    <w:rsid w:val="002050AF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1418D"/>
    <w:rsid w:val="003263A8"/>
    <w:rsid w:val="00367D6D"/>
    <w:rsid w:val="0037186B"/>
    <w:rsid w:val="003921C4"/>
    <w:rsid w:val="00393EA2"/>
    <w:rsid w:val="00396A13"/>
    <w:rsid w:val="003A3900"/>
    <w:rsid w:val="003B4B0A"/>
    <w:rsid w:val="003C1EC8"/>
    <w:rsid w:val="003D3495"/>
    <w:rsid w:val="003D50BB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42B31"/>
    <w:rsid w:val="00457FF8"/>
    <w:rsid w:val="00464D0F"/>
    <w:rsid w:val="00482882"/>
    <w:rsid w:val="00487A8A"/>
    <w:rsid w:val="004A7ED9"/>
    <w:rsid w:val="004B18D8"/>
    <w:rsid w:val="004C297C"/>
    <w:rsid w:val="004D4F39"/>
    <w:rsid w:val="00503E48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95014"/>
    <w:rsid w:val="005A6988"/>
    <w:rsid w:val="005E1657"/>
    <w:rsid w:val="005E169E"/>
    <w:rsid w:val="005E27C0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A2274"/>
    <w:rsid w:val="006B30E0"/>
    <w:rsid w:val="006B3A42"/>
    <w:rsid w:val="006B7300"/>
    <w:rsid w:val="006E35ED"/>
    <w:rsid w:val="0071513A"/>
    <w:rsid w:val="007161A0"/>
    <w:rsid w:val="007224FD"/>
    <w:rsid w:val="00742F5A"/>
    <w:rsid w:val="0074356D"/>
    <w:rsid w:val="00754096"/>
    <w:rsid w:val="007551C8"/>
    <w:rsid w:val="0076282B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4299D"/>
    <w:rsid w:val="008432C9"/>
    <w:rsid w:val="00844363"/>
    <w:rsid w:val="00863DE4"/>
    <w:rsid w:val="00873632"/>
    <w:rsid w:val="0088168D"/>
    <w:rsid w:val="00885430"/>
    <w:rsid w:val="00885A4D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A2CB6"/>
    <w:rsid w:val="009B57D1"/>
    <w:rsid w:val="009C4250"/>
    <w:rsid w:val="009C756E"/>
    <w:rsid w:val="009C7935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3B44"/>
    <w:rsid w:val="00AF601C"/>
    <w:rsid w:val="00AF7D69"/>
    <w:rsid w:val="00B07375"/>
    <w:rsid w:val="00B07FAE"/>
    <w:rsid w:val="00B24C69"/>
    <w:rsid w:val="00B43093"/>
    <w:rsid w:val="00B4467B"/>
    <w:rsid w:val="00B66139"/>
    <w:rsid w:val="00B74D2E"/>
    <w:rsid w:val="00B806E2"/>
    <w:rsid w:val="00B92416"/>
    <w:rsid w:val="00B92899"/>
    <w:rsid w:val="00BB3C70"/>
    <w:rsid w:val="00BC1C71"/>
    <w:rsid w:val="00BF03E6"/>
    <w:rsid w:val="00C00B68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271E"/>
    <w:rsid w:val="00D030DB"/>
    <w:rsid w:val="00D05040"/>
    <w:rsid w:val="00D21C19"/>
    <w:rsid w:val="00D32ED3"/>
    <w:rsid w:val="00D349C1"/>
    <w:rsid w:val="00D539D8"/>
    <w:rsid w:val="00D61A60"/>
    <w:rsid w:val="00D7222B"/>
    <w:rsid w:val="00D743ED"/>
    <w:rsid w:val="00D74D04"/>
    <w:rsid w:val="00DC1DB4"/>
    <w:rsid w:val="00DC4A7B"/>
    <w:rsid w:val="00DD0360"/>
    <w:rsid w:val="00DD7C35"/>
    <w:rsid w:val="00DE00C5"/>
    <w:rsid w:val="00DF0892"/>
    <w:rsid w:val="00DF162E"/>
    <w:rsid w:val="00DF1E0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A4530"/>
    <w:rsid w:val="00EB04A1"/>
    <w:rsid w:val="00EC229F"/>
    <w:rsid w:val="00ED6D93"/>
    <w:rsid w:val="00EE1B40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10</cp:revision>
  <cp:lastPrinted>2018-03-05T03:11:00Z</cp:lastPrinted>
  <dcterms:created xsi:type="dcterms:W3CDTF">2021-09-23T01:01:00Z</dcterms:created>
  <dcterms:modified xsi:type="dcterms:W3CDTF">2022-03-10T01:51:00Z</dcterms:modified>
</cp:coreProperties>
</file>