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419" w:rsidRPr="005A3419" w:rsidRDefault="005A3419" w:rsidP="005A3419">
      <w:pPr>
        <w:jc w:val="center"/>
        <w:rPr>
          <w:rFonts w:ascii="Garamond" w:hAnsi="Garamond"/>
          <w:sz w:val="24"/>
          <w:szCs w:val="24"/>
        </w:rPr>
      </w:pPr>
      <w:r w:rsidRPr="005A3419">
        <w:rPr>
          <w:rFonts w:ascii="Garamond" w:hAnsi="Garamond"/>
          <w:sz w:val="24"/>
          <w:szCs w:val="24"/>
        </w:rPr>
        <w:t>THE CONTESTATION OF THE MALAY ARABIC AND ROMAN LITERATURE: SHIFT IN CULTURE, LITERATURE AND RELIGION</w:t>
      </w:r>
    </w:p>
    <w:p w:rsidR="005A3419" w:rsidRPr="005A3419" w:rsidRDefault="005A3419" w:rsidP="005A3419">
      <w:pPr>
        <w:jc w:val="center"/>
        <w:rPr>
          <w:rFonts w:ascii="Garamond" w:hAnsi="Garamond"/>
          <w:sz w:val="24"/>
          <w:szCs w:val="24"/>
        </w:rPr>
      </w:pPr>
    </w:p>
    <w:p w:rsidR="005A3419" w:rsidRPr="005A3419" w:rsidRDefault="005A3419" w:rsidP="005A3419">
      <w:pPr>
        <w:jc w:val="center"/>
        <w:rPr>
          <w:rFonts w:ascii="Garamond" w:hAnsi="Garamond"/>
          <w:sz w:val="24"/>
          <w:szCs w:val="24"/>
        </w:rPr>
      </w:pPr>
      <w:r w:rsidRPr="005A3419">
        <w:rPr>
          <w:rFonts w:ascii="Garamond" w:hAnsi="Garamond"/>
          <w:sz w:val="24"/>
          <w:szCs w:val="24"/>
        </w:rPr>
        <w:t>Bermawy Munthe, Eva Dewi, Arbi Yasin</w:t>
      </w:r>
    </w:p>
    <w:p w:rsidR="005A3419" w:rsidRPr="005A3419" w:rsidRDefault="005A3419" w:rsidP="005A3419">
      <w:pPr>
        <w:jc w:val="center"/>
        <w:rPr>
          <w:rFonts w:ascii="Garamond" w:hAnsi="Garamond"/>
          <w:sz w:val="24"/>
          <w:szCs w:val="24"/>
        </w:rPr>
      </w:pPr>
    </w:p>
    <w:p w:rsidR="005A3419" w:rsidRPr="005A3419" w:rsidRDefault="005A3419" w:rsidP="005A3419">
      <w:pPr>
        <w:jc w:val="center"/>
        <w:rPr>
          <w:rFonts w:ascii="Garamond" w:hAnsi="Garamond"/>
          <w:sz w:val="24"/>
          <w:szCs w:val="24"/>
        </w:rPr>
      </w:pPr>
      <w:r w:rsidRPr="005A3419">
        <w:rPr>
          <w:rFonts w:ascii="Garamond" w:hAnsi="Garamond"/>
          <w:sz w:val="24"/>
          <w:szCs w:val="24"/>
        </w:rPr>
        <w:t>ABSTRACT</w:t>
      </w:r>
    </w:p>
    <w:p w:rsidR="005A3419" w:rsidRPr="005A3419" w:rsidRDefault="005A3419" w:rsidP="005A3419">
      <w:pPr>
        <w:jc w:val="center"/>
        <w:rPr>
          <w:rFonts w:ascii="Garamond" w:hAnsi="Garamond"/>
          <w:sz w:val="24"/>
          <w:szCs w:val="24"/>
        </w:rPr>
      </w:pPr>
    </w:p>
    <w:p w:rsidR="005A3419" w:rsidRPr="005A3419" w:rsidRDefault="005A3419" w:rsidP="005A3419">
      <w:pPr>
        <w:ind w:firstLine="720"/>
        <w:jc w:val="both"/>
        <w:rPr>
          <w:rFonts w:ascii="Garamond" w:hAnsi="Garamond"/>
          <w:sz w:val="24"/>
          <w:szCs w:val="24"/>
        </w:rPr>
      </w:pPr>
      <w:r w:rsidRPr="005A3419">
        <w:rPr>
          <w:rFonts w:ascii="Garamond" w:hAnsi="Garamond"/>
          <w:sz w:val="24"/>
          <w:szCs w:val="24"/>
        </w:rPr>
        <w:t>The arrival of Islam had a major influence on the language, religion and culture of the archipelago through literacy, known as the Malay Arabic script or Pegon. The reconstruction of local culture through the Malay Arabic script has had an impact on the development and progress of civilization in the history of the archipelago. the use of the Pégon script in the writing tradition in schools and Islamic boarding schools as a medium to facilitate understanding the Qur'an, studying Arabic grammar, and other aspects of scientific fields. However, the situation changed after the emergence of the Roman script which was brought by Europeans to the Malay world or the Archipelago.</w:t>
      </w:r>
    </w:p>
    <w:p w:rsidR="005A3419" w:rsidRPr="005A3419" w:rsidRDefault="005A3419" w:rsidP="005A3419">
      <w:pPr>
        <w:ind w:firstLine="720"/>
        <w:jc w:val="both"/>
        <w:rPr>
          <w:rFonts w:ascii="Garamond" w:hAnsi="Garamond"/>
          <w:sz w:val="24"/>
          <w:szCs w:val="24"/>
        </w:rPr>
      </w:pPr>
      <w:r w:rsidRPr="005A3419">
        <w:rPr>
          <w:rFonts w:ascii="Garamond" w:hAnsi="Garamond"/>
          <w:sz w:val="24"/>
          <w:szCs w:val="24"/>
        </w:rPr>
        <w:t xml:space="preserve">Based on library research using this sociolinguistic approach, it can be concluded that there is a contestation of the emergence of Roman script and the existence of Malay Arabic script in Indonesia. The political goals and missions of Latin script (Roman script) are not only in the language aspect by replacing the position of the Malay Arabic script which has become popular and entrenched in formal, informal and non-formal institutions, but even the erosion of Islamic </w:t>
      </w:r>
      <w:bookmarkStart w:id="0" w:name="_GoBack"/>
      <w:bookmarkEnd w:id="0"/>
      <w:r w:rsidRPr="005A3419">
        <w:rPr>
          <w:rFonts w:ascii="Garamond" w:hAnsi="Garamond"/>
          <w:sz w:val="24"/>
          <w:szCs w:val="24"/>
        </w:rPr>
        <w:t>symbols is marked by many generations who do not understand the script. Malay Arabic, weak ability to read the Qur'an, and culture to understand religious, cultural, social and political scientific studies through Arabic Malay script are not considered important and even forgotten.</w:t>
      </w:r>
    </w:p>
    <w:p w:rsidR="005A3419" w:rsidRPr="005A3419" w:rsidRDefault="005A3419" w:rsidP="005A3419">
      <w:pPr>
        <w:ind w:firstLine="720"/>
        <w:rPr>
          <w:rFonts w:ascii="Garamond" w:hAnsi="Garamond"/>
          <w:sz w:val="24"/>
          <w:szCs w:val="24"/>
        </w:rPr>
      </w:pPr>
    </w:p>
    <w:p w:rsidR="005A3419" w:rsidRPr="005A3419" w:rsidRDefault="005A3419" w:rsidP="005A3419">
      <w:pPr>
        <w:jc w:val="both"/>
        <w:rPr>
          <w:rFonts w:ascii="Garamond" w:hAnsi="Garamond"/>
          <w:sz w:val="24"/>
          <w:szCs w:val="24"/>
        </w:rPr>
      </w:pPr>
      <w:r w:rsidRPr="005A3419">
        <w:rPr>
          <w:rFonts w:ascii="Garamond" w:hAnsi="Garamond"/>
          <w:sz w:val="24"/>
          <w:szCs w:val="24"/>
        </w:rPr>
        <w:t>Keywords: Malay Arabic Script, Romance Script, Culture, Literature, Religion</w:t>
      </w:r>
    </w:p>
    <w:p w:rsidR="005A3419" w:rsidRPr="005A3419" w:rsidRDefault="005A3419" w:rsidP="005A3419">
      <w:pPr>
        <w:spacing w:after="200" w:line="480" w:lineRule="auto"/>
        <w:rPr>
          <w:rFonts w:ascii="Garamond" w:hAnsi="Garamond" w:cstheme="majorBidi"/>
          <w:sz w:val="24"/>
          <w:szCs w:val="24"/>
        </w:rPr>
      </w:pPr>
    </w:p>
    <w:p w:rsidR="005A3419" w:rsidRPr="005A3419" w:rsidRDefault="005A3419" w:rsidP="005A3419">
      <w:pPr>
        <w:spacing w:after="200" w:line="480" w:lineRule="auto"/>
        <w:rPr>
          <w:rFonts w:ascii="Garamond" w:hAnsi="Garamond" w:cstheme="majorBidi"/>
          <w:sz w:val="24"/>
          <w:szCs w:val="24"/>
        </w:rPr>
      </w:pPr>
      <w:r w:rsidRPr="005A3419">
        <w:rPr>
          <w:rFonts w:ascii="Garamond" w:hAnsi="Garamond" w:cstheme="majorBidi"/>
          <w:sz w:val="24"/>
          <w:szCs w:val="24"/>
        </w:rPr>
        <w:t>A. Introduction</w:t>
      </w:r>
    </w:p>
    <w:p w:rsidR="005A3419" w:rsidRPr="005A3419" w:rsidRDefault="005A3419" w:rsidP="005A3419">
      <w:pPr>
        <w:spacing w:after="200" w:line="480" w:lineRule="auto"/>
        <w:ind w:firstLine="720"/>
        <w:jc w:val="both"/>
        <w:rPr>
          <w:rFonts w:ascii="Garamond" w:hAnsi="Garamond" w:cstheme="majorBidi"/>
          <w:sz w:val="24"/>
          <w:szCs w:val="24"/>
        </w:rPr>
      </w:pPr>
      <w:r w:rsidRPr="005A3419">
        <w:rPr>
          <w:rFonts w:ascii="Garamond" w:hAnsi="Garamond" w:cstheme="majorBidi"/>
          <w:sz w:val="24"/>
          <w:szCs w:val="24"/>
        </w:rPr>
        <w:t>Culture as cultural heritage or cultural or ethnic heritage, according to Geertz, is a pattern or system of transmitted and inherited conceptions in symbolic forms used by humans to communicate, preserve and develop knowledge, attitudes and historical values of life.</w:t>
      </w:r>
      <w:r w:rsidRPr="005A3419">
        <w:rPr>
          <w:rFonts w:ascii="Garamond" w:eastAsia="Calibri" w:hAnsi="Garamond" w:cs="Times New Roman"/>
          <w:color w:val="000000"/>
          <w:sz w:val="24"/>
          <w:szCs w:val="24"/>
          <w:vertAlign w:val="superscript"/>
        </w:rPr>
        <w:footnoteReference w:id="1"/>
      </w:r>
      <w:r w:rsidRPr="005A3419">
        <w:rPr>
          <w:rFonts w:ascii="Garamond" w:hAnsi="Garamond" w:cstheme="minorBidi"/>
          <w:sz w:val="24"/>
          <w:szCs w:val="24"/>
        </w:rPr>
        <w:t xml:space="preserve"> </w:t>
      </w:r>
      <w:r w:rsidRPr="005A3419">
        <w:rPr>
          <w:rFonts w:ascii="Garamond" w:eastAsia="Calibri" w:hAnsi="Garamond" w:cs="Times New Roman"/>
          <w:color w:val="000000"/>
          <w:sz w:val="24"/>
          <w:szCs w:val="24"/>
        </w:rPr>
        <w:t xml:space="preserve">Culture undergoes processes such as biological processes, meaning that culture undergoes a process of developing, ebb and flow, and may </w:t>
      </w:r>
      <w:r w:rsidRPr="005A3419">
        <w:rPr>
          <w:rFonts w:ascii="Garamond" w:eastAsia="Calibri" w:hAnsi="Garamond" w:cs="Times New Roman"/>
          <w:color w:val="000000"/>
          <w:sz w:val="24"/>
          <w:szCs w:val="24"/>
        </w:rPr>
        <w:lastRenderedPageBreak/>
        <w:t>disappear altogether. Likewise, Indonesian cultural life, especially the culture of the archipelago, is reflected in regional culture.</w:t>
      </w:r>
      <w:r w:rsidRPr="005A3419">
        <w:rPr>
          <w:rFonts w:ascii="Garamond" w:hAnsi="Garamond" w:cstheme="majorBidi"/>
          <w:sz w:val="24"/>
          <w:szCs w:val="24"/>
          <w:vertAlign w:val="superscript"/>
        </w:rPr>
        <w:footnoteReference w:id="2"/>
      </w:r>
    </w:p>
    <w:p w:rsidR="005A3419" w:rsidRPr="005A3419" w:rsidRDefault="005A3419" w:rsidP="005A3419">
      <w:pPr>
        <w:spacing w:after="200" w:line="480" w:lineRule="auto"/>
        <w:ind w:firstLine="720"/>
        <w:jc w:val="both"/>
        <w:rPr>
          <w:rFonts w:ascii="Garamond" w:hAnsi="Garamond" w:cstheme="majorBidi"/>
          <w:sz w:val="24"/>
          <w:szCs w:val="24"/>
        </w:rPr>
      </w:pPr>
      <w:r w:rsidRPr="005A3419">
        <w:rPr>
          <w:rFonts w:ascii="Garamond" w:hAnsi="Garamond" w:cstheme="majorBidi"/>
          <w:sz w:val="24"/>
          <w:szCs w:val="24"/>
        </w:rPr>
        <w:t>Intercultural relations lead to assimilation and acculturation. Acculturation is a process of cultural and psychological change resulting from the meeting of two or more cultures. Closely related to acculturation is adaptation between individuals or groups socio-culturally. Acculturation includes affective, attitude and cognitive aspects</w:t>
      </w:r>
      <w:r w:rsidRPr="005A3419">
        <w:rPr>
          <w:rFonts w:ascii="Garamond" w:eastAsia="Times New Roman" w:hAnsi="Garamond" w:cstheme="majorBidi"/>
          <w:sz w:val="24"/>
          <w:szCs w:val="24"/>
          <w:lang w:eastAsia="id-ID"/>
        </w:rPr>
        <w:t>.</w:t>
      </w:r>
      <w:r w:rsidRPr="005A3419">
        <w:rPr>
          <w:rFonts w:ascii="Garamond" w:hAnsi="Garamond" w:cstheme="majorBidi"/>
          <w:sz w:val="24"/>
          <w:szCs w:val="24"/>
          <w:vertAlign w:val="superscript"/>
        </w:rPr>
        <w:footnoteReference w:id="3"/>
      </w:r>
      <w:r w:rsidRPr="005A3419">
        <w:rPr>
          <w:rFonts w:ascii="Garamond" w:hAnsi="Garamond" w:cstheme="majorBidi"/>
          <w:sz w:val="24"/>
          <w:szCs w:val="24"/>
        </w:rPr>
        <w:t xml:space="preserve"> Mulyana explained that acculturation can bring about cultural changes caused by the contact of cultural groups with the aim of accepting new cultural patterns and characteristics of indigenous peoples in minority groups such as language, values, clothing and food.</w:t>
      </w:r>
      <w:r w:rsidRPr="005A3419">
        <w:rPr>
          <w:rFonts w:ascii="Garamond" w:hAnsi="Garamond" w:cstheme="majorBidi"/>
          <w:sz w:val="24"/>
          <w:szCs w:val="24"/>
          <w:vertAlign w:val="superscript"/>
        </w:rPr>
        <w:footnoteReference w:id="4"/>
      </w:r>
    </w:p>
    <w:p w:rsidR="005A3419" w:rsidRPr="005A3419" w:rsidRDefault="005A3419" w:rsidP="005A3419">
      <w:pPr>
        <w:spacing w:after="200" w:line="480" w:lineRule="auto"/>
        <w:ind w:firstLine="720"/>
        <w:jc w:val="both"/>
        <w:rPr>
          <w:rFonts w:ascii="Garamond" w:hAnsi="Garamond" w:cstheme="majorBidi"/>
          <w:sz w:val="24"/>
          <w:szCs w:val="24"/>
        </w:rPr>
      </w:pPr>
      <w:r w:rsidRPr="005A3419">
        <w:rPr>
          <w:rFonts w:ascii="Garamond" w:hAnsi="Garamond" w:cstheme="majorBidi"/>
          <w:sz w:val="24"/>
          <w:szCs w:val="24"/>
        </w:rPr>
        <w:t>Likewise, Nusantara culture is in the form of script. Apart from being a sound symbol to convey a message, it is realized that the shape and appearance of the script  has various emotions that imply character. Each symbol represents a specific specific sound. These characters become the power to imply various feelings (atmosphere and connotations) for the sake of visual design according to the purpose of communication in advertisements, internet sites, logotypes, branding/identity, etc.) in visual communication design works.</w:t>
      </w:r>
      <w:r w:rsidRPr="005A3419">
        <w:rPr>
          <w:rFonts w:ascii="Garamond" w:hAnsi="Garamond" w:cstheme="majorBidi"/>
          <w:sz w:val="24"/>
          <w:szCs w:val="24"/>
          <w:vertAlign w:val="superscript"/>
        </w:rPr>
        <w:footnoteReference w:id="5"/>
      </w:r>
    </w:p>
    <w:p w:rsidR="005A3419" w:rsidRPr="005A3419" w:rsidRDefault="005A3419" w:rsidP="005A3419">
      <w:pPr>
        <w:spacing w:after="200" w:line="480" w:lineRule="auto"/>
        <w:ind w:firstLine="720"/>
        <w:jc w:val="both"/>
        <w:rPr>
          <w:rFonts w:ascii="Garamond" w:hAnsi="Garamond" w:cstheme="majorBidi"/>
          <w:sz w:val="24"/>
          <w:szCs w:val="24"/>
        </w:rPr>
      </w:pPr>
      <w:r w:rsidRPr="005A3419">
        <w:rPr>
          <w:rFonts w:ascii="Garamond" w:hAnsi="Garamond" w:cstheme="majorBidi"/>
          <w:sz w:val="24"/>
          <w:szCs w:val="24"/>
        </w:rPr>
        <w:lastRenderedPageBreak/>
        <w:t>The use of script in the archipelago may change and experience acculturation because it is influenced by other nations entering the archipelago. These influences are divided into three stages, namely 1) the arrival of the Indians in the 1H in the archipelago, causing the use of the Pallawa script and the Sanskrit language in Sumatra, Java, Bali, and Sulawesi. 2) The arrival of the Arabs around the 12 to 14 H in the archipelago, introduced Arabic script to spread Islam and make it easier to read the Qur'an. This also led to the emergence of the Malay Arabic script (Jawi script). 3) The arrival of European nations around the 15th century AD, led to the use of Latin alphabets to read and write</w:t>
      </w:r>
      <w:r w:rsidRPr="005A3419">
        <w:rPr>
          <w:rFonts w:ascii="Garamond" w:eastAsia="Calibri" w:hAnsi="Garamond" w:cs="Times New Roman"/>
          <w:sz w:val="24"/>
          <w:szCs w:val="24"/>
        </w:rPr>
        <w:t>.</w:t>
      </w:r>
      <w:r w:rsidRPr="005A3419">
        <w:rPr>
          <w:rFonts w:ascii="Garamond" w:eastAsia="Calibri" w:hAnsi="Garamond" w:cs="Times New Roman"/>
          <w:sz w:val="24"/>
          <w:szCs w:val="24"/>
          <w:vertAlign w:val="superscript"/>
        </w:rPr>
        <w:footnoteReference w:id="6"/>
      </w:r>
      <w:r w:rsidRPr="005A3419">
        <w:rPr>
          <w:rFonts w:ascii="Garamond" w:eastAsia="Calibri" w:hAnsi="Garamond" w:cs="Times New Roman"/>
          <w:sz w:val="24"/>
          <w:szCs w:val="24"/>
        </w:rPr>
        <w:t xml:space="preserve"> </w:t>
      </w:r>
    </w:p>
    <w:p w:rsidR="008859B7" w:rsidRPr="005A3419" w:rsidRDefault="008859B7">
      <w:pPr>
        <w:rPr>
          <w:rFonts w:asciiTheme="majorBidi" w:hAnsiTheme="majorBidi" w:cstheme="majorBidi"/>
        </w:rPr>
      </w:pPr>
    </w:p>
    <w:sectPr w:rsidR="008859B7" w:rsidRPr="005A3419" w:rsidSect="005A3419">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0E8" w:rsidRDefault="00BA10E8" w:rsidP="005A3419">
      <w:r>
        <w:separator/>
      </w:r>
    </w:p>
  </w:endnote>
  <w:endnote w:type="continuationSeparator" w:id="0">
    <w:p w:rsidR="00BA10E8" w:rsidRDefault="00BA10E8" w:rsidP="005A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coType Naskh Special">
    <w:panose1 w:val="0000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0E8" w:rsidRDefault="00BA10E8" w:rsidP="005A3419">
      <w:r>
        <w:separator/>
      </w:r>
    </w:p>
  </w:footnote>
  <w:footnote w:type="continuationSeparator" w:id="0">
    <w:p w:rsidR="00BA10E8" w:rsidRDefault="00BA10E8" w:rsidP="005A3419">
      <w:r>
        <w:continuationSeparator/>
      </w:r>
    </w:p>
  </w:footnote>
  <w:footnote w:id="1">
    <w:p w:rsidR="005A3419" w:rsidRPr="00A27CFE" w:rsidRDefault="005A3419" w:rsidP="005A3419">
      <w:pPr>
        <w:pStyle w:val="FootnoteText"/>
        <w:ind w:firstLine="567"/>
        <w:rPr>
          <w:rFonts w:asciiTheme="majorBidi" w:hAnsiTheme="majorBidi" w:cstheme="majorBidi"/>
        </w:rPr>
      </w:pPr>
      <w:r w:rsidRPr="00A27CFE">
        <w:rPr>
          <w:rStyle w:val="FootnoteReference"/>
          <w:rFonts w:asciiTheme="majorBidi" w:hAnsiTheme="majorBidi" w:cstheme="majorBidi"/>
        </w:rPr>
        <w:footnoteRef/>
      </w:r>
      <w:r w:rsidRPr="00A27CFE">
        <w:rPr>
          <w:rFonts w:asciiTheme="majorBidi" w:hAnsiTheme="majorBidi" w:cstheme="majorBidi"/>
        </w:rPr>
        <w:fldChar w:fldCharType="begin" w:fldLock="1"/>
      </w:r>
      <w:r w:rsidRPr="00A27CFE">
        <w:rPr>
          <w:rFonts w:asciiTheme="majorBidi" w:hAnsiTheme="majorBidi" w:cstheme="majorBidi"/>
        </w:rPr>
        <w:instrText>ADDIN CSL_CITATION {"citationItems":[{"id":"ITEM-1","itemData":{"author":[{"dropping-particle":"","family":"Rasid Yunus","given":"","non-dropping-particle":"","parse-names":false,"suffix":""}],"container-title":"Jurnal Penelitin Pendidikan","id":"ITEM-1","issue":"1","issued":{"date-parts":[["2013"]]},"page":"5","title":"Transformasi Nilai-Nilai Budaya Lokal Sebagai Upaya Pembangunan Karakter Bangsa","type":"article-journal","volume":"13"},"uris":["http://www.mendeley.com/documents/?uuid=7ade34b9-77cd-4288-8d8d-911bbb91d05e"]}],"mendeley":{"formattedCitation":"Rasid Yunus, ‘Transformasi Nilai-Nilai Budaya Lokal Sebagai Upaya Pembangunan Karakter Bangsa’, &lt;i&gt;Jurnal Penelitin Pendidikan&lt;/i&gt;, 13.1 (2013), 5.","plainTextFormattedCitation":"Rasid Yunus, ‘Transformasi Nilai-Nilai Budaya Lokal Sebagai Upaya Pembangunan Karakter Bangsa’, Jurnal Penelitin Pendidikan, 13.1 (2013), 5.","previouslyFormattedCitation":"Rasid Yunus, ‘Transformasi Nilai-Nilai Budaya Lokal Sebagai Upaya Pembangunan Karakter Bangsa’, &lt;i&gt;Jurnal Penelitin Pendidikan&lt;/i&gt;, 13.1 (2013), 5."},"properties":{"noteIndex":1},"schema":"https://github.com/citation-style-language/schema/raw/master/csl-citation.json"}</w:instrText>
      </w:r>
      <w:r w:rsidRPr="00A27CFE">
        <w:rPr>
          <w:rFonts w:asciiTheme="majorBidi" w:hAnsiTheme="majorBidi" w:cstheme="majorBidi"/>
        </w:rPr>
        <w:fldChar w:fldCharType="separate"/>
      </w:r>
      <w:r w:rsidRPr="00A27CFE">
        <w:rPr>
          <w:rFonts w:asciiTheme="majorBidi" w:hAnsiTheme="majorBidi" w:cstheme="majorBidi"/>
          <w:noProof/>
        </w:rPr>
        <w:t xml:space="preserve">Rasid Yunus, ‘Transformasi Nilai-Nilai Budaya Lokal Sebagai Upaya Pembangunan Karakter Bangsa’, </w:t>
      </w:r>
      <w:r w:rsidRPr="00A27CFE">
        <w:rPr>
          <w:rFonts w:asciiTheme="majorBidi" w:hAnsiTheme="majorBidi" w:cstheme="majorBidi"/>
          <w:i/>
          <w:noProof/>
        </w:rPr>
        <w:t>Jurnal Penelitin Pendidikan</w:t>
      </w:r>
      <w:r w:rsidRPr="00A27CFE">
        <w:rPr>
          <w:rFonts w:asciiTheme="majorBidi" w:hAnsiTheme="majorBidi" w:cstheme="majorBidi"/>
          <w:noProof/>
        </w:rPr>
        <w:t>, 13.1 (2013), 5.</w:t>
      </w:r>
      <w:r w:rsidRPr="00A27CFE">
        <w:rPr>
          <w:rFonts w:asciiTheme="majorBidi" w:hAnsiTheme="majorBidi" w:cstheme="majorBidi"/>
        </w:rPr>
        <w:fldChar w:fldCharType="end"/>
      </w:r>
    </w:p>
  </w:footnote>
  <w:footnote w:id="2">
    <w:p w:rsidR="005A3419" w:rsidRPr="001D7A1C" w:rsidRDefault="005A3419" w:rsidP="005A3419">
      <w:pPr>
        <w:pStyle w:val="FootnoteText"/>
        <w:ind w:firstLine="567"/>
        <w:rPr>
          <w:rFonts w:asciiTheme="majorBidi" w:hAnsiTheme="majorBidi" w:cstheme="majorBidi"/>
        </w:rPr>
      </w:pPr>
      <w:r w:rsidRPr="001D7A1C">
        <w:rPr>
          <w:rStyle w:val="FootnoteReference"/>
          <w:rFonts w:asciiTheme="majorBidi" w:hAnsiTheme="majorBidi" w:cstheme="majorBidi"/>
        </w:rPr>
        <w:footnoteRef/>
      </w:r>
      <w:r w:rsidRPr="001D7A1C">
        <w:rPr>
          <w:rFonts w:asciiTheme="majorBidi" w:hAnsiTheme="majorBidi" w:cstheme="majorBidi"/>
        </w:rPr>
        <w:t xml:space="preserve"> </w:t>
      </w:r>
      <w:r w:rsidRPr="001D7A1C">
        <w:rPr>
          <w:rFonts w:asciiTheme="majorBidi" w:hAnsiTheme="majorBidi" w:cstheme="majorBidi"/>
        </w:rPr>
        <w:fldChar w:fldCharType="begin" w:fldLock="1"/>
      </w:r>
      <w:r>
        <w:rPr>
          <w:rFonts w:asciiTheme="majorBidi" w:hAnsiTheme="majorBidi" w:cstheme="majorBidi"/>
        </w:rPr>
        <w:instrText>ADDIN CSL_CITATION {"citationItems":[{"id":"ITEM-1","itemData":{"ISSN":"1756-0500","author":[{"dropping-particle":"","family":"Pranoto","given":"Suhartono W","non-dropping-particle":"","parse-names":false,"suffix":""}],"container-title":"Humaniora","id":"ITEM-1","issue":"3","issued":{"date-parts":[["2005"]]},"page":"236-242","title":"Budaya Daerah Dalam Era Desentralisasi","type":"article-journal","volume":"17"},"uris":["http://www.mendeley.com/documents/?uuid=6ef19f7c-95b7-4b3f-b346-a3d844341aab"]}],"mendeley":{"formattedCitation":"Suhartono W Pranoto, ‘Budaya Daerah Dalam Era Desentralisasi’, &lt;i&gt;Humaniora&lt;/i&gt;, 17.3 (2005), 236–42.","manualFormatting":"Suhartono W Pranoto, ‘Budaya Daerah Dalam Era Desentralisasi’, Humaniora, 17.3 (2005), 236–242.","plainTextFormattedCitation":"Suhartono W Pranoto, ‘Budaya Daerah Dalam Era Desentralisasi’, Humaniora, 17.3 (2005), 236–42.","previouslyFormattedCitation":"Suhartono W Pranoto, ‘Budaya Daerah Dalam Era Desentralisasi’, &lt;i&gt;Humaniora&lt;/i&gt;, 17.3 (2005), 236–42."},"properties":{"noteIndex":2},"schema":"https://github.com/citation-style-language/schema/raw/master/csl-citation.json"}</w:instrText>
      </w:r>
      <w:r w:rsidRPr="001D7A1C">
        <w:rPr>
          <w:rFonts w:asciiTheme="majorBidi" w:hAnsiTheme="majorBidi" w:cstheme="majorBidi"/>
        </w:rPr>
        <w:fldChar w:fldCharType="separate"/>
      </w:r>
      <w:r w:rsidRPr="001D7A1C">
        <w:rPr>
          <w:rFonts w:asciiTheme="majorBidi" w:hAnsiTheme="majorBidi" w:cstheme="majorBidi"/>
          <w:noProof/>
        </w:rPr>
        <w:t xml:space="preserve">Suhartono W Pranoto, ‘Budaya Daerah Dalam Era Desentralisasi’, </w:t>
      </w:r>
      <w:r w:rsidRPr="001D7A1C">
        <w:rPr>
          <w:rFonts w:asciiTheme="majorBidi" w:hAnsiTheme="majorBidi" w:cstheme="majorBidi"/>
          <w:i/>
          <w:noProof/>
        </w:rPr>
        <w:t>Humaniora</w:t>
      </w:r>
      <w:r w:rsidRPr="001D7A1C">
        <w:rPr>
          <w:rFonts w:asciiTheme="majorBidi" w:hAnsiTheme="majorBidi" w:cstheme="majorBidi"/>
          <w:noProof/>
        </w:rPr>
        <w:t>, 17.3 (2005), 236–242.</w:t>
      </w:r>
      <w:r w:rsidRPr="001D7A1C">
        <w:rPr>
          <w:rFonts w:asciiTheme="majorBidi" w:hAnsiTheme="majorBidi" w:cstheme="majorBidi"/>
        </w:rPr>
        <w:fldChar w:fldCharType="end"/>
      </w:r>
    </w:p>
  </w:footnote>
  <w:footnote w:id="3">
    <w:p w:rsidR="005A3419" w:rsidRPr="00354851" w:rsidRDefault="005A3419" w:rsidP="005A3419">
      <w:pPr>
        <w:pStyle w:val="FootnoteText"/>
        <w:ind w:firstLine="567"/>
        <w:jc w:val="both"/>
        <w:rPr>
          <w:rFonts w:asciiTheme="majorBidi" w:hAnsiTheme="majorBidi" w:cstheme="majorBidi"/>
        </w:rPr>
      </w:pPr>
      <w:r w:rsidRPr="00354851">
        <w:rPr>
          <w:rStyle w:val="FootnoteReference"/>
          <w:rFonts w:asciiTheme="majorBidi" w:hAnsiTheme="majorBidi" w:cstheme="majorBidi"/>
        </w:rPr>
        <w:footnoteRef/>
      </w:r>
      <w:r w:rsidRPr="00354851">
        <w:rPr>
          <w:rFonts w:asciiTheme="majorBidi" w:hAnsiTheme="majorBidi" w:cstheme="majorBidi"/>
        </w:rPr>
        <w:t xml:space="preserve"> </w:t>
      </w:r>
      <w:r w:rsidRPr="00354851">
        <w:rPr>
          <w:rFonts w:asciiTheme="majorBidi" w:hAnsiTheme="majorBidi" w:cstheme="majorBidi"/>
        </w:rPr>
        <w:fldChar w:fldCharType="begin" w:fldLock="1"/>
      </w:r>
      <w:r>
        <w:rPr>
          <w:rFonts w:asciiTheme="majorBidi" w:hAnsiTheme="majorBidi" w:cstheme="majorBidi"/>
        </w:rPr>
        <w:instrText>ADDIN CSL_CITATION {"citationItems":[{"id":"ITEM-1","itemData":{"DOI":"10.1177/1745691610373075","ISSN":"17456916","PMID":"26162193","abstract":"In cross-cultural psychology, one of the major sources of the development and display of human behavior is the contact between cultural populations. Such intercultural contact results in both cultural and psychological changes. At the cultural level, collective activities and social institutions become altered, and at the psychological level, there are changes in an individual's daily behavioral repertoire and sometimes in experienced stress. The two most common research findings at the individual level are that there are large variations in how people acculturate and in how well they adapt to this process. Variations in ways of acculturating have become known by the terms integration, assimilation, separation, and marginalization. Two variations in adaptation have been identified, involving psychological well-being and sociocultural competence. One important finding is that there are relationships between how individuals acculturate and how well they adapt: Often those who integrate (defined as being engaged in both their heritage culture and in the larger society) are better adapted than those who acculturate by orienting themselves to one or the other culture (by way of assimilation or separation) or to neither culture (marginalization). Implications of these findings for policy and program development and for future research are presented. © The Author(s) 2010.","author":[{"dropping-particle":"","family":"Sam","given":"David L.","non-dropping-particle":"","parse-names":false,"suffix":""},{"dropping-particle":"","family":"Berry","given":"John W.","non-dropping-particle":"","parse-names":false,"suffix":""}],"container-title":"Perspectives on Psychological Science","id":"ITEM-1","issue":"4","issued":{"date-parts":[["2010"]]},"page":"472-481","title":"Acculturation: When individuals and groups of different cultural backgrounds meet","type":"article-journal","volume":"5"},"uris":["http://www.mendeley.com/documents/?uuid=ef3b9225-9599-40bc-bc46-d62dfb049417"]}],"mendeley":{"formattedCitation":"David L. Sam and John W. Berry, ‘Acculturation: When Individuals and Groups of Different Cultural Backgrounds Meet’, &lt;i&gt;Perspectives on Psychological Science&lt;/i&gt;, 5.4 (2010), 472–81 &lt;https://doi.org/10.1177/1745691610373075&gt;.","manualFormatting":"David L. Sam and John W. Berry, ‘Acculturation: When Individuals and Groups of Different Cultural Backgrounds Meet’, Perspectives on Psychological Science, 5.4 (2010), 472–481 .","plainTextFormattedCitation":"David L. Sam and John W. Berry, ‘Acculturation: When Individuals and Groups of Different Cultural Backgrounds Meet’, Perspectives on Psychological Science, 5.4 (2010), 472–81 .","previouslyFormattedCitation":"David L. Sam and John W. Berry, ‘Acculturation: When Individuals and Groups of Different Cultural Backgrounds Meet’, &lt;i&gt;Perspectives on Psychological Science&lt;/i&gt;, 5.4 (2010), 472–81 &lt;https://doi.org/10.1177/1745691610373075&gt;."},"properties":{"noteIndex":3},"schema":"https://github.com/citation-style-language/schema/raw/master/csl-citation.json"}</w:instrText>
      </w:r>
      <w:r w:rsidRPr="00354851">
        <w:rPr>
          <w:rFonts w:asciiTheme="majorBidi" w:hAnsiTheme="majorBidi" w:cstheme="majorBidi"/>
        </w:rPr>
        <w:fldChar w:fldCharType="separate"/>
      </w:r>
      <w:r w:rsidRPr="00354851">
        <w:rPr>
          <w:rFonts w:asciiTheme="majorBidi" w:hAnsiTheme="majorBidi" w:cstheme="majorBidi"/>
          <w:noProof/>
        </w:rPr>
        <w:t xml:space="preserve">David L. Sam and John W. Berry, ‘Acculturation: When Individuals and Groups of Different Cultural Backgrounds Meet’, </w:t>
      </w:r>
      <w:r w:rsidRPr="00354851">
        <w:rPr>
          <w:rFonts w:asciiTheme="majorBidi" w:hAnsiTheme="majorBidi" w:cstheme="majorBidi"/>
          <w:i/>
          <w:noProof/>
        </w:rPr>
        <w:t>Perspectives on Psychological Science</w:t>
      </w:r>
      <w:r w:rsidRPr="00354851">
        <w:rPr>
          <w:rFonts w:asciiTheme="majorBidi" w:hAnsiTheme="majorBidi" w:cstheme="majorBidi"/>
          <w:noProof/>
        </w:rPr>
        <w:t>, 5.4 (2010), 472–481 &lt;https://doi.org/10.1177/1745691610373075&gt;.</w:t>
      </w:r>
      <w:r w:rsidRPr="00354851">
        <w:rPr>
          <w:rFonts w:asciiTheme="majorBidi" w:hAnsiTheme="majorBidi" w:cstheme="majorBidi"/>
        </w:rPr>
        <w:fldChar w:fldCharType="end"/>
      </w:r>
    </w:p>
  </w:footnote>
  <w:footnote w:id="4">
    <w:p w:rsidR="005A3419" w:rsidRPr="001D7A1C" w:rsidRDefault="005A3419" w:rsidP="005A3419">
      <w:pPr>
        <w:pStyle w:val="FootnoteText"/>
        <w:ind w:firstLine="567"/>
        <w:rPr>
          <w:rFonts w:asciiTheme="majorBidi" w:hAnsiTheme="majorBidi" w:cstheme="majorBidi"/>
        </w:rPr>
      </w:pPr>
      <w:r w:rsidRPr="001D7A1C">
        <w:rPr>
          <w:rStyle w:val="FootnoteReference"/>
          <w:rFonts w:asciiTheme="majorBidi" w:hAnsiTheme="majorBidi" w:cstheme="majorBidi"/>
        </w:rPr>
        <w:footnoteRef/>
      </w:r>
      <w:r w:rsidRPr="001D7A1C">
        <w:rPr>
          <w:rFonts w:asciiTheme="majorBidi" w:hAnsiTheme="majorBidi" w:cstheme="majorBidi"/>
        </w:rPr>
        <w:t xml:space="preserve"> </w:t>
      </w:r>
      <w:r w:rsidRPr="001D7A1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Romli","given":"Khomsahrial","non-dropping-particle":"","parse-names":false,"suffix":""}],"container-title":"Ijtimaiyya","id":"ITEM-1","issue":"1","issued":{"date-parts":[["2015"]]},"page":"1-13","title":"Akulturasi dan asimilasi dalam konteks interaksi antar etnik","type":"article-journal","volume":"8"},"uris":["http://www.mendeley.com/documents/?uuid=5410db09-2f49-47c7-9720-86a14409fc5b"]}],"mendeley":{"formattedCitation":"Khomsahrial Romli, ‘Akulturasi Dan Asimilasi Dalam Konteks Interaksi Antar Etnik’, &lt;i&gt;Ijtimaiyya&lt;/i&gt;, 8.1 (2015), 1–13.","plainTextFormattedCitation":"Khomsahrial Romli, ‘Akulturasi Dan Asimilasi Dalam Konteks Interaksi Antar Etnik’, Ijtimaiyya, 8.1 (2015), 1–13.","previouslyFormattedCitation":"Khomsahrial Romli, ‘Akulturasi Dan Asimilasi Dalam Konteks Interaksi Antar Etnik’, &lt;i&gt;Ijtimaiyya&lt;/i&gt;, 8.1 (2015), 1–13."},"properties":{"noteIndex":4},"schema":"https://github.com/citation-style-language/schema/raw/master/csl-citation.json"}</w:instrText>
      </w:r>
      <w:r w:rsidRPr="001D7A1C">
        <w:rPr>
          <w:rFonts w:asciiTheme="majorBidi" w:hAnsiTheme="majorBidi" w:cstheme="majorBidi"/>
        </w:rPr>
        <w:fldChar w:fldCharType="separate"/>
      </w:r>
      <w:r w:rsidRPr="001D7A1C">
        <w:rPr>
          <w:rFonts w:asciiTheme="majorBidi" w:hAnsiTheme="majorBidi" w:cstheme="majorBidi"/>
          <w:noProof/>
        </w:rPr>
        <w:t xml:space="preserve">Khomsahrial Romli, ‘Akulturasi Dan Asimilasi Dalam Konteks Interaksi Antar Etnik’, </w:t>
      </w:r>
      <w:r w:rsidRPr="001D7A1C">
        <w:rPr>
          <w:rFonts w:asciiTheme="majorBidi" w:hAnsiTheme="majorBidi" w:cstheme="majorBidi"/>
          <w:i/>
          <w:noProof/>
        </w:rPr>
        <w:t>Ijtimaiyya</w:t>
      </w:r>
      <w:r w:rsidRPr="001D7A1C">
        <w:rPr>
          <w:rFonts w:asciiTheme="majorBidi" w:hAnsiTheme="majorBidi" w:cstheme="majorBidi"/>
          <w:noProof/>
        </w:rPr>
        <w:t>, 8.1 (2015), 1–13.</w:t>
      </w:r>
      <w:r w:rsidRPr="001D7A1C">
        <w:rPr>
          <w:rFonts w:asciiTheme="majorBidi" w:hAnsiTheme="majorBidi" w:cstheme="majorBidi"/>
        </w:rPr>
        <w:fldChar w:fldCharType="end"/>
      </w:r>
    </w:p>
  </w:footnote>
  <w:footnote w:id="5">
    <w:p w:rsidR="005A3419" w:rsidRPr="001D7A1C" w:rsidRDefault="005A3419" w:rsidP="005A3419">
      <w:pPr>
        <w:pStyle w:val="FootnoteText"/>
        <w:ind w:firstLine="567"/>
        <w:rPr>
          <w:rFonts w:asciiTheme="majorBidi" w:hAnsiTheme="majorBidi" w:cstheme="majorBidi"/>
        </w:rPr>
      </w:pPr>
      <w:r w:rsidRPr="001D7A1C">
        <w:rPr>
          <w:rStyle w:val="FootnoteReference"/>
          <w:rFonts w:asciiTheme="majorBidi" w:hAnsiTheme="majorBidi" w:cstheme="majorBidi"/>
        </w:rPr>
        <w:footnoteRef/>
      </w:r>
      <w:r w:rsidRPr="001D7A1C">
        <w:rPr>
          <w:rFonts w:asciiTheme="majorBidi" w:hAnsiTheme="majorBidi" w:cstheme="majorBidi"/>
        </w:rPr>
        <w:t xml:space="preserve"> </w:t>
      </w:r>
      <w:r w:rsidRPr="001D7A1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{"citationItems":[{"id":"ITEM-1","itemData":{"author":[{"dropping-particle":"","family":"Haswanto","given":"Naomi","non-dropping-particle":"","parse-names":false,"suffix":""}],"container-title":"Wimba, Jurnal Komunikasi Visual","id":"ITEM-1","issue":"2","issued":{"date-parts":[["2009"]]},"page":"25-31","title":"Aksara Daerah dan Budaya Visual Nusantara sebagai Gagasan Perancangan TYPEFACE (Font) Latin","type":"article-journal","volume":"1"},"uris":["http://www.mendeley.com/documents/?uuid=337522ee-cd87-4675-97fc-1e5f5a4e16a6"]}],"mendeley":{"formattedCitation":"Naomi Haswanto, ‘Aksara Daerah Dan Budaya Visual Nusantara Sebagai Gagasan Perancangan TYPEFACE (Font) Latin’, &lt;i&gt;Wimba, Jurnal Komunikasi Visual&lt;/i&gt;, 1.2 (2009), 25–31.","plainTextFormattedCitation":"Naomi Haswanto, ‘Aksara Daerah Dan Budaya Visual Nusantara Sebagai Gagasan Perancangan TYPEFACE (Font) Latin’, Wimba, Jurnal Komunikasi Visual, 1.2 (2009), 25–31.","previouslyFormattedCitation":"Naomi Haswanto, ‘Aksara Daerah Dan Budaya Visual Nusantara Sebagai Gagasan Perancangan TYPEFACE (Font) Latin’, &lt;i&gt;Wimba, Jurnal Komunikasi Visual&lt;/i&gt;, 1.2 (2009), 25–31."},"properties":{"noteIndex":5},"schema":"https://github.com/citation-style-language/schema/raw/master/csl-citation.json"}</w:instrText>
      </w:r>
      <w:r w:rsidRPr="001D7A1C">
        <w:rPr>
          <w:rFonts w:asciiTheme="majorBidi" w:hAnsiTheme="majorBidi" w:cstheme="majorBidi"/>
        </w:rPr>
        <w:fldChar w:fldCharType="separate"/>
      </w:r>
      <w:r w:rsidRPr="001D7A1C">
        <w:rPr>
          <w:rFonts w:asciiTheme="majorBidi" w:hAnsiTheme="majorBidi" w:cstheme="majorBidi"/>
          <w:noProof/>
        </w:rPr>
        <w:t xml:space="preserve">Naomi Haswanto, ‘Aksara Daerah Dan Budaya Visual Nusantara Sebagai Gagasan Perancangan TYPEFACE (Font) Latin’, </w:t>
      </w:r>
      <w:r w:rsidRPr="001D7A1C">
        <w:rPr>
          <w:rFonts w:asciiTheme="majorBidi" w:hAnsiTheme="majorBidi" w:cstheme="majorBidi"/>
          <w:i/>
          <w:noProof/>
        </w:rPr>
        <w:t>Wimba, Jurnal Komunikasi Visual</w:t>
      </w:r>
      <w:r w:rsidRPr="001D7A1C">
        <w:rPr>
          <w:rFonts w:asciiTheme="majorBidi" w:hAnsiTheme="majorBidi" w:cstheme="majorBidi"/>
          <w:noProof/>
        </w:rPr>
        <w:t>, 1.2 (2009), 25–31.</w:t>
      </w:r>
      <w:r w:rsidRPr="001D7A1C">
        <w:rPr>
          <w:rFonts w:asciiTheme="majorBidi" w:hAnsiTheme="majorBidi" w:cstheme="majorBidi"/>
        </w:rPr>
        <w:fldChar w:fldCharType="end"/>
      </w:r>
    </w:p>
  </w:footnote>
  <w:footnote w:id="6">
    <w:p w:rsidR="005A3419" w:rsidRPr="001D7A1C" w:rsidRDefault="005A3419" w:rsidP="005A3419">
      <w:pPr>
        <w:pStyle w:val="FootnoteText"/>
        <w:ind w:firstLine="567"/>
        <w:rPr>
          <w:rFonts w:asciiTheme="majorBidi" w:hAnsiTheme="majorBidi" w:cstheme="majorBidi"/>
        </w:rPr>
      </w:pPr>
      <w:r w:rsidRPr="001D7A1C">
        <w:rPr>
          <w:rStyle w:val="FootnoteReference"/>
          <w:rFonts w:asciiTheme="majorBidi" w:hAnsiTheme="majorBidi" w:cstheme="majorBidi"/>
        </w:rPr>
        <w:footnoteRef/>
      </w:r>
      <w:r w:rsidRPr="001D7A1C">
        <w:rPr>
          <w:rFonts w:asciiTheme="majorBidi" w:hAnsiTheme="majorBidi" w:cstheme="majorBidi"/>
        </w:rPr>
        <w:t xml:space="preserve"> </w:t>
      </w:r>
      <w:r w:rsidRPr="001D7A1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{"citationItems":[{"id":"ITEM-1","itemData":{"author":[{"dropping-particle":"","family":"Haswanto","given":"Naomi","non-dropping-particle":"","parse-names":false,"suffix":""}],"container-title":"Wimba, Jurnal Komunikasi Visual","id":"ITEM-1","issue":"2","issued":{"date-parts":[["2009"]]},"page":"25-31","title":"Aksara Daerah dan Budaya Visual Nusantara sebagai Gagasan Perancangan TYPEFACE (Font) Latin","type":"article-journal","volume":"1"},"uris":["http://www.mendeley.com/documents/?uuid=337522ee-cd87-4675-97fc-1e5f5a4e16a6"]}],"mendeley":{"formattedCitation":"Haswanto.","manualFormatting":"Haswanto,...25-31.","plainTextFormattedCitation":"Haswanto.","previouslyFormattedCitation":"Haswanto."},"properties":{"noteIndex":6},"schema":"https://github.com/citation-style-language/schema/raw/master/csl-citation.json"}</w:instrText>
      </w:r>
      <w:r w:rsidRPr="001D7A1C">
        <w:rPr>
          <w:rFonts w:asciiTheme="majorBidi" w:hAnsiTheme="majorBidi" w:cstheme="majorBidi"/>
        </w:rPr>
        <w:fldChar w:fldCharType="separate"/>
      </w:r>
      <w:r w:rsidRPr="001D7A1C">
        <w:rPr>
          <w:rFonts w:asciiTheme="majorBidi" w:hAnsiTheme="majorBidi" w:cstheme="majorBidi"/>
          <w:noProof/>
        </w:rPr>
        <w:t>Haswanto,...25-31.</w:t>
      </w:r>
      <w:r w:rsidRPr="001D7A1C">
        <w:rPr>
          <w:rFonts w:asciiTheme="majorBidi" w:hAnsiTheme="majorBidi" w:cstheme="majorBidi"/>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419"/>
    <w:rsid w:val="000415EB"/>
    <w:rsid w:val="000B10DF"/>
    <w:rsid w:val="000B223A"/>
    <w:rsid w:val="001362E7"/>
    <w:rsid w:val="00201B12"/>
    <w:rsid w:val="00210177"/>
    <w:rsid w:val="00210806"/>
    <w:rsid w:val="00233DF2"/>
    <w:rsid w:val="002757A1"/>
    <w:rsid w:val="0029781E"/>
    <w:rsid w:val="002B4FD1"/>
    <w:rsid w:val="002E5456"/>
    <w:rsid w:val="00395E45"/>
    <w:rsid w:val="003A4198"/>
    <w:rsid w:val="003E5327"/>
    <w:rsid w:val="00471D39"/>
    <w:rsid w:val="004F4671"/>
    <w:rsid w:val="00555B27"/>
    <w:rsid w:val="005A3419"/>
    <w:rsid w:val="005A4C73"/>
    <w:rsid w:val="005A73C0"/>
    <w:rsid w:val="005D026B"/>
    <w:rsid w:val="00677639"/>
    <w:rsid w:val="00687B74"/>
    <w:rsid w:val="006C717E"/>
    <w:rsid w:val="007335EA"/>
    <w:rsid w:val="007622BA"/>
    <w:rsid w:val="00782BBB"/>
    <w:rsid w:val="007C3DEA"/>
    <w:rsid w:val="008855A4"/>
    <w:rsid w:val="008859B7"/>
    <w:rsid w:val="008B1BB2"/>
    <w:rsid w:val="009348FC"/>
    <w:rsid w:val="0099295D"/>
    <w:rsid w:val="009B7129"/>
    <w:rsid w:val="009D222A"/>
    <w:rsid w:val="009F1CDA"/>
    <w:rsid w:val="009F7201"/>
    <w:rsid w:val="00A66E9D"/>
    <w:rsid w:val="00AE43C9"/>
    <w:rsid w:val="00B17770"/>
    <w:rsid w:val="00B37B8B"/>
    <w:rsid w:val="00BA10E8"/>
    <w:rsid w:val="00BC4AA7"/>
    <w:rsid w:val="00C7287E"/>
    <w:rsid w:val="00C8107B"/>
    <w:rsid w:val="00CB3D3A"/>
    <w:rsid w:val="00CB74B1"/>
    <w:rsid w:val="00CF1294"/>
    <w:rsid w:val="00D31263"/>
    <w:rsid w:val="00D45946"/>
    <w:rsid w:val="00D759AE"/>
    <w:rsid w:val="00E143D3"/>
    <w:rsid w:val="00E947CC"/>
    <w:rsid w:val="00F32DEF"/>
    <w:rsid w:val="00F630A6"/>
    <w:rsid w:val="00FA14D4"/>
    <w:rsid w:val="00FC284A"/>
    <w:rsid w:val="00FC37A9"/>
    <w:rsid w:val="00FF633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A3419"/>
    <w:rPr>
      <w:rFonts w:cstheme="minorBidi"/>
      <w:sz w:val="20"/>
      <w:szCs w:val="20"/>
    </w:rPr>
  </w:style>
  <w:style w:type="character" w:customStyle="1" w:styleId="FootnoteTextChar">
    <w:name w:val="Footnote Text Char"/>
    <w:basedOn w:val="DefaultParagraphFont"/>
    <w:link w:val="FootnoteText"/>
    <w:uiPriority w:val="99"/>
    <w:rsid w:val="005A3419"/>
    <w:rPr>
      <w:rFonts w:cstheme="minorBidi"/>
      <w:sz w:val="20"/>
      <w:szCs w:val="20"/>
    </w:rPr>
  </w:style>
  <w:style w:type="character" w:styleId="FootnoteReference">
    <w:name w:val="footnote reference"/>
    <w:basedOn w:val="DefaultParagraphFont"/>
    <w:uiPriority w:val="99"/>
    <w:unhideWhenUsed/>
    <w:rsid w:val="005A34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A3419"/>
    <w:rPr>
      <w:rFonts w:cstheme="minorBidi"/>
      <w:sz w:val="20"/>
      <w:szCs w:val="20"/>
    </w:rPr>
  </w:style>
  <w:style w:type="character" w:customStyle="1" w:styleId="FootnoteTextChar">
    <w:name w:val="Footnote Text Char"/>
    <w:basedOn w:val="DefaultParagraphFont"/>
    <w:link w:val="FootnoteText"/>
    <w:uiPriority w:val="99"/>
    <w:rsid w:val="005A3419"/>
    <w:rPr>
      <w:rFonts w:cstheme="minorBidi"/>
      <w:sz w:val="20"/>
      <w:szCs w:val="20"/>
    </w:rPr>
  </w:style>
  <w:style w:type="character" w:styleId="FootnoteReference">
    <w:name w:val="footnote reference"/>
    <w:basedOn w:val="DefaultParagraphFont"/>
    <w:uiPriority w:val="99"/>
    <w:unhideWhenUsed/>
    <w:rsid w:val="005A3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2022-03-15T04:27:00Z</dcterms:created>
  <dcterms:modified xsi:type="dcterms:W3CDTF">2022-03-15T04:28:00Z</dcterms:modified>
</cp:coreProperties>
</file>