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369A3" w14:textId="4B422790" w:rsidR="00CC56D9" w:rsidRDefault="00CC56D9" w:rsidP="00CC56D9">
      <w:pPr>
        <w:spacing w:after="200" w:line="360" w:lineRule="auto"/>
        <w:ind w:firstLine="574"/>
        <w:jc w:val="center"/>
        <w:rPr>
          <w:rFonts w:ascii="Times New Roman" w:hAnsi="Times New Roman" w:cs="Times New Roman"/>
          <w:b/>
          <w:bCs/>
          <w:sz w:val="24"/>
          <w:szCs w:val="24"/>
        </w:rPr>
      </w:pPr>
      <w:r w:rsidRPr="00CC56D9">
        <w:rPr>
          <w:rFonts w:ascii="Times New Roman" w:hAnsi="Times New Roman" w:cs="Times New Roman"/>
          <w:b/>
          <w:bCs/>
          <w:sz w:val="24"/>
          <w:szCs w:val="24"/>
        </w:rPr>
        <w:t>LEGAL DEBATES ON ISLAMIC FINANCIAL INSTRUMENTS</w:t>
      </w:r>
    </w:p>
    <w:p w14:paraId="43F4A55D" w14:textId="4E9BD0D5" w:rsidR="00A54E44" w:rsidRPr="00CC56D9" w:rsidRDefault="00A54E44" w:rsidP="00CC56D9">
      <w:pPr>
        <w:spacing w:after="200" w:line="360" w:lineRule="auto"/>
        <w:ind w:firstLine="574"/>
        <w:jc w:val="center"/>
        <w:rPr>
          <w:rFonts w:ascii="Times New Roman" w:hAnsi="Times New Roman" w:cs="Times New Roman"/>
          <w:b/>
          <w:bCs/>
          <w:sz w:val="24"/>
          <w:szCs w:val="24"/>
        </w:rPr>
      </w:pPr>
      <w:r>
        <w:rPr>
          <w:rFonts w:ascii="Times New Roman" w:hAnsi="Times New Roman" w:cs="Times New Roman"/>
          <w:b/>
          <w:bCs/>
          <w:sz w:val="24"/>
          <w:szCs w:val="24"/>
        </w:rPr>
        <w:t xml:space="preserve">By Romi </w:t>
      </w:r>
      <w:proofErr w:type="spellStart"/>
      <w:r>
        <w:rPr>
          <w:rFonts w:ascii="Times New Roman" w:hAnsi="Times New Roman" w:cs="Times New Roman"/>
          <w:b/>
          <w:bCs/>
          <w:sz w:val="24"/>
          <w:szCs w:val="24"/>
        </w:rPr>
        <w:t>Adetio</w:t>
      </w:r>
      <w:proofErr w:type="spellEnd"/>
      <w:r>
        <w:rPr>
          <w:rFonts w:ascii="Times New Roman" w:hAnsi="Times New Roman" w:cs="Times New Roman"/>
          <w:b/>
          <w:bCs/>
          <w:sz w:val="24"/>
          <w:szCs w:val="24"/>
        </w:rPr>
        <w:t xml:space="preserve"> Setiawan</w:t>
      </w:r>
      <w:r w:rsidR="00085037">
        <w:rPr>
          <w:rFonts w:ascii="Times New Roman" w:hAnsi="Times New Roman" w:cs="Times New Roman"/>
          <w:b/>
          <w:bCs/>
          <w:sz w:val="24"/>
          <w:szCs w:val="24"/>
        </w:rPr>
        <w:t>*</w:t>
      </w:r>
    </w:p>
    <w:p w14:paraId="23E69CFD" w14:textId="4388315B" w:rsidR="00B02E74" w:rsidRPr="00CC56D9" w:rsidRDefault="00AC3E5A" w:rsidP="00CC56D9">
      <w:pPr>
        <w:spacing w:after="200" w:line="360" w:lineRule="auto"/>
        <w:ind w:left="574"/>
        <w:jc w:val="both"/>
        <w:rPr>
          <w:rFonts w:ascii="Times New Roman" w:hAnsi="Times New Roman" w:cs="Times New Roman"/>
          <w:i/>
          <w:iCs/>
          <w:sz w:val="24"/>
          <w:szCs w:val="24"/>
        </w:rPr>
      </w:pPr>
      <w:r w:rsidRPr="00AC3E5A">
        <w:rPr>
          <w:rFonts w:ascii="Times New Roman" w:hAnsi="Times New Roman" w:cs="Times New Roman"/>
          <w:b/>
          <w:bCs/>
          <w:sz w:val="24"/>
          <w:szCs w:val="24"/>
        </w:rPr>
        <w:t>Abstract:</w:t>
      </w:r>
      <w:r>
        <w:rPr>
          <w:rFonts w:ascii="Times New Roman" w:hAnsi="Times New Roman" w:cs="Times New Roman"/>
          <w:sz w:val="24"/>
          <w:szCs w:val="24"/>
        </w:rPr>
        <w:t xml:space="preserve"> </w:t>
      </w:r>
      <w:r w:rsidR="00CC56D9">
        <w:rPr>
          <w:rFonts w:ascii="Times New Roman" w:hAnsi="Times New Roman" w:cs="Times New Roman"/>
          <w:sz w:val="24"/>
          <w:szCs w:val="24"/>
        </w:rPr>
        <w:t xml:space="preserve">Islamic financial products and services </w:t>
      </w:r>
      <w:r w:rsidR="00CC56D9">
        <w:rPr>
          <w:rFonts w:ascii="Times New Roman" w:hAnsi="Times New Roman" w:cs="Times New Roman"/>
          <w:sz w:val="24"/>
          <w:szCs w:val="24"/>
        </w:rPr>
        <w:t xml:space="preserve">has been widely </w:t>
      </w:r>
      <w:r w:rsidR="00CC56D9">
        <w:rPr>
          <w:rFonts w:ascii="Times New Roman" w:hAnsi="Times New Roman" w:cs="Times New Roman"/>
          <w:sz w:val="24"/>
          <w:szCs w:val="24"/>
        </w:rPr>
        <w:t xml:space="preserve">offered by Indonesian Islamic banks and Islamic business units. It is argued that Indonesian Islamic financial scholars produce financial instruments that are almost identical to conventional finance and frequently cost roughly the same as conventional bank products. The main difference being (as discussed below) that they are technically satisfying an Islamic principle that prohibits interest.  The issue here is whether Islamic banks can co-opt the Islamic groups that criticize Islamic finance for violating the pure intent (or ‘substance’) of Islamic bans against </w:t>
      </w:r>
      <w:proofErr w:type="spellStart"/>
      <w:r w:rsidR="00CC56D9">
        <w:rPr>
          <w:rFonts w:ascii="Times New Roman" w:hAnsi="Times New Roman" w:cs="Times New Roman"/>
          <w:i/>
          <w:iCs/>
          <w:sz w:val="24"/>
          <w:szCs w:val="24"/>
        </w:rPr>
        <w:t>riba</w:t>
      </w:r>
      <w:proofErr w:type="spellEnd"/>
      <w:r w:rsidR="00CC56D9">
        <w:rPr>
          <w:rFonts w:ascii="Times New Roman" w:hAnsi="Times New Roman" w:cs="Times New Roman"/>
          <w:iCs/>
          <w:sz w:val="24"/>
          <w:szCs w:val="24"/>
        </w:rPr>
        <w:t>;</w:t>
      </w:r>
      <w:r w:rsidR="00CC56D9">
        <w:rPr>
          <w:rFonts w:ascii="Times New Roman" w:hAnsi="Times New Roman" w:cs="Times New Roman"/>
          <w:sz w:val="24"/>
          <w:szCs w:val="24"/>
        </w:rPr>
        <w:t xml:space="preserve"> and whether they can remain competitive if the products offered are limited to the early theoretical risk-sharing models of Islamic banking.  </w:t>
      </w:r>
      <w:r w:rsidR="00CC56D9">
        <w:rPr>
          <w:rFonts w:ascii="Times New Roman" w:hAnsi="Times New Roman" w:cs="Times New Roman"/>
          <w:sz w:val="24"/>
          <w:szCs w:val="24"/>
        </w:rPr>
        <w:t xml:space="preserve">Also, whether </w:t>
      </w:r>
      <w:r w:rsidR="00CC56D9">
        <w:rPr>
          <w:rFonts w:ascii="Times New Roman" w:hAnsi="Times New Roman" w:cs="Times New Roman"/>
          <w:sz w:val="24"/>
          <w:szCs w:val="24"/>
        </w:rPr>
        <w:t xml:space="preserve">theoretically ideal products could provide value for banks’ shareholders and customers and meet the modern needs of business and the community. </w:t>
      </w:r>
      <w:r w:rsidR="00CC56D9">
        <w:rPr>
          <w:rFonts w:ascii="Times New Roman" w:hAnsi="Times New Roman" w:cs="Times New Roman"/>
          <w:sz w:val="24"/>
          <w:szCs w:val="24"/>
        </w:rPr>
        <w:t xml:space="preserve"> </w:t>
      </w:r>
      <w:r w:rsidR="00CC56D9">
        <w:rPr>
          <w:rFonts w:ascii="Times New Roman" w:hAnsi="Times New Roman" w:cs="Times New Roman"/>
          <w:sz w:val="24"/>
          <w:szCs w:val="24"/>
        </w:rPr>
        <w:t xml:space="preserve">The author rejects </w:t>
      </w:r>
      <w:r>
        <w:rPr>
          <w:rFonts w:ascii="Times New Roman" w:hAnsi="Times New Roman" w:cs="Times New Roman"/>
          <w:sz w:val="24"/>
          <w:szCs w:val="24"/>
        </w:rPr>
        <w:t>all</w:t>
      </w:r>
      <w:r w:rsidR="00CC56D9">
        <w:rPr>
          <w:rFonts w:ascii="Times New Roman" w:hAnsi="Times New Roman" w:cs="Times New Roman"/>
          <w:sz w:val="24"/>
          <w:szCs w:val="24"/>
        </w:rPr>
        <w:t xml:space="preserve"> </w:t>
      </w:r>
      <w:r>
        <w:rPr>
          <w:rFonts w:ascii="Times New Roman" w:hAnsi="Times New Roman" w:cs="Times New Roman"/>
          <w:sz w:val="24"/>
          <w:szCs w:val="24"/>
        </w:rPr>
        <w:t>sceptics</w:t>
      </w:r>
      <w:r w:rsidR="00CC56D9">
        <w:rPr>
          <w:rFonts w:ascii="Times New Roman" w:hAnsi="Times New Roman" w:cs="Times New Roman"/>
          <w:sz w:val="24"/>
          <w:szCs w:val="24"/>
        </w:rPr>
        <w:t xml:space="preserve"> perception which says that Islamic products might </w:t>
      </w:r>
      <w:r w:rsidR="00CC56D9" w:rsidRPr="00CC56D9">
        <w:rPr>
          <w:rFonts w:ascii="Times New Roman" w:hAnsi="Times New Roman" w:cs="Times New Roman"/>
          <w:sz w:val="24"/>
          <w:szCs w:val="24"/>
        </w:rPr>
        <w:t>contain</w:t>
      </w:r>
      <w:r w:rsidR="00CC56D9">
        <w:rPr>
          <w:rFonts w:ascii="Times New Roman" w:hAnsi="Times New Roman" w:cs="Times New Roman"/>
          <w:i/>
          <w:iCs/>
          <w:sz w:val="24"/>
          <w:szCs w:val="24"/>
        </w:rPr>
        <w:t xml:space="preserve"> </w:t>
      </w:r>
      <w:proofErr w:type="spellStart"/>
      <w:r w:rsidR="00CC56D9">
        <w:rPr>
          <w:rFonts w:ascii="Times New Roman" w:hAnsi="Times New Roman" w:cs="Times New Roman"/>
          <w:i/>
          <w:iCs/>
          <w:sz w:val="24"/>
          <w:szCs w:val="24"/>
        </w:rPr>
        <w:t>riba</w:t>
      </w:r>
      <w:proofErr w:type="spellEnd"/>
      <w:r w:rsidR="00CC56D9">
        <w:rPr>
          <w:rFonts w:ascii="Times New Roman" w:hAnsi="Times New Roman" w:cs="Times New Roman"/>
          <w:i/>
          <w:iCs/>
          <w:sz w:val="24"/>
          <w:szCs w:val="24"/>
        </w:rPr>
        <w:t>.</w:t>
      </w:r>
      <w:r w:rsidR="00CC56D9">
        <w:rPr>
          <w:rFonts w:ascii="Times New Roman" w:hAnsi="Times New Roman" w:cs="Times New Roman"/>
          <w:sz w:val="24"/>
          <w:szCs w:val="24"/>
        </w:rPr>
        <w:t xml:space="preserve"> Instead, author </w:t>
      </w:r>
      <w:r>
        <w:rPr>
          <w:rFonts w:ascii="Times New Roman" w:hAnsi="Times New Roman" w:cs="Times New Roman"/>
          <w:sz w:val="24"/>
          <w:szCs w:val="24"/>
        </w:rPr>
        <w:t>suggested</w:t>
      </w:r>
      <w:r w:rsidR="00CC56D9">
        <w:rPr>
          <w:rFonts w:ascii="Times New Roman" w:hAnsi="Times New Roman" w:cs="Times New Roman"/>
          <w:sz w:val="24"/>
          <w:szCs w:val="24"/>
        </w:rPr>
        <w:t xml:space="preserve"> that the middle ground approach is possible</w:t>
      </w:r>
      <w:r>
        <w:rPr>
          <w:rFonts w:ascii="Times New Roman" w:hAnsi="Times New Roman" w:cs="Times New Roman"/>
          <w:sz w:val="24"/>
          <w:szCs w:val="24"/>
        </w:rPr>
        <w:t xml:space="preserve"> to solve</w:t>
      </w:r>
      <w:r w:rsidR="00CC56D9">
        <w:rPr>
          <w:rFonts w:ascii="Times New Roman" w:hAnsi="Times New Roman" w:cs="Times New Roman"/>
          <w:sz w:val="24"/>
          <w:szCs w:val="24"/>
        </w:rPr>
        <w:t xml:space="preserve"> the difference between </w:t>
      </w:r>
      <w:r>
        <w:rPr>
          <w:rFonts w:ascii="Times New Roman" w:hAnsi="Times New Roman" w:cs="Times New Roman"/>
          <w:sz w:val="24"/>
          <w:szCs w:val="24"/>
        </w:rPr>
        <w:t xml:space="preserve">classical and contemporary </w:t>
      </w:r>
      <w:r w:rsidR="00CC56D9">
        <w:rPr>
          <w:rFonts w:ascii="Times New Roman" w:hAnsi="Times New Roman" w:cs="Times New Roman"/>
          <w:sz w:val="24"/>
          <w:szCs w:val="24"/>
        </w:rPr>
        <w:t>scholars on the question of whether the taking and receiving of interest on ‘modern’ loan contract is permissible</w:t>
      </w:r>
      <w:r>
        <w:rPr>
          <w:rFonts w:ascii="Times New Roman" w:hAnsi="Times New Roman" w:cs="Times New Roman"/>
          <w:sz w:val="24"/>
          <w:szCs w:val="24"/>
        </w:rPr>
        <w:t>. Because, it should be recognised in the academic circle that in contemporary Islamic finance, the Islamic financial products are being modified to meet virtuous solution (</w:t>
      </w:r>
      <w:proofErr w:type="spellStart"/>
      <w:r w:rsidRPr="00AC3E5A">
        <w:rPr>
          <w:rFonts w:ascii="Times New Roman" w:hAnsi="Times New Roman" w:cs="Times New Roman"/>
          <w:i/>
          <w:iCs/>
          <w:sz w:val="24"/>
          <w:szCs w:val="24"/>
        </w:rPr>
        <w:t>maslahah</w:t>
      </w:r>
      <w:proofErr w:type="spellEnd"/>
      <w:r>
        <w:rPr>
          <w:rFonts w:ascii="Times New Roman" w:hAnsi="Times New Roman" w:cs="Times New Roman"/>
          <w:sz w:val="24"/>
          <w:szCs w:val="24"/>
        </w:rPr>
        <w:t>) that is at least universally agreed by Islamic scholars and still retain a distinctively ‘Islamic’ character.</w:t>
      </w:r>
    </w:p>
    <w:sectPr w:rsidR="00B02E74" w:rsidRPr="00CC56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80B6E" w14:textId="77777777" w:rsidR="0002760D" w:rsidRDefault="0002760D" w:rsidP="0002760D">
      <w:pPr>
        <w:spacing w:after="0" w:line="240" w:lineRule="auto"/>
      </w:pPr>
      <w:r>
        <w:separator/>
      </w:r>
    </w:p>
  </w:endnote>
  <w:endnote w:type="continuationSeparator" w:id="0">
    <w:p w14:paraId="306AE54D" w14:textId="77777777" w:rsidR="0002760D" w:rsidRDefault="0002760D" w:rsidP="00027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C2B2F" w14:textId="7AB36CA3" w:rsidR="00085037" w:rsidRPr="007948D8" w:rsidRDefault="00085037" w:rsidP="00085037">
    <w:pPr>
      <w:pStyle w:val="Footer"/>
      <w:rPr>
        <w:i/>
        <w:iCs/>
      </w:rPr>
    </w:pPr>
    <w:r w:rsidRPr="007948D8">
      <w:rPr>
        <w:i/>
        <w:iCs/>
      </w:rPr>
      <w:t xml:space="preserve">* </w:t>
    </w:r>
    <w:r w:rsidR="007948D8" w:rsidRPr="007948D8">
      <w:rPr>
        <w:i/>
        <w:iCs/>
      </w:rPr>
      <w:t xml:space="preserve">PhD Candidate in Islamic Finance at School of Law, Western Sydney University, Australia. A lecturer of Islamic Banking and Finance at State Institute of Islamic Studies, Bengkulu, Indonesia. Also, awardee of MORA Scholarship from Ministry of Religious Affairs, Republic of Indonesia. </w:t>
    </w:r>
  </w:p>
  <w:p w14:paraId="3B516D35" w14:textId="77777777" w:rsidR="00085037" w:rsidRDefault="00085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F128E" w14:textId="77777777" w:rsidR="0002760D" w:rsidRDefault="0002760D" w:rsidP="0002760D">
      <w:pPr>
        <w:spacing w:after="0" w:line="240" w:lineRule="auto"/>
      </w:pPr>
      <w:r>
        <w:separator/>
      </w:r>
    </w:p>
  </w:footnote>
  <w:footnote w:type="continuationSeparator" w:id="0">
    <w:p w14:paraId="2BECCE9C" w14:textId="77777777" w:rsidR="0002760D" w:rsidRDefault="0002760D" w:rsidP="00027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477CB2"/>
    <w:multiLevelType w:val="hybridMultilevel"/>
    <w:tmpl w:val="236096EA"/>
    <w:lvl w:ilvl="0" w:tplc="5F7A432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3AhLGpuYGpuamxko6SsGpxcWZ+XkgBYa1AHTT9f4sAAAA"/>
  </w:docVars>
  <w:rsids>
    <w:rsidRoot w:val="00CC56D9"/>
    <w:rsid w:val="0002760D"/>
    <w:rsid w:val="00085037"/>
    <w:rsid w:val="001D1A53"/>
    <w:rsid w:val="0063364E"/>
    <w:rsid w:val="007948D8"/>
    <w:rsid w:val="00A54E44"/>
    <w:rsid w:val="00AC3E5A"/>
    <w:rsid w:val="00B02E74"/>
    <w:rsid w:val="00CC56D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56780"/>
  <w15:chartTrackingRefBased/>
  <w15:docId w15:val="{5991F5D8-0A68-42C9-B17D-3607AD29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76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760D"/>
    <w:rPr>
      <w:sz w:val="20"/>
      <w:szCs w:val="20"/>
    </w:rPr>
  </w:style>
  <w:style w:type="character" w:styleId="FootnoteReference">
    <w:name w:val="footnote reference"/>
    <w:basedOn w:val="DefaultParagraphFont"/>
    <w:uiPriority w:val="99"/>
    <w:semiHidden/>
    <w:unhideWhenUsed/>
    <w:rsid w:val="0002760D"/>
    <w:rPr>
      <w:vertAlign w:val="superscript"/>
    </w:rPr>
  </w:style>
  <w:style w:type="paragraph" w:styleId="ListParagraph">
    <w:name w:val="List Paragraph"/>
    <w:basedOn w:val="Normal"/>
    <w:uiPriority w:val="34"/>
    <w:qFormat/>
    <w:rsid w:val="0002760D"/>
    <w:pPr>
      <w:ind w:left="720"/>
      <w:contextualSpacing/>
    </w:pPr>
  </w:style>
  <w:style w:type="paragraph" w:styleId="Header">
    <w:name w:val="header"/>
    <w:basedOn w:val="Normal"/>
    <w:link w:val="HeaderChar"/>
    <w:uiPriority w:val="99"/>
    <w:unhideWhenUsed/>
    <w:rsid w:val="00085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37"/>
  </w:style>
  <w:style w:type="paragraph" w:styleId="Footer">
    <w:name w:val="footer"/>
    <w:basedOn w:val="Normal"/>
    <w:link w:val="FooterChar"/>
    <w:uiPriority w:val="99"/>
    <w:unhideWhenUsed/>
    <w:rsid w:val="00085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76050-C0DF-44B0-8DE0-DDEECB7B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 Setiawan</dc:creator>
  <cp:keywords/>
  <dc:description/>
  <cp:lastModifiedBy>Romi Setiawan</cp:lastModifiedBy>
  <cp:revision>5</cp:revision>
  <dcterms:created xsi:type="dcterms:W3CDTF">2021-07-25T21:38:00Z</dcterms:created>
  <dcterms:modified xsi:type="dcterms:W3CDTF">2021-07-25T22:02:00Z</dcterms:modified>
</cp:coreProperties>
</file>