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05" w:rsidRDefault="00813F22">
      <w:hyperlink r:id="rId5" w:history="1">
        <w:r w:rsidRPr="004B5D13">
          <w:rPr>
            <w:rStyle w:val="Hyperlink"/>
          </w:rPr>
          <w:t>https://ejournal.iainbengkulu.ac.id/index.php/manthiq/issue/view/413</w:t>
        </w:r>
      </w:hyperlink>
    </w:p>
    <w:p w:rsidR="00813F22" w:rsidRDefault="00813F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57B0FF" wp14:editId="4C2E07AB">
            <wp:simplePos x="0" y="0"/>
            <wp:positionH relativeFrom="column">
              <wp:posOffset>94615</wp:posOffset>
            </wp:positionH>
            <wp:positionV relativeFrom="paragraph">
              <wp:posOffset>153035</wp:posOffset>
            </wp:positionV>
            <wp:extent cx="5943600" cy="3343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3F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22"/>
    <w:rsid w:val="001E1D05"/>
    <w:rsid w:val="0076105D"/>
    <w:rsid w:val="008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3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3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journal.iainbengkulu.ac.id/index.php/manthiq/issue/view/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2022-08-03T12:53:00Z</dcterms:created>
  <dcterms:modified xsi:type="dcterms:W3CDTF">2022-08-03T12:54:00Z</dcterms:modified>
</cp:coreProperties>
</file>