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5A72" w14:textId="77777777" w:rsidR="008104F5" w:rsidRDefault="008104F5">
      <w:pPr>
        <w:widowControl w:val="0"/>
        <w:pBdr>
          <w:top w:val="nil"/>
          <w:left w:val="nil"/>
          <w:bottom w:val="nil"/>
          <w:right w:val="nil"/>
          <w:between w:val="nil"/>
        </w:pBdr>
        <w:spacing w:line="276" w:lineRule="auto"/>
        <w:jc w:val="left"/>
      </w:pPr>
    </w:p>
    <w:p w14:paraId="01C79E09" w14:textId="441C0558" w:rsidR="008104F5" w:rsidRPr="004D6FD9" w:rsidRDefault="00AF1271">
      <w:pPr>
        <w:spacing w:after="160"/>
        <w:jc w:val="center"/>
        <w:rPr>
          <w:color w:val="000000" w:themeColor="text1"/>
        </w:rPr>
      </w:pPr>
      <w:bookmarkStart w:id="0" w:name="_heading=h.3znysh7" w:colFirst="0" w:colLast="0"/>
      <w:bookmarkEnd w:id="0"/>
      <w:r w:rsidRPr="004D6FD9">
        <w:rPr>
          <w:color w:val="000000" w:themeColor="text1"/>
        </w:rPr>
        <w:t>Word count: 6</w:t>
      </w:r>
      <w:r w:rsidR="0054679C">
        <w:rPr>
          <w:color w:val="000000" w:themeColor="text1"/>
        </w:rPr>
        <w:t>,</w:t>
      </w:r>
      <w:r w:rsidRPr="004D6FD9">
        <w:rPr>
          <w:color w:val="000000" w:themeColor="text1"/>
        </w:rPr>
        <w:t>9</w:t>
      </w:r>
      <w:r w:rsidR="0079483D">
        <w:rPr>
          <w:color w:val="000000" w:themeColor="text1"/>
        </w:rPr>
        <w:t>6</w:t>
      </w:r>
      <w:r w:rsidR="00725550">
        <w:rPr>
          <w:color w:val="000000" w:themeColor="text1"/>
        </w:rPr>
        <w:t>8</w:t>
      </w:r>
    </w:p>
    <w:p w14:paraId="620671D8" w14:textId="77777777" w:rsidR="008104F5" w:rsidRPr="00725550" w:rsidRDefault="00AF1271">
      <w:pPr>
        <w:spacing w:after="160"/>
        <w:jc w:val="center"/>
        <w:rPr>
          <w:b/>
          <w:bCs/>
        </w:rPr>
      </w:pPr>
      <w:commentRangeStart w:id="1"/>
      <w:r w:rsidRPr="00725550">
        <w:rPr>
          <w:b/>
          <w:bCs/>
        </w:rPr>
        <w:t xml:space="preserve">The impact of management capabilities and institutional isomorphism toward sustaining Open and Distance Learning (ODL): From the educators’ perspective </w:t>
      </w:r>
      <w:commentRangeEnd w:id="1"/>
      <w:r w:rsidR="004B62BA">
        <w:rPr>
          <w:rStyle w:val="CommentReference"/>
        </w:rPr>
        <w:commentReference w:id="1"/>
      </w:r>
    </w:p>
    <w:p w14:paraId="2C4A5C9D" w14:textId="08F3B095" w:rsidR="008104F5" w:rsidRDefault="00AF1271" w:rsidP="0054679C">
      <w:pPr>
        <w:pBdr>
          <w:top w:val="nil"/>
          <w:left w:val="nil"/>
          <w:bottom w:val="nil"/>
          <w:right w:val="nil"/>
          <w:between w:val="nil"/>
        </w:pBdr>
        <w:tabs>
          <w:tab w:val="left" w:pos="1800"/>
          <w:tab w:val="left" w:pos="3510"/>
        </w:tabs>
        <w:jc w:val="center"/>
        <w:rPr>
          <w:color w:val="000000"/>
        </w:rPr>
      </w:pPr>
      <w:r>
        <w:rPr>
          <w:color w:val="000000"/>
        </w:rPr>
        <w:t>Author</w:t>
      </w:r>
    </w:p>
    <w:p w14:paraId="3BCFC827" w14:textId="681BDEC6" w:rsidR="008104F5" w:rsidRDefault="00AF1271">
      <w:pPr>
        <w:pBdr>
          <w:top w:val="nil"/>
          <w:left w:val="nil"/>
          <w:bottom w:val="nil"/>
          <w:right w:val="nil"/>
          <w:between w:val="nil"/>
        </w:pBdr>
        <w:tabs>
          <w:tab w:val="left" w:pos="1800"/>
          <w:tab w:val="left" w:pos="3510"/>
        </w:tabs>
        <w:jc w:val="center"/>
        <w:rPr>
          <w:color w:val="000000"/>
        </w:rPr>
      </w:pPr>
      <w:r>
        <w:rPr>
          <w:color w:val="000000"/>
        </w:rPr>
        <w:t xml:space="preserve">Deleted for peer review </w:t>
      </w:r>
    </w:p>
    <w:p w14:paraId="2D3E6732" w14:textId="77777777" w:rsidR="008104F5" w:rsidRDefault="008104F5">
      <w:pPr>
        <w:pBdr>
          <w:top w:val="nil"/>
          <w:left w:val="nil"/>
          <w:bottom w:val="nil"/>
          <w:right w:val="nil"/>
          <w:between w:val="nil"/>
        </w:pBdr>
        <w:spacing w:after="60"/>
        <w:jc w:val="center"/>
        <w:rPr>
          <w:color w:val="000000"/>
        </w:rPr>
      </w:pPr>
    </w:p>
    <w:p w14:paraId="4E09B9A3" w14:textId="77777777" w:rsidR="008104F5" w:rsidRDefault="008104F5">
      <w:pPr>
        <w:pBdr>
          <w:top w:val="nil"/>
          <w:left w:val="nil"/>
          <w:bottom w:val="nil"/>
          <w:right w:val="nil"/>
          <w:between w:val="nil"/>
        </w:pBdr>
        <w:spacing w:after="60" w:line="240" w:lineRule="auto"/>
        <w:jc w:val="center"/>
        <w:rPr>
          <w:color w:val="000000"/>
          <w:sz w:val="22"/>
          <w:szCs w:val="22"/>
        </w:rPr>
      </w:pPr>
    </w:p>
    <w:p w14:paraId="66237F33" w14:textId="77777777" w:rsidR="008104F5" w:rsidRDefault="008104F5">
      <w:pPr>
        <w:pBdr>
          <w:top w:val="nil"/>
          <w:left w:val="nil"/>
          <w:bottom w:val="nil"/>
          <w:right w:val="nil"/>
          <w:between w:val="nil"/>
        </w:pBdr>
        <w:spacing w:after="240" w:line="240" w:lineRule="auto"/>
        <w:jc w:val="center"/>
        <w:rPr>
          <w:color w:val="000000"/>
          <w:sz w:val="20"/>
          <w:szCs w:val="20"/>
        </w:rPr>
      </w:pPr>
    </w:p>
    <w:p w14:paraId="7AD3B153" w14:textId="77777777" w:rsidR="008104F5" w:rsidRDefault="008104F5">
      <w:pPr>
        <w:spacing w:after="160" w:line="240" w:lineRule="auto"/>
        <w:jc w:val="center"/>
        <w:rPr>
          <w:rFonts w:ascii="Arial" w:eastAsia="Arial" w:hAnsi="Arial" w:cs="Arial"/>
          <w:sz w:val="32"/>
          <w:szCs w:val="32"/>
        </w:rPr>
      </w:pPr>
    </w:p>
    <w:p w14:paraId="2646A947" w14:textId="77777777" w:rsidR="008104F5" w:rsidRDefault="008104F5">
      <w:pPr>
        <w:spacing w:after="160" w:line="240" w:lineRule="auto"/>
        <w:jc w:val="center"/>
        <w:rPr>
          <w:rFonts w:ascii="Arial" w:eastAsia="Arial" w:hAnsi="Arial" w:cs="Arial"/>
          <w:sz w:val="32"/>
          <w:szCs w:val="32"/>
        </w:rPr>
      </w:pPr>
    </w:p>
    <w:p w14:paraId="7FD8C076" w14:textId="77777777" w:rsidR="008104F5" w:rsidRDefault="008104F5">
      <w:pPr>
        <w:spacing w:after="160" w:line="240" w:lineRule="auto"/>
        <w:jc w:val="center"/>
        <w:rPr>
          <w:rFonts w:ascii="Arial" w:eastAsia="Arial" w:hAnsi="Arial" w:cs="Arial"/>
          <w:sz w:val="32"/>
          <w:szCs w:val="32"/>
        </w:rPr>
      </w:pPr>
    </w:p>
    <w:p w14:paraId="395C6D7F" w14:textId="77777777" w:rsidR="008104F5" w:rsidRDefault="008104F5">
      <w:pPr>
        <w:spacing w:after="160" w:line="240" w:lineRule="auto"/>
        <w:jc w:val="center"/>
        <w:rPr>
          <w:rFonts w:ascii="Arial" w:eastAsia="Arial" w:hAnsi="Arial" w:cs="Arial"/>
          <w:sz w:val="32"/>
          <w:szCs w:val="32"/>
        </w:rPr>
      </w:pPr>
    </w:p>
    <w:p w14:paraId="29E17A14" w14:textId="77777777" w:rsidR="008104F5" w:rsidRDefault="008104F5">
      <w:pPr>
        <w:spacing w:after="160" w:line="240" w:lineRule="auto"/>
        <w:jc w:val="center"/>
        <w:rPr>
          <w:rFonts w:ascii="Arial" w:eastAsia="Arial" w:hAnsi="Arial" w:cs="Arial"/>
          <w:sz w:val="32"/>
          <w:szCs w:val="32"/>
        </w:rPr>
      </w:pPr>
    </w:p>
    <w:p w14:paraId="4A151C0B" w14:textId="77777777" w:rsidR="008104F5" w:rsidRDefault="008104F5">
      <w:pPr>
        <w:spacing w:after="160" w:line="240" w:lineRule="auto"/>
        <w:jc w:val="center"/>
        <w:rPr>
          <w:rFonts w:ascii="Arial" w:eastAsia="Arial" w:hAnsi="Arial" w:cs="Arial"/>
          <w:sz w:val="32"/>
          <w:szCs w:val="32"/>
        </w:rPr>
      </w:pPr>
    </w:p>
    <w:p w14:paraId="26E1B67A" w14:textId="77777777" w:rsidR="008104F5" w:rsidRDefault="008104F5">
      <w:pPr>
        <w:spacing w:after="160" w:line="240" w:lineRule="auto"/>
        <w:jc w:val="center"/>
        <w:rPr>
          <w:rFonts w:ascii="Arial" w:eastAsia="Arial" w:hAnsi="Arial" w:cs="Arial"/>
          <w:sz w:val="32"/>
          <w:szCs w:val="32"/>
        </w:rPr>
      </w:pPr>
    </w:p>
    <w:p w14:paraId="3C22300D" w14:textId="77777777" w:rsidR="008104F5" w:rsidRDefault="008104F5">
      <w:pPr>
        <w:spacing w:after="160" w:line="240" w:lineRule="auto"/>
        <w:jc w:val="center"/>
        <w:rPr>
          <w:rFonts w:ascii="Arial" w:eastAsia="Arial" w:hAnsi="Arial" w:cs="Arial"/>
          <w:sz w:val="32"/>
          <w:szCs w:val="32"/>
        </w:rPr>
      </w:pPr>
    </w:p>
    <w:p w14:paraId="069A3260" w14:textId="77777777" w:rsidR="008104F5" w:rsidRDefault="008104F5">
      <w:pPr>
        <w:spacing w:after="160" w:line="240" w:lineRule="auto"/>
        <w:jc w:val="center"/>
        <w:rPr>
          <w:rFonts w:ascii="Arial" w:eastAsia="Arial" w:hAnsi="Arial" w:cs="Arial"/>
          <w:sz w:val="32"/>
          <w:szCs w:val="32"/>
        </w:rPr>
      </w:pPr>
    </w:p>
    <w:p w14:paraId="648B4392" w14:textId="77777777" w:rsidR="008104F5" w:rsidRDefault="008104F5">
      <w:pPr>
        <w:spacing w:after="160" w:line="240" w:lineRule="auto"/>
        <w:jc w:val="center"/>
        <w:rPr>
          <w:rFonts w:ascii="Arial" w:eastAsia="Arial" w:hAnsi="Arial" w:cs="Arial"/>
          <w:sz w:val="32"/>
          <w:szCs w:val="32"/>
        </w:rPr>
      </w:pPr>
    </w:p>
    <w:p w14:paraId="4DAC28CE" w14:textId="77777777" w:rsidR="008104F5" w:rsidRDefault="008104F5">
      <w:pPr>
        <w:spacing w:after="160" w:line="240" w:lineRule="auto"/>
        <w:jc w:val="center"/>
        <w:rPr>
          <w:rFonts w:ascii="Arial" w:eastAsia="Arial" w:hAnsi="Arial" w:cs="Arial"/>
          <w:sz w:val="32"/>
          <w:szCs w:val="32"/>
        </w:rPr>
      </w:pPr>
    </w:p>
    <w:p w14:paraId="60A64ED6" w14:textId="77777777" w:rsidR="008104F5" w:rsidRDefault="008104F5">
      <w:pPr>
        <w:spacing w:after="160" w:line="240" w:lineRule="auto"/>
        <w:jc w:val="center"/>
        <w:rPr>
          <w:rFonts w:ascii="Arial" w:eastAsia="Arial" w:hAnsi="Arial" w:cs="Arial"/>
          <w:sz w:val="32"/>
          <w:szCs w:val="32"/>
        </w:rPr>
      </w:pPr>
    </w:p>
    <w:p w14:paraId="672B4613" w14:textId="77777777" w:rsidR="008104F5" w:rsidRDefault="008104F5">
      <w:pPr>
        <w:spacing w:after="160" w:line="240" w:lineRule="auto"/>
        <w:jc w:val="center"/>
        <w:rPr>
          <w:rFonts w:ascii="Arial" w:eastAsia="Arial" w:hAnsi="Arial" w:cs="Arial"/>
          <w:sz w:val="32"/>
          <w:szCs w:val="32"/>
        </w:rPr>
      </w:pPr>
    </w:p>
    <w:p w14:paraId="022C3B0C" w14:textId="77777777" w:rsidR="008104F5" w:rsidRDefault="008104F5">
      <w:pPr>
        <w:spacing w:after="160" w:line="240" w:lineRule="auto"/>
        <w:jc w:val="center"/>
        <w:rPr>
          <w:rFonts w:ascii="Arial" w:eastAsia="Arial" w:hAnsi="Arial" w:cs="Arial"/>
          <w:sz w:val="32"/>
          <w:szCs w:val="32"/>
        </w:rPr>
      </w:pPr>
    </w:p>
    <w:p w14:paraId="75E1DD4D" w14:textId="77777777" w:rsidR="008104F5" w:rsidRDefault="008104F5">
      <w:pPr>
        <w:spacing w:after="160" w:line="240" w:lineRule="auto"/>
        <w:jc w:val="center"/>
        <w:rPr>
          <w:rFonts w:ascii="Arial" w:eastAsia="Arial" w:hAnsi="Arial" w:cs="Arial"/>
          <w:sz w:val="32"/>
          <w:szCs w:val="32"/>
        </w:rPr>
      </w:pPr>
    </w:p>
    <w:p w14:paraId="74F3B7AD" w14:textId="77777777" w:rsidR="008104F5" w:rsidRDefault="008104F5">
      <w:pPr>
        <w:spacing w:after="160" w:line="240" w:lineRule="auto"/>
        <w:jc w:val="center"/>
        <w:rPr>
          <w:rFonts w:ascii="Arial" w:eastAsia="Arial" w:hAnsi="Arial" w:cs="Arial"/>
          <w:sz w:val="32"/>
          <w:szCs w:val="32"/>
        </w:rPr>
      </w:pPr>
    </w:p>
    <w:p w14:paraId="44DA5D8F" w14:textId="77777777" w:rsidR="008104F5" w:rsidRDefault="008104F5">
      <w:pPr>
        <w:spacing w:after="160" w:line="240" w:lineRule="auto"/>
        <w:jc w:val="center"/>
        <w:rPr>
          <w:rFonts w:ascii="Arial" w:eastAsia="Arial" w:hAnsi="Arial" w:cs="Arial"/>
          <w:sz w:val="32"/>
          <w:szCs w:val="32"/>
        </w:rPr>
      </w:pPr>
    </w:p>
    <w:p w14:paraId="08441E94" w14:textId="77777777" w:rsidR="008104F5" w:rsidRDefault="008104F5">
      <w:pPr>
        <w:spacing w:after="160" w:line="240" w:lineRule="auto"/>
        <w:jc w:val="center"/>
        <w:rPr>
          <w:rFonts w:ascii="Arial" w:eastAsia="Arial" w:hAnsi="Arial" w:cs="Arial"/>
          <w:sz w:val="32"/>
          <w:szCs w:val="32"/>
        </w:rPr>
      </w:pPr>
    </w:p>
    <w:p w14:paraId="3855CF42" w14:textId="77777777" w:rsidR="008104F5" w:rsidRDefault="00AF1271">
      <w:pPr>
        <w:pBdr>
          <w:top w:val="nil"/>
          <w:left w:val="nil"/>
          <w:bottom w:val="nil"/>
          <w:right w:val="nil"/>
          <w:between w:val="nil"/>
        </w:pBdr>
        <w:ind w:left="425" w:right="425"/>
        <w:jc w:val="center"/>
        <w:rPr>
          <w:b/>
        </w:rPr>
      </w:pPr>
      <w:commentRangeStart w:id="2"/>
      <w:r>
        <w:rPr>
          <w:b/>
        </w:rPr>
        <w:t>Abstract</w:t>
      </w:r>
      <w:commentRangeEnd w:id="2"/>
      <w:r w:rsidR="004B62BA">
        <w:rPr>
          <w:rStyle w:val="CommentReference"/>
        </w:rPr>
        <w:commentReference w:id="2"/>
      </w:r>
    </w:p>
    <w:p w14:paraId="4EFCF95B" w14:textId="09889115" w:rsidR="008104F5" w:rsidRDefault="00AF1271" w:rsidP="002C43C0">
      <w:pPr>
        <w:pBdr>
          <w:top w:val="nil"/>
          <w:left w:val="nil"/>
          <w:bottom w:val="nil"/>
          <w:right w:val="nil"/>
          <w:between w:val="nil"/>
        </w:pBdr>
        <w:ind w:left="425" w:right="425"/>
        <w:jc w:val="left"/>
        <w:rPr>
          <w:b/>
          <w:color w:val="000000"/>
        </w:rPr>
      </w:pPr>
      <w:r>
        <w:rPr>
          <w:color w:val="000000"/>
        </w:rPr>
        <w:t xml:space="preserve">Open and Distance Learning (ODL) gained exponential popularity at the outset of the COVID-19 pandemic as most educational institutions swiftly transformed their teaching and learning models for survival. Despite being an emergency move, </w:t>
      </w:r>
      <w:r>
        <w:t xml:space="preserve">the </w:t>
      </w:r>
      <w:r>
        <w:rPr>
          <w:color w:val="000000"/>
        </w:rPr>
        <w:t>introduction of ODL is viewed as beneficial to both educators and learners. By drawing on the dynamic capabilities and institutional theor</w:t>
      </w:r>
      <w:r w:rsidR="00566274">
        <w:rPr>
          <w:color w:val="000000"/>
        </w:rPr>
        <w:t>ies</w:t>
      </w:r>
      <w:r>
        <w:rPr>
          <w:color w:val="000000"/>
        </w:rPr>
        <w:t xml:space="preserve">, this study seeks to examine the influence of management capabilities (institutional, technology, and human resources) and institutional isomorphism (coercive, normative, and </w:t>
      </w:r>
      <w:r>
        <w:t>mimetic</w:t>
      </w:r>
      <w:r>
        <w:rPr>
          <w:color w:val="000000"/>
        </w:rPr>
        <w:t xml:space="preserve"> pressures) on ODL sustainability in higher education institutions (HEIs). A quantitative approach was employed in this study, specifically utilizing a structured questionnaire to collect data from a sample of 217 educators in Malaysian public and private HEIs. Using the </w:t>
      </w:r>
      <w:proofErr w:type="spellStart"/>
      <w:r>
        <w:t>SmartPLS</w:t>
      </w:r>
      <w:proofErr w:type="spellEnd"/>
      <w:r>
        <w:t xml:space="preserve"> software, this study documents </w:t>
      </w:r>
      <w:r>
        <w:rPr>
          <w:color w:val="000000"/>
        </w:rPr>
        <w:t xml:space="preserve">significant relationships between institutional and technology resources </w:t>
      </w:r>
      <w:r>
        <w:t>toward</w:t>
      </w:r>
      <w:r>
        <w:rPr>
          <w:color w:val="000000"/>
        </w:rPr>
        <w:t xml:space="preserve"> ODL sustainability. Nevertheless, human resources and institutional isomorphism </w:t>
      </w:r>
      <w:r w:rsidR="00566274">
        <w:rPr>
          <w:color w:val="000000"/>
        </w:rPr>
        <w:t>a</w:t>
      </w:r>
      <w:r>
        <w:rPr>
          <w:color w:val="000000"/>
        </w:rPr>
        <w:t>re not found to be significantly linked to ODL sustainability. These results suggest that the sustainability of ODL practices could be improved with better support and provision of relevant resources by the HEIs. Although human resources and institutional isomorphism may induce ODL implementation, the results of this study suggest that these latter factors do not seem to influence ODL sustainability. A sustained ODL implementation would increase access to academic advancement while preparing educators and students to embrace technological changes in the long term better.</w:t>
      </w:r>
    </w:p>
    <w:p w14:paraId="59F704DA" w14:textId="77777777" w:rsidR="008104F5" w:rsidRDefault="008104F5">
      <w:pPr>
        <w:pBdr>
          <w:top w:val="nil"/>
          <w:left w:val="nil"/>
          <w:bottom w:val="nil"/>
          <w:right w:val="nil"/>
          <w:between w:val="nil"/>
        </w:pBdr>
        <w:ind w:left="425" w:right="425"/>
        <w:rPr>
          <w:b/>
          <w:color w:val="000000"/>
        </w:rPr>
      </w:pPr>
    </w:p>
    <w:p w14:paraId="74821581" w14:textId="41E50C52" w:rsidR="008104F5" w:rsidRDefault="00AF1271">
      <w:pPr>
        <w:pBdr>
          <w:top w:val="nil"/>
          <w:left w:val="nil"/>
          <w:bottom w:val="nil"/>
          <w:right w:val="nil"/>
          <w:between w:val="nil"/>
        </w:pBdr>
        <w:ind w:left="425" w:right="425"/>
        <w:rPr>
          <w:b/>
          <w:color w:val="000000"/>
        </w:rPr>
      </w:pPr>
      <w:r>
        <w:rPr>
          <w:i/>
          <w:color w:val="000000"/>
        </w:rPr>
        <w:t>Keywords</w:t>
      </w:r>
      <w:r>
        <w:rPr>
          <w:b/>
          <w:color w:val="000000"/>
        </w:rPr>
        <w:t>:</w:t>
      </w:r>
      <w:r>
        <w:rPr>
          <w:color w:val="000000"/>
        </w:rPr>
        <w:t xml:space="preserve"> Management capability, i</w:t>
      </w:r>
      <w:r>
        <w:t>nstitutional isomorphism, open</w:t>
      </w:r>
      <w:r w:rsidR="00CE404E">
        <w:t xml:space="preserve"> and distance </w:t>
      </w:r>
      <w:r>
        <w:t>learning</w:t>
      </w:r>
      <w:r w:rsidR="00B75AD4">
        <w:t xml:space="preserve"> (ODL)</w:t>
      </w:r>
      <w:r w:rsidR="00CE404E">
        <w:t xml:space="preserve">, </w:t>
      </w:r>
      <w:r>
        <w:t>sustainability</w:t>
      </w:r>
      <w:r>
        <w:rPr>
          <w:color w:val="000000"/>
        </w:rPr>
        <w:t>.</w:t>
      </w:r>
    </w:p>
    <w:p w14:paraId="3D7FEECC" w14:textId="77777777" w:rsidR="008104F5" w:rsidRDefault="00AF1271">
      <w:pPr>
        <w:jc w:val="center"/>
        <w:rPr>
          <w:b/>
        </w:rPr>
      </w:pPr>
      <w:bookmarkStart w:id="3" w:name="_heading=h.1fob9te" w:colFirst="0" w:colLast="0"/>
      <w:bookmarkEnd w:id="3"/>
      <w:commentRangeStart w:id="4"/>
      <w:commentRangeStart w:id="5"/>
      <w:commentRangeStart w:id="6"/>
      <w:r>
        <w:rPr>
          <w:b/>
        </w:rPr>
        <w:lastRenderedPageBreak/>
        <w:t>Introduction</w:t>
      </w:r>
      <w:commentRangeEnd w:id="4"/>
      <w:r w:rsidR="004B62BA">
        <w:rPr>
          <w:rStyle w:val="CommentReference"/>
        </w:rPr>
        <w:commentReference w:id="4"/>
      </w:r>
      <w:commentRangeEnd w:id="5"/>
      <w:r w:rsidR="004B62BA">
        <w:rPr>
          <w:rStyle w:val="CommentReference"/>
        </w:rPr>
        <w:commentReference w:id="5"/>
      </w:r>
      <w:commentRangeEnd w:id="6"/>
      <w:r w:rsidR="004B62BA">
        <w:rPr>
          <w:rStyle w:val="CommentReference"/>
        </w:rPr>
        <w:commentReference w:id="6"/>
      </w:r>
    </w:p>
    <w:p w14:paraId="6FF8E88A" w14:textId="3A68BABA" w:rsidR="008104F5" w:rsidRDefault="00AF1271" w:rsidP="00DA598A">
      <w:pPr>
        <w:ind w:firstLine="709"/>
        <w:jc w:val="left"/>
      </w:pPr>
      <w:bookmarkStart w:id="7" w:name="_heading=h.2et92p0" w:colFirst="0" w:colLast="0"/>
      <w:bookmarkEnd w:id="7"/>
      <w:r>
        <w:t xml:space="preserve">The current crisis caused by the COVID-19 pandemic has significantly impacted the higher education system globally. Universities worldwide responded in diverse ways, but most rushed to convert their curriculum to a fully remote, </w:t>
      </w:r>
      <w:r>
        <w:rPr>
          <w:color w:val="000000"/>
        </w:rPr>
        <w:t>Open, and Distance Learning (</w:t>
      </w:r>
      <w:r>
        <w:t>ODL) environment (M</w:t>
      </w:r>
      <w:r w:rsidR="0081483B">
        <w:t>urphy</w:t>
      </w:r>
      <w:r>
        <w:t>, 2020). ODL has been seen as the most realistic method of increasing access to education while enhancing educational quality, encouraging peer-to-peer cooperation, and providing learners with a greater feeling of responsibility and autonomy for their learning</w:t>
      </w:r>
      <w:r w:rsidR="002C65F3">
        <w:t xml:space="preserve"> (</w:t>
      </w:r>
      <w:proofErr w:type="spellStart"/>
      <w:r w:rsidR="002C65F3" w:rsidRPr="002C65F3">
        <w:t>Cañabate</w:t>
      </w:r>
      <w:proofErr w:type="spellEnd"/>
      <w:r w:rsidR="002C65F3">
        <w:t xml:space="preserve"> et al., 2019)</w:t>
      </w:r>
      <w:r>
        <w:t>. When COVID-19 hit, ODL was viewed as an expedient and effective measure to cope with this crisis since online teaching is not entirely alien in the tertiary education setting. Consequently, educators were compelled to utilize online platforms as either their sole delivery channel or as a supplement to in-person instruction (Lim, 2020).</w:t>
      </w:r>
    </w:p>
    <w:p w14:paraId="3AFDED92" w14:textId="49D8D91E" w:rsidR="008104F5" w:rsidRDefault="00AF1271" w:rsidP="00DA598A">
      <w:pPr>
        <w:ind w:firstLine="709"/>
        <w:jc w:val="left"/>
      </w:pPr>
      <w:r>
        <w:t xml:space="preserve">Most of these educators, unfortunately, possess insufficient first-hand experience with the ODL method before COVID-19, causing them to experience significant interruptions in teaching and evaluating students. Furthermore, a comprehensive ODL infrastructure is impossible to be developed overnight. Thus, the capability of </w:t>
      </w:r>
      <w:r>
        <w:rPr>
          <w:color w:val="000000"/>
        </w:rPr>
        <w:t>higher education institutions (</w:t>
      </w:r>
      <w:r>
        <w:t>HEIs) to administer the ODL system effectively remains questionable. Notably, the abrupt transition to ODL raised several issues, including the availability of digital and technological skills, infrastructure, and support systems for educators and students (</w:t>
      </w:r>
      <w:r w:rsidR="00422910">
        <w:t>Alonso-</w:t>
      </w:r>
      <w:proofErr w:type="spellStart"/>
      <w:r w:rsidR="00422910">
        <w:t>Gracia</w:t>
      </w:r>
      <w:proofErr w:type="spellEnd"/>
      <w:r w:rsidR="00422910">
        <w:t xml:space="preserve"> et al.,</w:t>
      </w:r>
      <w:r>
        <w:t xml:space="preserve"> 202</w:t>
      </w:r>
      <w:r w:rsidR="00422910">
        <w:t>1</w:t>
      </w:r>
      <w:r>
        <w:t>).</w:t>
      </w:r>
    </w:p>
    <w:p w14:paraId="3A8FC232" w14:textId="48F643FB" w:rsidR="008104F5" w:rsidRDefault="00AF1271" w:rsidP="00DA598A">
      <w:pPr>
        <w:ind w:firstLine="709"/>
        <w:jc w:val="left"/>
      </w:pPr>
      <w:r>
        <w:t xml:space="preserve">The quality of online education becomes a crucial issue that necessitates due attention since ODL is regarded as the </w:t>
      </w:r>
      <w:r w:rsidR="00566274">
        <w:t>best</w:t>
      </w:r>
      <w:r>
        <w:t xml:space="preserve"> learning option amid crises. Additionally, switching from in-person instruction to online delivery severely impacts student evaluation and assessment. Despite the fact that technology has historically supported teaching and learning, the assessment component is frequently inadequate (</w:t>
      </w:r>
      <w:proofErr w:type="spellStart"/>
      <w:r>
        <w:t>Timmis</w:t>
      </w:r>
      <w:proofErr w:type="spellEnd"/>
      <w:r>
        <w:t xml:space="preserve"> et al., 2016). Assessing and evaluating student performance in an ODL setting is challenging, primarily due to the </w:t>
      </w:r>
      <w:r w:rsidR="00566274">
        <w:t xml:space="preserve">highly </w:t>
      </w:r>
      <w:r w:rsidR="00566274">
        <w:lastRenderedPageBreak/>
        <w:t xml:space="preserve">unpredictable </w:t>
      </w:r>
      <w:r>
        <w:t xml:space="preserve">process of administering outstanding assignments, projects, and other continual evaluations (Kearns, 2012; </w:t>
      </w:r>
      <w:proofErr w:type="spellStart"/>
      <w:r>
        <w:t>Raaheim</w:t>
      </w:r>
      <w:proofErr w:type="spellEnd"/>
      <w:r>
        <w:t xml:space="preserve"> et al., 2019</w:t>
      </w:r>
      <w:r>
        <w:rPr>
          <w:color w:val="000000"/>
        </w:rPr>
        <w:t>). Since student assessment and evaluation are crucial components of the higher education system, both aspects deserve significant investment by the HEIs operating an ODL environment.</w:t>
      </w:r>
    </w:p>
    <w:p w14:paraId="3819CEEF" w14:textId="51779A51" w:rsidR="008104F5" w:rsidRDefault="00AF1271" w:rsidP="002C43C0">
      <w:pPr>
        <w:ind w:firstLine="720"/>
        <w:jc w:val="left"/>
      </w:pPr>
      <w:r>
        <w:t xml:space="preserve">Due to the </w:t>
      </w:r>
      <w:r w:rsidR="00B75AD4">
        <w:t xml:space="preserve">abovementioned </w:t>
      </w:r>
      <w:r>
        <w:t>challenges</w:t>
      </w:r>
      <w:r w:rsidR="00B75AD4">
        <w:t>,</w:t>
      </w:r>
      <w:r>
        <w:t xml:space="preserve"> educators require assistance from their institutions, which </w:t>
      </w:r>
      <w:r w:rsidR="00B75AD4">
        <w:t>depends on</w:t>
      </w:r>
      <w:r>
        <w:t xml:space="preserve"> the institution's management resources and competencies. Management capabilities relate to how efficiently the management utilizes its resources to adapt to changing conditions. By drawing on the dynamic capability theory, the three main resources potentially required to sustain the ODL implementation are institutional, technology, and human resources. </w:t>
      </w:r>
    </w:p>
    <w:p w14:paraId="51246756" w14:textId="41906817" w:rsidR="008104F5" w:rsidRDefault="00AF1271" w:rsidP="002C43C0">
      <w:pPr>
        <w:ind w:firstLine="720"/>
        <w:jc w:val="left"/>
      </w:pPr>
      <w:r>
        <w:t>The management capabilities may contribute toward sustainable ODL through at least two mechanisms. Firstly, the management is responsible for providing resources and support to educators and students. Resource availability and the management's capability to manage those resources are critical and must be adequately addressed and maintained before and after ODL implementation. The institution's resources should be adequate in quality and quantity (</w:t>
      </w:r>
      <w:proofErr w:type="spellStart"/>
      <w:r>
        <w:t>Chikunya</w:t>
      </w:r>
      <w:proofErr w:type="spellEnd"/>
      <w:r>
        <w:t>, 2015), notably during the COVID-19 pandemic. Second, management may identify value-added activities and redraw non-value</w:t>
      </w:r>
      <w:r w:rsidR="00566274">
        <w:t>-added</w:t>
      </w:r>
      <w:r>
        <w:t xml:space="preserve"> activities during COVID-19. This method may help HEIs manage their resources optimally, achieving a sustainable ODL and a competitive edge.</w:t>
      </w:r>
    </w:p>
    <w:p w14:paraId="7C9D3723" w14:textId="77777777" w:rsidR="008104F5" w:rsidRDefault="00AF1271" w:rsidP="002C43C0">
      <w:pPr>
        <w:ind w:firstLine="720"/>
        <w:jc w:val="left"/>
      </w:pPr>
      <w:bookmarkStart w:id="8" w:name="_heading=h.30j0zll" w:colFirst="0" w:colLast="0"/>
      <w:bookmarkEnd w:id="8"/>
      <w:r>
        <w:t xml:space="preserve">Management capabilities alone may not be adequate to ensure the long-term viability of ODL. Hence, institutional isomorphism is potentially critical to sustaining ODL. According to the institutional theory (DiMaggio &amp; Powell, 1983), institutional isomorphism might compel educators to start the development of creative learning and knowledge-creating communities by persuading them to view collaboration, learning, and innovation as complementary forces for securing the long-term sustainability of these institutional efforts. </w:t>
      </w:r>
      <w:r>
        <w:lastRenderedPageBreak/>
        <w:t>Communities are self-organizing systems that organize learning via edge interactions and center knowledge. Collaborative learning (lifelong learning via work, learning by doing, experiential learning) leads to expansion (learning, growth, and development), and the social ODL entity learns about itself, its capabilities, and its developing capabilities.</w:t>
      </w:r>
    </w:p>
    <w:p w14:paraId="3659454F" w14:textId="7A84B028" w:rsidR="008104F5" w:rsidRDefault="00483553" w:rsidP="002C43C0">
      <w:pPr>
        <w:pBdr>
          <w:top w:val="nil"/>
          <w:left w:val="nil"/>
          <w:bottom w:val="nil"/>
          <w:right w:val="nil"/>
          <w:between w:val="nil"/>
        </w:pBdr>
        <w:ind w:firstLine="720"/>
        <w:jc w:val="left"/>
        <w:rPr>
          <w:color w:val="FF0000"/>
        </w:rPr>
      </w:pPr>
      <w:r>
        <w:t>Accordingly, t</w:t>
      </w:r>
      <w:r w:rsidR="00AF1271">
        <w:t xml:space="preserve">his research examines the effects of management capabilities and institutional isomorphism on ODL sustainability in Malaysian HEIs. This study's results may help HEIs minimize learning interruptions during ODL transition and improve ODL quality and sustainability following the COVID-19 pandemic. </w:t>
      </w:r>
      <w:r>
        <w:t>This study may be of interest to HEIs as d</w:t>
      </w:r>
      <w:r w:rsidR="00AF1271">
        <w:t xml:space="preserve">istance learning is a great way for </w:t>
      </w:r>
      <w:r>
        <w:t>them</w:t>
      </w:r>
      <w:r w:rsidR="00AF1271">
        <w:t xml:space="preserve"> to build their brand and improve their students' knowledge in the hunt for competitiveness and worldwide exposure (</w:t>
      </w:r>
      <w:proofErr w:type="spellStart"/>
      <w:r w:rsidR="00AF1271">
        <w:t>Appolloni</w:t>
      </w:r>
      <w:proofErr w:type="spellEnd"/>
      <w:r w:rsidR="00AF1271">
        <w:t xml:space="preserve"> et al., 2021). </w:t>
      </w:r>
    </w:p>
    <w:p w14:paraId="19C4AA77" w14:textId="03F2D962" w:rsidR="008104F5" w:rsidRDefault="00AF1271" w:rsidP="000A4091">
      <w:pPr>
        <w:jc w:val="center"/>
        <w:rPr>
          <w:b/>
        </w:rPr>
      </w:pPr>
      <w:bookmarkStart w:id="9" w:name="_heading=h.3whwml4" w:colFirst="0" w:colLast="0"/>
      <w:bookmarkEnd w:id="9"/>
      <w:commentRangeStart w:id="10"/>
      <w:r>
        <w:rPr>
          <w:b/>
        </w:rPr>
        <w:t>Theoretical Background and Research Framework</w:t>
      </w:r>
      <w:commentRangeEnd w:id="10"/>
      <w:r w:rsidR="004B62BA">
        <w:rPr>
          <w:rStyle w:val="CommentReference"/>
        </w:rPr>
        <w:commentReference w:id="10"/>
      </w:r>
    </w:p>
    <w:p w14:paraId="28CC44A4" w14:textId="2FACE733" w:rsidR="008104F5" w:rsidRDefault="00483553" w:rsidP="002C43C0">
      <w:pPr>
        <w:keepNext/>
        <w:ind w:firstLine="720"/>
        <w:jc w:val="left"/>
      </w:pPr>
      <w:r>
        <w:t>D</w:t>
      </w:r>
      <w:r w:rsidR="00AF1271">
        <w:t>ynamic capabilities and institutional theories</w:t>
      </w:r>
      <w:r>
        <w:t xml:space="preserve"> underpin </w:t>
      </w:r>
      <w:r w:rsidRPr="00483553">
        <w:t>the relationships between the variables assessed in this study</w:t>
      </w:r>
      <w:r w:rsidR="00AF1271">
        <w:t xml:space="preserve">. Dynamic capabilities theory research primarily focuses on how firms utilize their resources, form new resources, or modify prevailing resources to achieve their goals (Eisenhardt &amp; Martin, 2000; </w:t>
      </w:r>
      <w:proofErr w:type="spellStart"/>
      <w:r w:rsidR="00AF1271">
        <w:t>Helfat</w:t>
      </w:r>
      <w:proofErr w:type="spellEnd"/>
      <w:r w:rsidR="00AF1271">
        <w:t xml:space="preserve"> &amp; </w:t>
      </w:r>
      <w:proofErr w:type="spellStart"/>
      <w:r w:rsidR="00AF1271">
        <w:t>Peteraf</w:t>
      </w:r>
      <w:proofErr w:type="spellEnd"/>
      <w:r w:rsidR="00AF1271">
        <w:t>, 2003). Teece et al. (1997)</w:t>
      </w:r>
      <w:r>
        <w:t xml:space="preserve"> define</w:t>
      </w:r>
      <w:r w:rsidR="00A01CF5">
        <w:t>d</w:t>
      </w:r>
      <w:r w:rsidR="00AF1271">
        <w:t xml:space="preserve"> a resource </w:t>
      </w:r>
      <w:r w:rsidR="00A01CF5">
        <w:t>as</w:t>
      </w:r>
      <w:r w:rsidR="00AF1271">
        <w:t xml:space="preserve"> a tangible asset managed and controlled by the firm. In contrast, capability is the firm's ability to use those resources effectively to meet the demands of changing environments. </w:t>
      </w:r>
      <w:proofErr w:type="spellStart"/>
      <w:r w:rsidR="00AF1271">
        <w:t>Helfat</w:t>
      </w:r>
      <w:proofErr w:type="spellEnd"/>
      <w:r w:rsidR="00AF1271">
        <w:t xml:space="preserve"> et al. (2007) asserted that dynamic capabilities are an organization's capacity to persistently create, extend, or alter existing resources, identify threats and opportunities, solve problems and make decisions. Organizations have different capacities, which can be classified as unique at a particular stage. An organization with a dynamic ability becomes highly skillful at dealing with uncertain environments and has proper management to cater to the ongoing changes it faces (Teece et al., 1997; </w:t>
      </w:r>
      <w:proofErr w:type="spellStart"/>
      <w:r w:rsidR="00AF1271">
        <w:t>Ambrosini</w:t>
      </w:r>
      <w:proofErr w:type="spellEnd"/>
      <w:r w:rsidR="00AF1271">
        <w:t xml:space="preserve"> &amp; Bowman, 2009). Thus, sustainable ODL likely requires dynamic capabilities (institutional, </w:t>
      </w:r>
      <w:r w:rsidR="00AF1271">
        <w:lastRenderedPageBreak/>
        <w:t>technology, and human resources) by the HEIs to handle the unprecedented changes during and post-COVID-19.</w:t>
      </w:r>
    </w:p>
    <w:p w14:paraId="3F71FDE7" w14:textId="6A44E5C7" w:rsidR="008104F5" w:rsidRDefault="00AF1271" w:rsidP="002C43C0">
      <w:pPr>
        <w:ind w:firstLine="720"/>
        <w:jc w:val="left"/>
      </w:pPr>
      <w:bookmarkStart w:id="11" w:name="_heading=h.tyjcwt" w:colFirst="0" w:colLast="0"/>
      <w:bookmarkEnd w:id="11"/>
      <w:r>
        <w:t xml:space="preserve">Conversely, the institutional theory asserts that when institutions are isomorphic and legitimacy forces are existent, they will become similar (DiMaggio &amp; Powell, 1983). Due to numerous constraints imposed on them, institutions within a similar field have a tendency to become homogenous over time. The institutional theory contends that </w:t>
      </w:r>
      <w:r w:rsidR="00A01CF5" w:rsidRPr="00A01CF5">
        <w:t>organi</w:t>
      </w:r>
      <w:r w:rsidR="00A01CF5">
        <w:t>z</w:t>
      </w:r>
      <w:r w:rsidR="00A01CF5" w:rsidRPr="00A01CF5">
        <w:t>ational processes become institutionali</w:t>
      </w:r>
      <w:r w:rsidR="00A01CF5">
        <w:t>z</w:t>
      </w:r>
      <w:r w:rsidR="00A01CF5" w:rsidRPr="00A01CF5">
        <w:t>ed either by imitating best practi</w:t>
      </w:r>
      <w:r w:rsidR="00A01CF5">
        <w:t>c</w:t>
      </w:r>
      <w:r w:rsidR="00A01CF5" w:rsidRPr="00A01CF5">
        <w:t xml:space="preserve">es </w:t>
      </w:r>
      <w:r w:rsidR="00A01CF5">
        <w:t>set forth</w:t>
      </w:r>
      <w:r w:rsidR="00A01CF5" w:rsidRPr="00A01CF5">
        <w:t xml:space="preserve"> by the government or regulatory bodies or by a series of similar adaptable structures, procedures, and strategies that result in organi</w:t>
      </w:r>
      <w:r w:rsidR="00A01CF5">
        <w:t>z</w:t>
      </w:r>
      <w:r w:rsidR="00A01CF5" w:rsidRPr="00A01CF5">
        <w:t>ational isomorphism</w:t>
      </w:r>
      <w:r>
        <w:t xml:space="preserve"> (Kauppi, 2013). In the present study, educators are believed to adopt convergent ODL practices in intra and inter-institutions due to institutional pressure (DiMaggio &amp; Powell, 1983). </w:t>
      </w:r>
    </w:p>
    <w:p w14:paraId="132654D9" w14:textId="0977327B" w:rsidR="008104F5" w:rsidRDefault="00A01CF5" w:rsidP="002C43C0">
      <w:pPr>
        <w:ind w:firstLine="720"/>
        <w:jc w:val="left"/>
      </w:pPr>
      <w:r>
        <w:t>Consequently,</w:t>
      </w:r>
      <w:r w:rsidR="00AF1271">
        <w:t xml:space="preserve"> </w:t>
      </w:r>
      <w:r w:rsidR="00583CB1">
        <w:t xml:space="preserve">the </w:t>
      </w:r>
      <w:r w:rsidR="00AF1271">
        <w:t>sustainability of the ODL implemented by the HEIs is theorized to be determined by institutional, technology, human resources, and institutional isomorphism. Thus, the study's theoretical framework is presented in Figure 1 below:</w:t>
      </w:r>
    </w:p>
    <w:p w14:paraId="1C6FD419" w14:textId="77777777" w:rsidR="008104F5" w:rsidRDefault="00AF1271" w:rsidP="00CE2F09">
      <w:pPr>
        <w:rPr>
          <w:b/>
        </w:rPr>
      </w:pPr>
      <w:r>
        <w:rPr>
          <w:b/>
        </w:rPr>
        <w:t xml:space="preserve">Figure 1 </w:t>
      </w:r>
    </w:p>
    <w:p w14:paraId="0928785C" w14:textId="77777777" w:rsidR="008104F5" w:rsidRDefault="00AF1271" w:rsidP="00CE2F09">
      <w:pPr>
        <w:rPr>
          <w:i/>
        </w:rPr>
      </w:pPr>
      <w:r>
        <w:rPr>
          <w:i/>
        </w:rPr>
        <w:t>Research Framework</w:t>
      </w:r>
    </w:p>
    <w:p w14:paraId="709E1A84" w14:textId="77777777" w:rsidR="008104F5" w:rsidRDefault="00AF1271">
      <w:pPr>
        <w:spacing w:line="360" w:lineRule="auto"/>
        <w:ind w:firstLine="720"/>
        <w:jc w:val="left"/>
      </w:pPr>
      <w:r>
        <w:rPr>
          <w:noProof/>
        </w:rPr>
        <w:drawing>
          <wp:inline distT="0" distB="0" distL="0" distR="0" wp14:anchorId="180AFF15" wp14:editId="34FA355C">
            <wp:extent cx="3552825" cy="2647950"/>
            <wp:effectExtent l="0" t="0" r="9525" b="0"/>
            <wp:docPr id="1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552825" cy="2647950"/>
                    </a:xfrm>
                    <a:prstGeom prst="rect">
                      <a:avLst/>
                    </a:prstGeom>
                    <a:ln/>
                  </pic:spPr>
                </pic:pic>
              </a:graphicData>
            </a:graphic>
          </wp:inline>
        </w:drawing>
      </w:r>
    </w:p>
    <w:p w14:paraId="550C16D8" w14:textId="77777777" w:rsidR="000A4091" w:rsidRDefault="000A4091">
      <w:pPr>
        <w:jc w:val="center"/>
        <w:rPr>
          <w:b/>
        </w:rPr>
      </w:pPr>
    </w:p>
    <w:p w14:paraId="5DAC86DA" w14:textId="77777777" w:rsidR="003A062F" w:rsidRDefault="00AF1271" w:rsidP="003A062F">
      <w:pPr>
        <w:jc w:val="center"/>
        <w:rPr>
          <w:b/>
        </w:rPr>
      </w:pPr>
      <w:r>
        <w:rPr>
          <w:b/>
        </w:rPr>
        <w:lastRenderedPageBreak/>
        <w:t xml:space="preserve">Hypotheses </w:t>
      </w:r>
      <w:r w:rsidR="00697EDD">
        <w:rPr>
          <w:b/>
        </w:rPr>
        <w:t>D</w:t>
      </w:r>
      <w:r>
        <w:rPr>
          <w:b/>
        </w:rPr>
        <w:t>evelopment</w:t>
      </w:r>
    </w:p>
    <w:p w14:paraId="0287B340" w14:textId="2BF12887" w:rsidR="008104F5" w:rsidRDefault="00AF1271" w:rsidP="003A062F">
      <w:pPr>
        <w:jc w:val="left"/>
        <w:rPr>
          <w:b/>
          <w:color w:val="FF0000"/>
        </w:rPr>
      </w:pPr>
      <w:r>
        <w:rPr>
          <w:b/>
          <w:color w:val="0E101A"/>
        </w:rPr>
        <w:t xml:space="preserve">Institutional Resources and Sustainable ODL </w:t>
      </w:r>
    </w:p>
    <w:p w14:paraId="2AF44AE9" w14:textId="2E43C418" w:rsidR="008104F5" w:rsidRDefault="00AF1271" w:rsidP="000A4091">
      <w:pPr>
        <w:ind w:firstLine="720"/>
        <w:jc w:val="left"/>
        <w:rPr>
          <w:color w:val="0E101A"/>
        </w:rPr>
      </w:pPr>
      <w:r>
        <w:rPr>
          <w:color w:val="0E101A"/>
        </w:rPr>
        <w:t>Institutional resources in</w:t>
      </w:r>
      <w:r w:rsidR="00697EDD">
        <w:rPr>
          <w:color w:val="0E101A"/>
        </w:rPr>
        <w:t xml:space="preserve"> terms of</w:t>
      </w:r>
      <w:r>
        <w:rPr>
          <w:color w:val="0E101A"/>
        </w:rPr>
        <w:t xml:space="preserve"> academic and other student support services, management-led or grassroots-driven, </w:t>
      </w:r>
      <w:r w:rsidR="00697EDD" w:rsidRPr="00697EDD">
        <w:rPr>
          <w:color w:val="0E101A"/>
        </w:rPr>
        <w:t xml:space="preserve">potentially </w:t>
      </w:r>
      <w:r>
        <w:rPr>
          <w:color w:val="0E101A"/>
        </w:rPr>
        <w:t>play a significant role (</w:t>
      </w:r>
      <w:r w:rsidR="002F69E2" w:rsidRPr="002F69E2">
        <w:rPr>
          <w:color w:val="0E101A"/>
        </w:rPr>
        <w:t>Sales de Aguiar &amp; Paterson</w:t>
      </w:r>
      <w:r>
        <w:rPr>
          <w:color w:val="0E101A"/>
        </w:rPr>
        <w:t xml:space="preserve">, 2018) in the implementation of ODL practices during pandemics. Academic assistance and feedback can occasionally replace face-to-face interactions with students in an ODL situation when there is minimal or no interaction. Hence, more effective academic support must be explored and provided to the students. The exploration could potentially consume higher costs for the HEIs arising from additional academic appointments, investment in better technology, and additional technological training for </w:t>
      </w:r>
      <w:r w:rsidRPr="008323E7">
        <w:t xml:space="preserve">educators (McKay &amp; </w:t>
      </w:r>
      <w:proofErr w:type="spellStart"/>
      <w:r w:rsidRPr="008323E7">
        <w:t>Makhanya</w:t>
      </w:r>
      <w:proofErr w:type="spellEnd"/>
      <w:r w:rsidRPr="008323E7">
        <w:t xml:space="preserve">, 2008). Most </w:t>
      </w:r>
      <w:r>
        <w:rPr>
          <w:color w:val="0E101A"/>
        </w:rPr>
        <w:t>educators originate from non-ODL-based institutions. Thus, developing and delivering courses with ODL philosophies in an ODL environment may be unfamiliar. As a result, educators and other support staff will require time to create relevant ODL skills, such as digital, technological, and practical teaching skills, to facilitate meaningful learner-centered learning practices (Kant, 2019). Thus, educators' skills and ability to implement ODL effectively in this pandemic era are critical to the success of the implementation of a sustainable ODL.</w:t>
      </w:r>
    </w:p>
    <w:p w14:paraId="78EA8A03" w14:textId="2F0E45CF" w:rsidR="008104F5" w:rsidRDefault="00AF1271" w:rsidP="003C7CAD">
      <w:pPr>
        <w:ind w:firstLine="720"/>
        <w:jc w:val="left"/>
        <w:rPr>
          <w:color w:val="0E101A"/>
        </w:rPr>
      </w:pPr>
      <w:proofErr w:type="spellStart"/>
      <w:r>
        <w:rPr>
          <w:color w:val="0E101A"/>
        </w:rPr>
        <w:t>Ukpo</w:t>
      </w:r>
      <w:proofErr w:type="spellEnd"/>
      <w:r>
        <w:rPr>
          <w:color w:val="0E101A"/>
        </w:rPr>
        <w:t xml:space="preserve"> (2006) posited that learner support is a critical component in the service delivery of ODL. Most students in distance learning programs experience feelings of loneliness</w:t>
      </w:r>
      <w:r w:rsidR="00697EDD">
        <w:rPr>
          <w:color w:val="0E101A"/>
        </w:rPr>
        <w:t xml:space="preserve"> and </w:t>
      </w:r>
      <w:r>
        <w:rPr>
          <w:color w:val="0E101A"/>
        </w:rPr>
        <w:t xml:space="preserve">frustration, </w:t>
      </w:r>
      <w:r w:rsidR="00697EDD">
        <w:rPr>
          <w:color w:val="0E101A"/>
        </w:rPr>
        <w:t xml:space="preserve">a </w:t>
      </w:r>
      <w:r>
        <w:rPr>
          <w:color w:val="0E101A"/>
        </w:rPr>
        <w:t>lack of self-direction, issues with self and time management, and lower motivation levels (</w:t>
      </w:r>
      <w:proofErr w:type="spellStart"/>
      <w:r>
        <w:rPr>
          <w:color w:val="0E101A"/>
        </w:rPr>
        <w:t>Ipaye</w:t>
      </w:r>
      <w:proofErr w:type="spellEnd"/>
      <w:r>
        <w:rPr>
          <w:color w:val="0E101A"/>
        </w:rPr>
        <w:t>, 2006). Accordingly, ODL-based institutions experience more student withdrawals than their traditional-styled counterparts (</w:t>
      </w:r>
      <w:proofErr w:type="spellStart"/>
      <w:r>
        <w:rPr>
          <w:color w:val="0E101A"/>
        </w:rPr>
        <w:t>Puspitasari</w:t>
      </w:r>
      <w:proofErr w:type="spellEnd"/>
      <w:r>
        <w:rPr>
          <w:color w:val="0E101A"/>
        </w:rPr>
        <w:t xml:space="preserve"> &amp; </w:t>
      </w:r>
      <w:proofErr w:type="spellStart"/>
      <w:r>
        <w:rPr>
          <w:color w:val="0E101A"/>
        </w:rPr>
        <w:t>Oetoyo</w:t>
      </w:r>
      <w:proofErr w:type="spellEnd"/>
      <w:r>
        <w:rPr>
          <w:color w:val="0E101A"/>
        </w:rPr>
        <w:t xml:space="preserve">, 2018). This situation suggests that ODL students require more support services than their peers in the traditional learning environment. Complete support services will likely enable ODL to be run intellectually and sustainably while being practically exciting. </w:t>
      </w:r>
      <w:r w:rsidR="00DD0BA0">
        <w:rPr>
          <w:color w:val="0E101A"/>
        </w:rPr>
        <w:t>Hence</w:t>
      </w:r>
      <w:r>
        <w:rPr>
          <w:color w:val="0E101A"/>
        </w:rPr>
        <w:t xml:space="preserve">, the success of </w:t>
      </w:r>
      <w:r>
        <w:rPr>
          <w:color w:val="0E101A"/>
        </w:rPr>
        <w:lastRenderedPageBreak/>
        <w:t>implementing a sustainable ODL is expected to be conditional on the institutional resources through the provision of adequate academic and other support services. Therefore, the following is hypothesized:</w:t>
      </w:r>
    </w:p>
    <w:p w14:paraId="2DE7FAB9" w14:textId="77777777" w:rsidR="003A062F" w:rsidRDefault="00AF1271" w:rsidP="003A062F">
      <w:pPr>
        <w:jc w:val="left"/>
        <w:rPr>
          <w:color w:val="0E101A"/>
        </w:rPr>
      </w:pPr>
      <w:r>
        <w:rPr>
          <w:b/>
          <w:color w:val="0E101A"/>
        </w:rPr>
        <w:t>Hypothesis 1</w:t>
      </w:r>
      <w:r>
        <w:rPr>
          <w:color w:val="0E101A"/>
        </w:rPr>
        <w:t>: There is a significant positive relationship between institutional resources and ODL sustainability.</w:t>
      </w:r>
      <w:r w:rsidR="003A062F">
        <w:rPr>
          <w:color w:val="0E101A"/>
        </w:rPr>
        <w:t xml:space="preserve"> </w:t>
      </w:r>
    </w:p>
    <w:p w14:paraId="786C1A26" w14:textId="21BEC067" w:rsidR="008104F5" w:rsidRDefault="00AF1271" w:rsidP="003A062F">
      <w:pPr>
        <w:jc w:val="left"/>
        <w:rPr>
          <w:b/>
          <w:color w:val="000000"/>
        </w:rPr>
      </w:pPr>
      <w:r>
        <w:rPr>
          <w:b/>
          <w:color w:val="000000"/>
        </w:rPr>
        <w:t xml:space="preserve">Technology Resources and Sustainable ODL </w:t>
      </w:r>
    </w:p>
    <w:p w14:paraId="66342B46" w14:textId="3705A450" w:rsidR="008104F5" w:rsidRDefault="00AF1271" w:rsidP="000A4091">
      <w:pPr>
        <w:pBdr>
          <w:top w:val="nil"/>
          <w:left w:val="nil"/>
          <w:bottom w:val="nil"/>
          <w:right w:val="nil"/>
          <w:between w:val="nil"/>
        </w:pBdr>
        <w:ind w:firstLine="720"/>
        <w:jc w:val="left"/>
      </w:pPr>
      <w:bookmarkStart w:id="12" w:name="_heading=h.ihv636" w:colFirst="0" w:colLast="0"/>
      <w:bookmarkEnd w:id="12"/>
      <w:r>
        <w:t>The second type of resource likely critical to the sustainability of ODL is technology. Arguably, the success of the ODL relies heavily on sophisticated technological support and efficient logistical and administrative infrastructure (Daniel, 200</w:t>
      </w:r>
      <w:r w:rsidR="00982E52">
        <w:t>4</w:t>
      </w:r>
      <w:r>
        <w:t>; Mayanja, 2019), including software, hardware, distance delivery technologies, technical employees, and academic support for staff. These infrastructures, in turn, determine the effectiveness of the learning management system, which is regarded as a key technological component in the long-term success of ODL implementation (Mkhize et al., 2016).</w:t>
      </w:r>
    </w:p>
    <w:p w14:paraId="7A6D05DA" w14:textId="73703A81" w:rsidR="008104F5" w:rsidRDefault="00A62564" w:rsidP="000A4091">
      <w:pPr>
        <w:pBdr>
          <w:top w:val="nil"/>
          <w:left w:val="nil"/>
          <w:bottom w:val="nil"/>
          <w:right w:val="nil"/>
          <w:between w:val="nil"/>
        </w:pBdr>
        <w:ind w:firstLine="720"/>
        <w:jc w:val="left"/>
      </w:pPr>
      <w:r>
        <w:t xml:space="preserve">According to </w:t>
      </w:r>
      <w:proofErr w:type="spellStart"/>
      <w:r w:rsidR="00AF1271">
        <w:t>Minnaar</w:t>
      </w:r>
      <w:proofErr w:type="spellEnd"/>
      <w:r w:rsidR="00AF1271">
        <w:t xml:space="preserve"> (2013) selecting information and communication technology (ICT) media for ODL is a complex decision influenced by cost, accessibility, pedagogy, and ICT-related issues requiring crucial planning. Creative, innovative teaching and learning embedded with technology will </w:t>
      </w:r>
      <w:r w:rsidR="00DD0BA0">
        <w:t xml:space="preserve">likely </w:t>
      </w:r>
      <w:r w:rsidR="00AF1271">
        <w:t>foster ODL sustainability (Zen, 2017). Consequently, HEIs that ensure relevant technolog</w:t>
      </w:r>
      <w:r w:rsidR="00F43FF4">
        <w:t>y</w:t>
      </w:r>
      <w:r w:rsidR="00AF1271">
        <w:t xml:space="preserve"> resources and infrastructures were in place before the ODL was implemented are more likely to succeed with their ODL shift. </w:t>
      </w:r>
    </w:p>
    <w:p w14:paraId="3C82328E" w14:textId="77777777" w:rsidR="003A062F" w:rsidRDefault="00AF1271" w:rsidP="003A062F">
      <w:pPr>
        <w:pBdr>
          <w:top w:val="nil"/>
          <w:left w:val="nil"/>
          <w:bottom w:val="nil"/>
          <w:right w:val="nil"/>
          <w:between w:val="nil"/>
        </w:pBdr>
        <w:jc w:val="left"/>
        <w:rPr>
          <w:color w:val="0E101A"/>
        </w:rPr>
      </w:pPr>
      <w:r>
        <w:rPr>
          <w:b/>
          <w:color w:val="0E101A"/>
        </w:rPr>
        <w:t>Hypothesis 2:</w:t>
      </w:r>
      <w:r>
        <w:rPr>
          <w:color w:val="0E101A"/>
        </w:rPr>
        <w:t xml:space="preserve"> There is a significant positive relationship between technolog</w:t>
      </w:r>
      <w:r w:rsidR="00F43FF4">
        <w:rPr>
          <w:color w:val="0E101A"/>
        </w:rPr>
        <w:t>y</w:t>
      </w:r>
      <w:r>
        <w:rPr>
          <w:color w:val="0E101A"/>
        </w:rPr>
        <w:t xml:space="preserve"> resources and ODL sustainability.</w:t>
      </w:r>
    </w:p>
    <w:p w14:paraId="16E3E376" w14:textId="50BB4CE8" w:rsidR="008104F5" w:rsidRDefault="00AF1271" w:rsidP="003A062F">
      <w:pPr>
        <w:pBdr>
          <w:top w:val="nil"/>
          <w:left w:val="nil"/>
          <w:bottom w:val="nil"/>
          <w:right w:val="nil"/>
          <w:between w:val="nil"/>
        </w:pBdr>
        <w:jc w:val="left"/>
        <w:rPr>
          <w:b/>
          <w:color w:val="000000"/>
        </w:rPr>
      </w:pPr>
      <w:r>
        <w:rPr>
          <w:b/>
          <w:color w:val="000000"/>
        </w:rPr>
        <w:t xml:space="preserve">Human Resources and Sustainable ODL </w:t>
      </w:r>
    </w:p>
    <w:p w14:paraId="3F99DCDD" w14:textId="46810CA1" w:rsidR="008104F5" w:rsidRDefault="00AF1271" w:rsidP="000A4091">
      <w:pPr>
        <w:ind w:firstLine="720"/>
        <w:jc w:val="left"/>
        <w:rPr>
          <w:color w:val="0E101A"/>
        </w:rPr>
      </w:pPr>
      <w:r>
        <w:rPr>
          <w:color w:val="0E101A"/>
        </w:rPr>
        <w:t xml:space="preserve"> The final key resource potentially necessary to establish a sustainable ODL is human. The educators are expected to be leaders in the teaching field and focus on innovative curricula delivery. Hence, the success of ODL primarily relies on them. Nevertheless, their </w:t>
      </w:r>
      <w:r>
        <w:rPr>
          <w:color w:val="0E101A"/>
        </w:rPr>
        <w:lastRenderedPageBreak/>
        <w:t>abilities to demonstrate professionalism and competence in their ability to teach vary. Educators need proper training to enhance their skills and abilities to deal with learners effectively, particularly in an ODL environment that is different from the conventional environment (</w:t>
      </w:r>
      <w:proofErr w:type="spellStart"/>
      <w:r>
        <w:rPr>
          <w:color w:val="0E101A"/>
        </w:rPr>
        <w:t>Hamouche</w:t>
      </w:r>
      <w:proofErr w:type="spellEnd"/>
      <w:r>
        <w:rPr>
          <w:color w:val="0E101A"/>
        </w:rPr>
        <w:t>, 2020). Therefore, HEI educators who have undergone enrichment programs and are well-equipped to deal with learners in the ODL environment are more likely to sustain their ODL programs successfully.</w:t>
      </w:r>
    </w:p>
    <w:p w14:paraId="0CBAF091" w14:textId="4D6464B3" w:rsidR="008104F5" w:rsidRDefault="00AF1271" w:rsidP="000A4091">
      <w:pPr>
        <w:ind w:firstLine="720"/>
        <w:jc w:val="left"/>
        <w:rPr>
          <w:color w:val="0E101A"/>
        </w:rPr>
      </w:pPr>
      <w:r>
        <w:rPr>
          <w:color w:val="0E101A"/>
        </w:rPr>
        <w:t xml:space="preserve">Non-academic staff may also play a significant role in ensuring the effective implementation of ODL. In this regard, prior literature suggests instructional development of support staff, staff development </w:t>
      </w:r>
      <w:r>
        <w:t xml:space="preserve">and training (Levy, 2003), effective </w:t>
      </w:r>
      <w:r>
        <w:rPr>
          <w:color w:val="0E101A"/>
        </w:rPr>
        <w:t xml:space="preserve">and efficient leadership (Daniel, 2004), and strong governance as other key human-related contributors to successful ODL. In order to achieve a sustainable ODL, top leaders must have a strong commitment, leverage administrative and human resource powers, celebrate milestones and acknowledge success, build and support faculty and student interest, build philanthropic support, and integrate sustainability into the curriculum </w:t>
      </w:r>
      <w:r>
        <w:t>(Cummings, 2010)</w:t>
      </w:r>
      <w:r>
        <w:rPr>
          <w:color w:val="0E101A"/>
        </w:rPr>
        <w:t xml:space="preserve">. </w:t>
      </w:r>
    </w:p>
    <w:p w14:paraId="7AAB9BD3" w14:textId="03CFC993" w:rsidR="008104F5" w:rsidRDefault="00AF1271" w:rsidP="000A4091">
      <w:pPr>
        <w:ind w:firstLine="720"/>
        <w:jc w:val="left"/>
        <w:rPr>
          <w:color w:val="000000"/>
        </w:rPr>
      </w:pPr>
      <w:r>
        <w:rPr>
          <w:color w:val="0E101A"/>
        </w:rPr>
        <w:t>Good governance provides an enabling environment for the institution to achieve the purpose of its establishment since the administration of ODL is a highly challenging task for the institution (</w:t>
      </w:r>
      <w:proofErr w:type="spellStart"/>
      <w:r>
        <w:rPr>
          <w:color w:val="0E101A"/>
        </w:rPr>
        <w:t>Nyangarika</w:t>
      </w:r>
      <w:proofErr w:type="spellEnd"/>
      <w:r>
        <w:rPr>
          <w:color w:val="0E101A"/>
        </w:rPr>
        <w:t xml:space="preserve"> &amp; Bundala, 2020). As a result</w:t>
      </w:r>
      <w:r>
        <w:rPr>
          <w:color w:val="000000"/>
        </w:rPr>
        <w:t>, an ODL institution may require clear human resource policies on compensation, evaluation</w:t>
      </w:r>
      <w:r>
        <w:t>,</w:t>
      </w:r>
      <w:r>
        <w:rPr>
          <w:color w:val="000000"/>
        </w:rPr>
        <w:t xml:space="preserve"> intellectual freedom promotion, </w:t>
      </w:r>
      <w:r>
        <w:t>and</w:t>
      </w:r>
      <w:r>
        <w:rPr>
          <w:color w:val="000000"/>
        </w:rPr>
        <w:t xml:space="preserve"> performance management</w:t>
      </w:r>
      <w:r>
        <w:t xml:space="preserve"> </w:t>
      </w:r>
      <w:r>
        <w:rPr>
          <w:color w:val="000000"/>
        </w:rPr>
        <w:t>(</w:t>
      </w:r>
      <w:proofErr w:type="spellStart"/>
      <w:r>
        <w:rPr>
          <w:color w:val="000000"/>
        </w:rPr>
        <w:t>Minnaar</w:t>
      </w:r>
      <w:proofErr w:type="spellEnd"/>
      <w:r>
        <w:rPr>
          <w:color w:val="000000"/>
        </w:rPr>
        <w:t>, 2013). In light of the preceding, HEIs with excellent human resources are more likely to sustain their ODL successfully during and after the pandemic.</w:t>
      </w:r>
    </w:p>
    <w:p w14:paraId="2485F3DA" w14:textId="77777777" w:rsidR="008104F5" w:rsidRDefault="00AF1271" w:rsidP="000A4091">
      <w:pPr>
        <w:jc w:val="left"/>
        <w:rPr>
          <w:color w:val="0E101A"/>
        </w:rPr>
      </w:pPr>
      <w:r>
        <w:rPr>
          <w:b/>
          <w:color w:val="0E101A"/>
        </w:rPr>
        <w:t>Hypothesis 3:</w:t>
      </w:r>
      <w:r>
        <w:rPr>
          <w:color w:val="0E101A"/>
        </w:rPr>
        <w:t xml:space="preserve"> There is a significant and positive relationship between human resources and ODL sustainability.</w:t>
      </w:r>
    </w:p>
    <w:p w14:paraId="41E8B1F6" w14:textId="77777777" w:rsidR="008104F5" w:rsidRDefault="00AF1271" w:rsidP="000A4091">
      <w:pPr>
        <w:keepNext/>
        <w:keepLines/>
        <w:pBdr>
          <w:top w:val="nil"/>
          <w:left w:val="nil"/>
          <w:bottom w:val="nil"/>
          <w:right w:val="nil"/>
          <w:between w:val="nil"/>
        </w:pBdr>
        <w:spacing w:before="200"/>
        <w:jc w:val="left"/>
        <w:rPr>
          <w:b/>
          <w:color w:val="000000"/>
        </w:rPr>
      </w:pPr>
      <w:r>
        <w:rPr>
          <w:b/>
          <w:color w:val="000000"/>
        </w:rPr>
        <w:lastRenderedPageBreak/>
        <w:t>Institutional Isomorphism and Sustainable ODL</w:t>
      </w:r>
    </w:p>
    <w:p w14:paraId="16FFF3F3" w14:textId="0CC3C3AC" w:rsidR="008104F5" w:rsidRDefault="00AF1271" w:rsidP="000A4091">
      <w:pPr>
        <w:ind w:firstLine="720"/>
        <w:jc w:val="left"/>
      </w:pPr>
      <w:r>
        <w:t xml:space="preserve">Institutional isomorphism has influenced the HEIs </w:t>
      </w:r>
      <w:r w:rsidR="0063780F">
        <w:t xml:space="preserve">through </w:t>
      </w:r>
      <w:r>
        <w:t xml:space="preserve">coercive, normative, and mimetic pressures. For example, HEIs faced coercive pressure when the government required them to make changes </w:t>
      </w:r>
      <w:r w:rsidR="0063780F">
        <w:t xml:space="preserve">through </w:t>
      </w:r>
      <w:r>
        <w:t>new regulations outlining how programs and institutional governance must function in a competitive higher education environment (Cardona et al., 2020). In addition, HEIs were required by the Ministry of Higher Education (MOHE), clients, and associated stakeholders to implement the best practices of ODL due to the current COVID-19 pandemic in Malaysia. The institutions were forced to follow the new norm by adapting other professional practices.</w:t>
      </w:r>
    </w:p>
    <w:p w14:paraId="743E72FD" w14:textId="1F6C9088" w:rsidR="008104F5" w:rsidRDefault="00AF1271" w:rsidP="000A4091">
      <w:pPr>
        <w:ind w:firstLine="720"/>
        <w:jc w:val="left"/>
      </w:pPr>
      <w:r>
        <w:t xml:space="preserve">During pandemics, HEIs also are expected to act professionally (DiMaggio &amp; Powell, 1983) and follow the new norm of formal education and professional networks that can contribute to the diffusion of new models. Policy learning, emulation, best practices adoption, international standards, adaptability to external economic rivalry, and ideational viewpoints are all thought to cascade down and naturally morph into localized institutional settings and become operational norms (Jarvis, 2014). According to existing studies, global university rankings encourage university competitiveness and the adoption of worldwide HEI models (Van </w:t>
      </w:r>
      <w:proofErr w:type="spellStart"/>
      <w:r>
        <w:t>Vught</w:t>
      </w:r>
      <w:proofErr w:type="spellEnd"/>
      <w:r>
        <w:t>, 2008). Rankings, in particular, jeopardize higher education institution variety and enhance isomorphism</w:t>
      </w:r>
      <w:r w:rsidR="0063780F">
        <w:t xml:space="preserve"> leading to higher</w:t>
      </w:r>
      <w:r>
        <w:t xml:space="preserve"> propensity of </w:t>
      </w:r>
      <w:r w:rsidR="0063780F">
        <w:t>organizations</w:t>
      </w:r>
      <w:r>
        <w:t xml:space="preserve"> to embrace similar methods (</w:t>
      </w:r>
      <w:proofErr w:type="spellStart"/>
      <w:r>
        <w:t>Anafinova</w:t>
      </w:r>
      <w:proofErr w:type="spellEnd"/>
      <w:r>
        <w:t>, 2020).</w:t>
      </w:r>
    </w:p>
    <w:p w14:paraId="1ACE3937" w14:textId="528FE309" w:rsidR="008104F5" w:rsidRDefault="00AF1271" w:rsidP="000A4091">
      <w:pPr>
        <w:ind w:firstLine="720"/>
        <w:jc w:val="left"/>
      </w:pPr>
      <w:r>
        <w:t xml:space="preserve">According to the most significant analyses of institutional change in higher education systems, universities have embraced the isomorphic approach of copying their peers with the greatest degree of legitimacy to survive in a complex, competitive, and unpredictable environment (DiMaggio &amp; Powell, 1983).  While establishing a policy for distance learning in higher education, standardized program formats, one-best-approach forms, comparable </w:t>
      </w:r>
      <w:r>
        <w:lastRenderedPageBreak/>
        <w:t>symbols or phrases, and shared organizational structures may lead to isomorphic acceptance and merging of policies (</w:t>
      </w:r>
      <w:proofErr w:type="spellStart"/>
      <w:r>
        <w:t>Caravella</w:t>
      </w:r>
      <w:proofErr w:type="spellEnd"/>
      <w:r>
        <w:t>, 201</w:t>
      </w:r>
      <w:r w:rsidR="00DD7607">
        <w:t>1</w:t>
      </w:r>
      <w:r>
        <w:t>).</w:t>
      </w:r>
    </w:p>
    <w:p w14:paraId="7475BCA2" w14:textId="02D89CD4" w:rsidR="008104F5" w:rsidRDefault="00AF1271" w:rsidP="000A4091">
      <w:pPr>
        <w:spacing w:after="160"/>
        <w:ind w:firstLine="720"/>
        <w:jc w:val="left"/>
      </w:pPr>
      <w:bookmarkStart w:id="13" w:name="_heading=h.gjdgxs" w:colFirst="0" w:colLast="0"/>
      <w:bookmarkEnd w:id="13"/>
      <w:r>
        <w:t xml:space="preserve">By extrapolating the above influence of institutional isomorphism on HEIs into the ODL setting, HEIs facing </w:t>
      </w:r>
      <w:r w:rsidR="001A29D0">
        <w:t>greater</w:t>
      </w:r>
      <w:r>
        <w:t xml:space="preserve"> pressure are expected to be more likely to sustain their ODL, leading to the following hypothesis:</w:t>
      </w:r>
    </w:p>
    <w:p w14:paraId="5091F1BA" w14:textId="77777777" w:rsidR="003A062F" w:rsidRDefault="00AF1271" w:rsidP="003A062F">
      <w:pPr>
        <w:spacing w:after="160"/>
        <w:jc w:val="left"/>
      </w:pPr>
      <w:r>
        <w:rPr>
          <w:b/>
        </w:rPr>
        <w:t>Hypothesis 4:</w:t>
      </w:r>
      <w:r>
        <w:t xml:space="preserve"> There is a significant positive relationship between institutional isomorphism and ODL sustainability.</w:t>
      </w:r>
      <w:bookmarkStart w:id="14" w:name="_heading=h.32hioqz" w:colFirst="0" w:colLast="0"/>
      <w:bookmarkEnd w:id="14"/>
    </w:p>
    <w:p w14:paraId="1DCE0F87" w14:textId="73564B41" w:rsidR="008104F5" w:rsidRPr="003A062F" w:rsidRDefault="00AF1271" w:rsidP="003A062F">
      <w:pPr>
        <w:spacing w:after="160"/>
        <w:jc w:val="center"/>
        <w:rPr>
          <w:b/>
          <w:bCs/>
        </w:rPr>
      </w:pPr>
      <w:r w:rsidRPr="003A062F">
        <w:rPr>
          <w:b/>
          <w:bCs/>
        </w:rPr>
        <w:t>Research Methodology</w:t>
      </w:r>
    </w:p>
    <w:p w14:paraId="05365FA6" w14:textId="77777777" w:rsidR="008104F5" w:rsidRDefault="00AF1271" w:rsidP="000A4091">
      <w:pPr>
        <w:ind w:firstLine="720"/>
        <w:jc w:val="left"/>
      </w:pPr>
      <w:bookmarkStart w:id="15" w:name="_heading=h.1hmsyys" w:colFirst="0" w:colLast="0"/>
      <w:bookmarkEnd w:id="15"/>
      <w:commentRangeStart w:id="16"/>
      <w:r>
        <w:t xml:space="preserve">This study utilizes a quantitative approach. Data were collected from September to December 2021 by administering online questionnaires using the widely used Google Forms. </w:t>
      </w:r>
      <w:commentRangeEnd w:id="16"/>
      <w:r w:rsidR="004B62BA">
        <w:rPr>
          <w:rStyle w:val="CommentReference"/>
        </w:rPr>
        <w:commentReference w:id="16"/>
      </w:r>
      <w:r>
        <w:t xml:space="preserve">The online platform was used as it offers the fastest and most convenient way to connect with respondents (Sekaran &amp; Bougie, 2016), particularly during the COVID-19 pandemic era. The targeted respondents were educators in Malaysian public and private HEIs, with a total population of 57,755 (Quick Facts Malaysia Educational Statistics, 2020). </w:t>
      </w:r>
      <w:commentRangeStart w:id="17"/>
      <w:r>
        <w:t>Using the G*Power software program, a minimum sample of 108 respondents was suggested to achieve a 90% statistical power, an R</w:t>
      </w:r>
      <w:r>
        <w:rPr>
          <w:vertAlign w:val="superscript"/>
        </w:rPr>
        <w:t>2</w:t>
      </w:r>
      <w:r>
        <w:t xml:space="preserve"> value of 0.15, and a 5% chance of error probability. Therefore, questionnaires were distributed to 600 educators in Malaysian public and private HEIs through their work emails. At the end of the data collection phase, 217 usable responses were gathered. </w:t>
      </w:r>
      <w:commentRangeEnd w:id="17"/>
      <w:r w:rsidR="004B62BA">
        <w:rPr>
          <w:rStyle w:val="CommentReference"/>
        </w:rPr>
        <w:commentReference w:id="17"/>
      </w:r>
    </w:p>
    <w:p w14:paraId="12002039" w14:textId="7F3EFA47" w:rsidR="008104F5" w:rsidRDefault="00AF1271" w:rsidP="000A4091">
      <w:pPr>
        <w:ind w:firstLine="720"/>
        <w:jc w:val="left"/>
      </w:pPr>
      <w:r>
        <w:t xml:space="preserve">The questionnaire items were adapted from previous studies. The management capabilities variable comprises 15 items adapted from Powell and Dent-Micallef (1997). The institutional isomorphism variable comprises seven items adapted from </w:t>
      </w:r>
      <w:proofErr w:type="spellStart"/>
      <w:r>
        <w:t>Seyfried</w:t>
      </w:r>
      <w:proofErr w:type="spellEnd"/>
      <w:r>
        <w:t xml:space="preserve"> et al. (2019). The last section of the questionnaire consists of eight items on ODL sustainability, which were adapted from Wagner and </w:t>
      </w:r>
      <w:proofErr w:type="spellStart"/>
      <w:r>
        <w:t>Schaltegger</w:t>
      </w:r>
      <w:proofErr w:type="spellEnd"/>
      <w:r>
        <w:t xml:space="preserve"> (2004) and Brown (2010). A five-point Likert </w:t>
      </w:r>
      <w:r>
        <w:lastRenderedPageBreak/>
        <w:t xml:space="preserve">scale ranging from 1 (strongly disagree) to 5 (strongly agree) was used for the dependent and independent variables. </w:t>
      </w:r>
    </w:p>
    <w:p w14:paraId="29E0F809" w14:textId="56F2D84A" w:rsidR="008104F5" w:rsidRDefault="00321021" w:rsidP="000A4091">
      <w:pPr>
        <w:ind w:firstLine="720"/>
        <w:jc w:val="left"/>
      </w:pPr>
      <w:r>
        <w:t>T</w:t>
      </w:r>
      <w:r w:rsidRPr="00321021">
        <w:t xml:space="preserve">he Statistical Package for the Social Sciences (SPSS) software was used </w:t>
      </w:r>
      <w:r>
        <w:t>f</w:t>
      </w:r>
      <w:r w:rsidRPr="00321021">
        <w:t>or preliminary data analysi</w:t>
      </w:r>
      <w:r>
        <w:t>s including data screening and cleaning</w:t>
      </w:r>
      <w:r w:rsidR="00AF1271">
        <w:t xml:space="preserve">. </w:t>
      </w:r>
      <w:r>
        <w:t>The developed hypotheses were tested using the p</w:t>
      </w:r>
      <w:r w:rsidR="00AF1271">
        <w:t>artial least squares of structural equation modeling (PLS-SEM)</w:t>
      </w:r>
      <w:r>
        <w:t xml:space="preserve">. </w:t>
      </w:r>
      <w:proofErr w:type="spellStart"/>
      <w:r w:rsidR="00AF1271">
        <w:t>SmartPLS</w:t>
      </w:r>
      <w:proofErr w:type="spellEnd"/>
      <w:r w:rsidR="00AF1271">
        <w:t xml:space="preserve"> 3.3 </w:t>
      </w:r>
      <w:r>
        <w:t>was</w:t>
      </w:r>
      <w:r w:rsidR="00AF1271">
        <w:t xml:space="preserve"> employed</w:t>
      </w:r>
      <w:r>
        <w:t xml:space="preserve"> to perform</w:t>
      </w:r>
      <w:r w:rsidR="00AF1271">
        <w:t xml:space="preserve"> </w:t>
      </w:r>
      <w:r>
        <w:t xml:space="preserve">this latter </w:t>
      </w:r>
      <w:r w:rsidR="00AF1271">
        <w:t>analysis</w:t>
      </w:r>
      <w:r w:rsidR="004A7EFF">
        <w:t xml:space="preserve"> from</w:t>
      </w:r>
      <w:r w:rsidRPr="00321021">
        <w:t xml:space="preserve"> the variable measurement validation </w:t>
      </w:r>
      <w:r w:rsidR="004A7EFF">
        <w:t xml:space="preserve">to </w:t>
      </w:r>
      <w:r w:rsidRPr="00321021">
        <w:t>the structural model evaluation, including path analysis and bootstrapping (Hair et al., 2017)</w:t>
      </w:r>
      <w:r w:rsidR="00AF1271">
        <w:t xml:space="preserve">. </w:t>
      </w:r>
    </w:p>
    <w:p w14:paraId="36983621" w14:textId="77777777" w:rsidR="008104F5" w:rsidRDefault="00AF1271" w:rsidP="000A4091">
      <w:pPr>
        <w:jc w:val="center"/>
        <w:rPr>
          <w:b/>
        </w:rPr>
      </w:pPr>
      <w:bookmarkStart w:id="18" w:name="_heading=h.4bvk7pj" w:colFirst="0" w:colLast="0"/>
      <w:bookmarkEnd w:id="18"/>
      <w:r>
        <w:rPr>
          <w:b/>
        </w:rPr>
        <w:t>Data analysis and results</w:t>
      </w:r>
    </w:p>
    <w:p w14:paraId="0861670F" w14:textId="77777777" w:rsidR="008104F5" w:rsidRDefault="00AF1271" w:rsidP="000A4091">
      <w:pPr>
        <w:jc w:val="left"/>
        <w:rPr>
          <w:b/>
        </w:rPr>
      </w:pPr>
      <w:r>
        <w:rPr>
          <w:b/>
        </w:rPr>
        <w:t>Respondents’ Demographic Analysis</w:t>
      </w:r>
    </w:p>
    <w:p w14:paraId="1BBB607A" w14:textId="3B8CF779" w:rsidR="008104F5" w:rsidRDefault="00AF1271" w:rsidP="000A4091">
      <w:pPr>
        <w:ind w:firstLine="720"/>
        <w:jc w:val="left"/>
      </w:pPr>
      <w:commentRangeStart w:id="19"/>
      <w:r>
        <w:t>Table 1 indicates the respondents' demographic data. The demographic analysis reveal</w:t>
      </w:r>
      <w:r w:rsidR="007C120A">
        <w:t>s</w:t>
      </w:r>
      <w:r>
        <w:t xml:space="preserve"> that 77.9% of the respondents were female and 22.1% were male. The ratio is representative of the gender ratio typically found among educators in Malaysian HEIs (</w:t>
      </w:r>
      <w:proofErr w:type="spellStart"/>
      <w:r>
        <w:t>Alzahrani</w:t>
      </w:r>
      <w:proofErr w:type="spellEnd"/>
      <w:r>
        <w:t xml:space="preserve"> et al., 2017). Most of the respondents are at the senior level. In addition, the majority of the respondents were aged 46 and above (42.9%), 41.5% were aged 36 to 45, and the remaining 15.7% were aged 26 to 35. Most respondents have teaching experience between 11 to more than 20 years (74.2%), thus indicating that the respondents have sufficient knowledge and experience in teaching. More than half of the respondents work in public institutions (87.1%), while 12.9% are in private institutions.</w:t>
      </w:r>
      <w:commentRangeEnd w:id="19"/>
      <w:r w:rsidR="004B62BA">
        <w:rPr>
          <w:rStyle w:val="CommentReference"/>
        </w:rPr>
        <w:commentReference w:id="19"/>
      </w:r>
    </w:p>
    <w:p w14:paraId="7E70DA5E" w14:textId="168A2413" w:rsidR="008104F5" w:rsidRDefault="008104F5">
      <w:pPr>
        <w:spacing w:line="240" w:lineRule="auto"/>
      </w:pPr>
    </w:p>
    <w:p w14:paraId="4C96AB78" w14:textId="4B3CE7C5" w:rsidR="00C76F88" w:rsidRDefault="00C76F88">
      <w:pPr>
        <w:spacing w:line="240" w:lineRule="auto"/>
      </w:pPr>
    </w:p>
    <w:p w14:paraId="7A944DD9" w14:textId="267B8382" w:rsidR="00C76F88" w:rsidRDefault="00C76F88">
      <w:pPr>
        <w:spacing w:line="240" w:lineRule="auto"/>
      </w:pPr>
    </w:p>
    <w:p w14:paraId="6B70C780" w14:textId="60A258F5" w:rsidR="00C76F88" w:rsidRDefault="00C76F88">
      <w:pPr>
        <w:spacing w:line="240" w:lineRule="auto"/>
      </w:pPr>
    </w:p>
    <w:p w14:paraId="4F3B98BA" w14:textId="6420DECC" w:rsidR="00C76F88" w:rsidRDefault="00C76F88">
      <w:pPr>
        <w:spacing w:line="240" w:lineRule="auto"/>
      </w:pPr>
    </w:p>
    <w:p w14:paraId="5C102E32" w14:textId="4BD541FF" w:rsidR="00BB5668" w:rsidRDefault="00BB5668">
      <w:pPr>
        <w:spacing w:line="240" w:lineRule="auto"/>
      </w:pPr>
    </w:p>
    <w:p w14:paraId="4F51B232" w14:textId="0C2E0AD9" w:rsidR="000A4091" w:rsidRDefault="000A4091">
      <w:pPr>
        <w:spacing w:line="240" w:lineRule="auto"/>
      </w:pPr>
    </w:p>
    <w:p w14:paraId="5D62E2C6" w14:textId="35A2ABC2" w:rsidR="000A4091" w:rsidRDefault="000A4091">
      <w:pPr>
        <w:spacing w:line="240" w:lineRule="auto"/>
      </w:pPr>
    </w:p>
    <w:p w14:paraId="3CA4058C" w14:textId="77777777" w:rsidR="000A4091" w:rsidRDefault="000A4091">
      <w:pPr>
        <w:spacing w:line="240" w:lineRule="auto"/>
      </w:pPr>
    </w:p>
    <w:p w14:paraId="04B1FC73" w14:textId="77777777" w:rsidR="00BB5668" w:rsidRDefault="00BB5668">
      <w:pPr>
        <w:spacing w:line="240" w:lineRule="auto"/>
      </w:pPr>
    </w:p>
    <w:p w14:paraId="2312274A" w14:textId="0A7A12CF" w:rsidR="00C76F88" w:rsidRDefault="00C76F88">
      <w:pPr>
        <w:spacing w:line="240" w:lineRule="auto"/>
      </w:pPr>
    </w:p>
    <w:p w14:paraId="08304946" w14:textId="77777777" w:rsidR="00C76F88" w:rsidRDefault="00C76F88">
      <w:pPr>
        <w:spacing w:line="240" w:lineRule="auto"/>
      </w:pPr>
    </w:p>
    <w:p w14:paraId="4A76553D" w14:textId="77777777" w:rsidR="008104F5" w:rsidRDefault="00AF1271">
      <w:pPr>
        <w:spacing w:line="240" w:lineRule="auto"/>
        <w:jc w:val="left"/>
        <w:rPr>
          <w:b/>
        </w:rPr>
      </w:pPr>
      <w:r>
        <w:rPr>
          <w:b/>
        </w:rPr>
        <w:lastRenderedPageBreak/>
        <w:t xml:space="preserve">Table 1 </w:t>
      </w:r>
    </w:p>
    <w:p w14:paraId="38B0E033" w14:textId="77777777" w:rsidR="008104F5" w:rsidRDefault="008104F5">
      <w:pPr>
        <w:spacing w:line="240" w:lineRule="auto"/>
        <w:jc w:val="left"/>
      </w:pPr>
    </w:p>
    <w:p w14:paraId="7495D29A" w14:textId="77777777" w:rsidR="008104F5" w:rsidRDefault="00AF1271">
      <w:pPr>
        <w:spacing w:line="240" w:lineRule="auto"/>
        <w:jc w:val="left"/>
        <w:rPr>
          <w:i/>
        </w:rPr>
      </w:pPr>
      <w:r>
        <w:rPr>
          <w:i/>
        </w:rPr>
        <w:t>Demographic Profile</w:t>
      </w:r>
    </w:p>
    <w:p w14:paraId="32BD4220" w14:textId="77777777" w:rsidR="008104F5" w:rsidRDefault="008104F5">
      <w:pPr>
        <w:spacing w:line="240" w:lineRule="auto"/>
        <w:jc w:val="left"/>
      </w:pPr>
    </w:p>
    <w:tbl>
      <w:tblPr>
        <w:tblStyle w:val="af9"/>
        <w:tblW w:w="8025"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835"/>
        <w:gridCol w:w="2083"/>
        <w:gridCol w:w="1319"/>
        <w:gridCol w:w="1788"/>
      </w:tblGrid>
      <w:tr w:rsidR="008104F5" w14:paraId="4CDF1E8B" w14:textId="77777777" w:rsidTr="00352495">
        <w:trPr>
          <w:trHeight w:val="225"/>
        </w:trPr>
        <w:tc>
          <w:tcPr>
            <w:tcW w:w="2835" w:type="dxa"/>
            <w:tcBorders>
              <w:top w:val="single" w:sz="4" w:space="0" w:color="000000"/>
              <w:bottom w:val="single" w:sz="4" w:space="0" w:color="000000"/>
            </w:tcBorders>
          </w:tcPr>
          <w:p w14:paraId="219E99EC" w14:textId="77777777" w:rsidR="008104F5" w:rsidRDefault="00AF1271">
            <w:pPr>
              <w:spacing w:line="480" w:lineRule="auto"/>
            </w:pPr>
            <w:r>
              <w:t>Items</w:t>
            </w:r>
          </w:p>
        </w:tc>
        <w:tc>
          <w:tcPr>
            <w:tcW w:w="2083" w:type="dxa"/>
            <w:tcBorders>
              <w:top w:val="single" w:sz="4" w:space="0" w:color="000000"/>
              <w:bottom w:val="single" w:sz="4" w:space="0" w:color="000000"/>
            </w:tcBorders>
          </w:tcPr>
          <w:p w14:paraId="5C83B379" w14:textId="77777777" w:rsidR="008104F5" w:rsidRDefault="00AF1271">
            <w:pPr>
              <w:spacing w:line="480" w:lineRule="auto"/>
            </w:pPr>
            <w:r>
              <w:t>Measures</w:t>
            </w:r>
          </w:p>
        </w:tc>
        <w:tc>
          <w:tcPr>
            <w:tcW w:w="1319" w:type="dxa"/>
            <w:tcBorders>
              <w:top w:val="single" w:sz="4" w:space="0" w:color="000000"/>
              <w:bottom w:val="single" w:sz="4" w:space="0" w:color="000000"/>
            </w:tcBorders>
          </w:tcPr>
          <w:p w14:paraId="43890066" w14:textId="77777777" w:rsidR="008104F5" w:rsidRDefault="00AF1271">
            <w:pPr>
              <w:spacing w:line="480" w:lineRule="auto"/>
            </w:pPr>
            <w:r>
              <w:t>Frequency</w:t>
            </w:r>
          </w:p>
        </w:tc>
        <w:tc>
          <w:tcPr>
            <w:tcW w:w="1788" w:type="dxa"/>
            <w:tcBorders>
              <w:top w:val="single" w:sz="4" w:space="0" w:color="000000"/>
              <w:bottom w:val="single" w:sz="4" w:space="0" w:color="000000"/>
            </w:tcBorders>
          </w:tcPr>
          <w:p w14:paraId="79E121EB" w14:textId="77777777" w:rsidR="008104F5" w:rsidRDefault="00AF1271">
            <w:pPr>
              <w:spacing w:line="480" w:lineRule="auto"/>
            </w:pPr>
            <w:r>
              <w:t>Percentage (%)</w:t>
            </w:r>
          </w:p>
        </w:tc>
      </w:tr>
      <w:tr w:rsidR="008104F5" w14:paraId="62B875D7" w14:textId="77777777" w:rsidTr="00352495">
        <w:trPr>
          <w:trHeight w:val="217"/>
        </w:trPr>
        <w:tc>
          <w:tcPr>
            <w:tcW w:w="2835" w:type="dxa"/>
            <w:tcBorders>
              <w:top w:val="single" w:sz="4" w:space="0" w:color="000000"/>
            </w:tcBorders>
          </w:tcPr>
          <w:p w14:paraId="26A3A32C" w14:textId="77777777" w:rsidR="008104F5" w:rsidRDefault="00AF1271">
            <w:pPr>
              <w:spacing w:line="480" w:lineRule="auto"/>
            </w:pPr>
            <w:r>
              <w:t>Gender</w:t>
            </w:r>
          </w:p>
        </w:tc>
        <w:tc>
          <w:tcPr>
            <w:tcW w:w="2083" w:type="dxa"/>
            <w:tcBorders>
              <w:top w:val="single" w:sz="4" w:space="0" w:color="000000"/>
            </w:tcBorders>
          </w:tcPr>
          <w:p w14:paraId="6EB79F4E" w14:textId="77777777" w:rsidR="008104F5" w:rsidRDefault="00AF1271">
            <w:pPr>
              <w:spacing w:line="480" w:lineRule="auto"/>
            </w:pPr>
            <w:r>
              <w:t>Male</w:t>
            </w:r>
          </w:p>
        </w:tc>
        <w:tc>
          <w:tcPr>
            <w:tcW w:w="1319" w:type="dxa"/>
            <w:tcBorders>
              <w:top w:val="single" w:sz="4" w:space="0" w:color="000000"/>
            </w:tcBorders>
          </w:tcPr>
          <w:p w14:paraId="156768C0" w14:textId="77777777" w:rsidR="008104F5" w:rsidRDefault="00AF1271">
            <w:pPr>
              <w:spacing w:line="480" w:lineRule="auto"/>
            </w:pPr>
            <w:r>
              <w:t>48</w:t>
            </w:r>
          </w:p>
        </w:tc>
        <w:tc>
          <w:tcPr>
            <w:tcW w:w="1788" w:type="dxa"/>
            <w:tcBorders>
              <w:top w:val="single" w:sz="4" w:space="0" w:color="000000"/>
            </w:tcBorders>
          </w:tcPr>
          <w:p w14:paraId="3B2A5981" w14:textId="77777777" w:rsidR="008104F5" w:rsidRDefault="00AF1271">
            <w:pPr>
              <w:spacing w:line="480" w:lineRule="auto"/>
            </w:pPr>
            <w:r>
              <w:t>22.1</w:t>
            </w:r>
          </w:p>
        </w:tc>
      </w:tr>
      <w:tr w:rsidR="008104F5" w14:paraId="2957B8F5" w14:textId="77777777" w:rsidTr="00352495">
        <w:trPr>
          <w:trHeight w:val="225"/>
        </w:trPr>
        <w:tc>
          <w:tcPr>
            <w:tcW w:w="2835" w:type="dxa"/>
          </w:tcPr>
          <w:p w14:paraId="598D99FD" w14:textId="77777777" w:rsidR="008104F5" w:rsidRDefault="008104F5">
            <w:pPr>
              <w:spacing w:line="480" w:lineRule="auto"/>
            </w:pPr>
          </w:p>
        </w:tc>
        <w:tc>
          <w:tcPr>
            <w:tcW w:w="2083" w:type="dxa"/>
          </w:tcPr>
          <w:p w14:paraId="2859536E" w14:textId="77777777" w:rsidR="008104F5" w:rsidRDefault="00AF1271">
            <w:pPr>
              <w:spacing w:line="480" w:lineRule="auto"/>
            </w:pPr>
            <w:r>
              <w:t>Female</w:t>
            </w:r>
          </w:p>
        </w:tc>
        <w:tc>
          <w:tcPr>
            <w:tcW w:w="1319" w:type="dxa"/>
          </w:tcPr>
          <w:p w14:paraId="05E2789C" w14:textId="77777777" w:rsidR="008104F5" w:rsidRDefault="00AF1271">
            <w:pPr>
              <w:spacing w:line="480" w:lineRule="auto"/>
            </w:pPr>
            <w:r>
              <w:t>169</w:t>
            </w:r>
          </w:p>
        </w:tc>
        <w:tc>
          <w:tcPr>
            <w:tcW w:w="1788" w:type="dxa"/>
          </w:tcPr>
          <w:p w14:paraId="5C399D63" w14:textId="77777777" w:rsidR="008104F5" w:rsidRDefault="00AF1271">
            <w:pPr>
              <w:spacing w:line="480" w:lineRule="auto"/>
            </w:pPr>
            <w:r>
              <w:t>77.9</w:t>
            </w:r>
          </w:p>
        </w:tc>
      </w:tr>
      <w:tr w:rsidR="008104F5" w14:paraId="0A19D988" w14:textId="77777777" w:rsidTr="00352495">
        <w:trPr>
          <w:trHeight w:val="225"/>
        </w:trPr>
        <w:tc>
          <w:tcPr>
            <w:tcW w:w="2835" w:type="dxa"/>
          </w:tcPr>
          <w:p w14:paraId="255F4840" w14:textId="77777777" w:rsidR="008104F5" w:rsidRDefault="00AF1271">
            <w:pPr>
              <w:spacing w:line="480" w:lineRule="auto"/>
            </w:pPr>
            <w:r>
              <w:t>Age</w:t>
            </w:r>
          </w:p>
        </w:tc>
        <w:tc>
          <w:tcPr>
            <w:tcW w:w="2083" w:type="dxa"/>
          </w:tcPr>
          <w:p w14:paraId="53639065" w14:textId="77777777" w:rsidR="008104F5" w:rsidRDefault="00AF1271">
            <w:pPr>
              <w:spacing w:line="480" w:lineRule="auto"/>
            </w:pPr>
            <w:r>
              <w:t>Between 26-35</w:t>
            </w:r>
          </w:p>
        </w:tc>
        <w:tc>
          <w:tcPr>
            <w:tcW w:w="1319" w:type="dxa"/>
          </w:tcPr>
          <w:p w14:paraId="2DA76808" w14:textId="77777777" w:rsidR="008104F5" w:rsidRDefault="00AF1271">
            <w:pPr>
              <w:spacing w:line="480" w:lineRule="auto"/>
            </w:pPr>
            <w:r>
              <w:t>34</w:t>
            </w:r>
          </w:p>
        </w:tc>
        <w:tc>
          <w:tcPr>
            <w:tcW w:w="1788" w:type="dxa"/>
          </w:tcPr>
          <w:p w14:paraId="0A4EBF9E" w14:textId="77777777" w:rsidR="008104F5" w:rsidRDefault="00AF1271">
            <w:pPr>
              <w:spacing w:line="480" w:lineRule="auto"/>
            </w:pPr>
            <w:r>
              <w:t>15.7</w:t>
            </w:r>
          </w:p>
        </w:tc>
      </w:tr>
      <w:tr w:rsidR="008104F5" w14:paraId="60C05357" w14:textId="77777777" w:rsidTr="00352495">
        <w:trPr>
          <w:trHeight w:val="277"/>
        </w:trPr>
        <w:tc>
          <w:tcPr>
            <w:tcW w:w="2835" w:type="dxa"/>
          </w:tcPr>
          <w:p w14:paraId="1CBAF4AD" w14:textId="77777777" w:rsidR="008104F5" w:rsidRDefault="008104F5">
            <w:pPr>
              <w:spacing w:line="480" w:lineRule="auto"/>
            </w:pPr>
          </w:p>
        </w:tc>
        <w:tc>
          <w:tcPr>
            <w:tcW w:w="2083" w:type="dxa"/>
          </w:tcPr>
          <w:p w14:paraId="4B494226" w14:textId="77777777" w:rsidR="008104F5" w:rsidRDefault="00AF1271">
            <w:pPr>
              <w:spacing w:line="480" w:lineRule="auto"/>
            </w:pPr>
            <w:r>
              <w:t>Between 36-45</w:t>
            </w:r>
          </w:p>
        </w:tc>
        <w:tc>
          <w:tcPr>
            <w:tcW w:w="1319" w:type="dxa"/>
          </w:tcPr>
          <w:p w14:paraId="547B9993" w14:textId="77777777" w:rsidR="008104F5" w:rsidRDefault="00AF1271">
            <w:pPr>
              <w:spacing w:line="480" w:lineRule="auto"/>
            </w:pPr>
            <w:r>
              <w:t>90</w:t>
            </w:r>
          </w:p>
        </w:tc>
        <w:tc>
          <w:tcPr>
            <w:tcW w:w="1788" w:type="dxa"/>
          </w:tcPr>
          <w:p w14:paraId="24BF7A37" w14:textId="77777777" w:rsidR="008104F5" w:rsidRDefault="00AF1271">
            <w:pPr>
              <w:spacing w:line="480" w:lineRule="auto"/>
            </w:pPr>
            <w:r>
              <w:t>41.5</w:t>
            </w:r>
          </w:p>
        </w:tc>
      </w:tr>
      <w:tr w:rsidR="008104F5" w14:paraId="2419BC7D" w14:textId="77777777" w:rsidTr="00352495">
        <w:trPr>
          <w:trHeight w:val="268"/>
        </w:trPr>
        <w:tc>
          <w:tcPr>
            <w:tcW w:w="2835" w:type="dxa"/>
          </w:tcPr>
          <w:p w14:paraId="4D4A15C2" w14:textId="77777777" w:rsidR="008104F5" w:rsidRDefault="008104F5">
            <w:pPr>
              <w:spacing w:line="480" w:lineRule="auto"/>
            </w:pPr>
          </w:p>
        </w:tc>
        <w:tc>
          <w:tcPr>
            <w:tcW w:w="2083" w:type="dxa"/>
          </w:tcPr>
          <w:p w14:paraId="2E31958F" w14:textId="77777777" w:rsidR="008104F5" w:rsidRDefault="00AF1271">
            <w:pPr>
              <w:spacing w:line="480" w:lineRule="auto"/>
            </w:pPr>
            <w:r>
              <w:t>46 and above</w:t>
            </w:r>
          </w:p>
        </w:tc>
        <w:tc>
          <w:tcPr>
            <w:tcW w:w="1319" w:type="dxa"/>
          </w:tcPr>
          <w:p w14:paraId="3F435FDF" w14:textId="77777777" w:rsidR="008104F5" w:rsidRDefault="00AF1271">
            <w:pPr>
              <w:spacing w:line="480" w:lineRule="auto"/>
            </w:pPr>
            <w:r>
              <w:t>93</w:t>
            </w:r>
          </w:p>
        </w:tc>
        <w:tc>
          <w:tcPr>
            <w:tcW w:w="1788" w:type="dxa"/>
          </w:tcPr>
          <w:p w14:paraId="16C1CE73" w14:textId="77777777" w:rsidR="008104F5" w:rsidRDefault="00AF1271">
            <w:pPr>
              <w:spacing w:line="480" w:lineRule="auto"/>
            </w:pPr>
            <w:r>
              <w:t>42.9</w:t>
            </w:r>
          </w:p>
        </w:tc>
      </w:tr>
      <w:tr w:rsidR="008104F5" w14:paraId="30D2A3F5" w14:textId="77777777" w:rsidTr="00352495">
        <w:trPr>
          <w:trHeight w:val="258"/>
        </w:trPr>
        <w:tc>
          <w:tcPr>
            <w:tcW w:w="2835" w:type="dxa"/>
          </w:tcPr>
          <w:p w14:paraId="0A60CF6B" w14:textId="77777777" w:rsidR="008104F5" w:rsidRDefault="00AF1271" w:rsidP="007C120A">
            <w:r>
              <w:t>Academic Qualification</w:t>
            </w:r>
          </w:p>
        </w:tc>
        <w:tc>
          <w:tcPr>
            <w:tcW w:w="2083" w:type="dxa"/>
          </w:tcPr>
          <w:p w14:paraId="3F0204B4" w14:textId="77777777" w:rsidR="008104F5" w:rsidRDefault="00AF1271">
            <w:pPr>
              <w:spacing w:line="480" w:lineRule="auto"/>
            </w:pPr>
            <w:r>
              <w:t>Master level</w:t>
            </w:r>
          </w:p>
          <w:p w14:paraId="4B7B3625" w14:textId="77777777" w:rsidR="008104F5" w:rsidRDefault="00AF1271">
            <w:pPr>
              <w:spacing w:line="480" w:lineRule="auto"/>
            </w:pPr>
            <w:r>
              <w:t>Ph.D. level</w:t>
            </w:r>
          </w:p>
        </w:tc>
        <w:tc>
          <w:tcPr>
            <w:tcW w:w="1319" w:type="dxa"/>
          </w:tcPr>
          <w:p w14:paraId="50D91197" w14:textId="77777777" w:rsidR="008104F5" w:rsidRDefault="00AF1271">
            <w:pPr>
              <w:spacing w:line="480" w:lineRule="auto"/>
            </w:pPr>
            <w:r>
              <w:t>92</w:t>
            </w:r>
          </w:p>
          <w:p w14:paraId="3284BA21" w14:textId="77777777" w:rsidR="008104F5" w:rsidRDefault="00AF1271">
            <w:pPr>
              <w:spacing w:line="480" w:lineRule="auto"/>
            </w:pPr>
            <w:r>
              <w:t>125</w:t>
            </w:r>
          </w:p>
        </w:tc>
        <w:tc>
          <w:tcPr>
            <w:tcW w:w="1788" w:type="dxa"/>
          </w:tcPr>
          <w:p w14:paraId="28E54986" w14:textId="77777777" w:rsidR="008104F5" w:rsidRDefault="00AF1271">
            <w:pPr>
              <w:spacing w:line="480" w:lineRule="auto"/>
            </w:pPr>
            <w:r>
              <w:t>42.4</w:t>
            </w:r>
          </w:p>
          <w:p w14:paraId="7F4262BB" w14:textId="77777777" w:rsidR="008104F5" w:rsidRDefault="00AF1271">
            <w:pPr>
              <w:spacing w:line="480" w:lineRule="auto"/>
            </w:pPr>
            <w:r>
              <w:t>42.4</w:t>
            </w:r>
          </w:p>
        </w:tc>
      </w:tr>
      <w:tr w:rsidR="008104F5" w14:paraId="725EEC5F" w14:textId="77777777" w:rsidTr="00352495">
        <w:trPr>
          <w:trHeight w:val="266"/>
        </w:trPr>
        <w:tc>
          <w:tcPr>
            <w:tcW w:w="2835" w:type="dxa"/>
          </w:tcPr>
          <w:p w14:paraId="1BE8C9F2" w14:textId="77777777" w:rsidR="008104F5" w:rsidRDefault="00AF1271">
            <w:pPr>
              <w:spacing w:line="480" w:lineRule="auto"/>
            </w:pPr>
            <w:r>
              <w:t>Teaching experience</w:t>
            </w:r>
          </w:p>
        </w:tc>
        <w:tc>
          <w:tcPr>
            <w:tcW w:w="2083" w:type="dxa"/>
          </w:tcPr>
          <w:p w14:paraId="4C97F785" w14:textId="77777777" w:rsidR="008104F5" w:rsidRDefault="00AF1271">
            <w:pPr>
              <w:spacing w:line="480" w:lineRule="auto"/>
            </w:pPr>
            <w:r>
              <w:t>1-5 years</w:t>
            </w:r>
          </w:p>
        </w:tc>
        <w:tc>
          <w:tcPr>
            <w:tcW w:w="1319" w:type="dxa"/>
          </w:tcPr>
          <w:p w14:paraId="7CFF8267" w14:textId="77777777" w:rsidR="008104F5" w:rsidRDefault="00AF1271">
            <w:pPr>
              <w:spacing w:line="480" w:lineRule="auto"/>
            </w:pPr>
            <w:r>
              <w:t>28</w:t>
            </w:r>
          </w:p>
        </w:tc>
        <w:tc>
          <w:tcPr>
            <w:tcW w:w="1788" w:type="dxa"/>
          </w:tcPr>
          <w:p w14:paraId="713AA87E" w14:textId="77777777" w:rsidR="008104F5" w:rsidRDefault="00AF1271">
            <w:pPr>
              <w:spacing w:line="480" w:lineRule="auto"/>
            </w:pPr>
            <w:r>
              <w:t>12.9</w:t>
            </w:r>
          </w:p>
        </w:tc>
      </w:tr>
      <w:tr w:rsidR="008104F5" w14:paraId="0BB56DC6" w14:textId="77777777" w:rsidTr="00352495">
        <w:trPr>
          <w:trHeight w:val="225"/>
        </w:trPr>
        <w:tc>
          <w:tcPr>
            <w:tcW w:w="2835" w:type="dxa"/>
          </w:tcPr>
          <w:p w14:paraId="3E9EE96E" w14:textId="77777777" w:rsidR="008104F5" w:rsidRDefault="008104F5">
            <w:pPr>
              <w:spacing w:line="480" w:lineRule="auto"/>
            </w:pPr>
          </w:p>
        </w:tc>
        <w:tc>
          <w:tcPr>
            <w:tcW w:w="2083" w:type="dxa"/>
          </w:tcPr>
          <w:p w14:paraId="716DF09B" w14:textId="77777777" w:rsidR="008104F5" w:rsidRDefault="00AF1271">
            <w:pPr>
              <w:spacing w:line="480" w:lineRule="auto"/>
            </w:pPr>
            <w:r>
              <w:t>6-10 years</w:t>
            </w:r>
          </w:p>
        </w:tc>
        <w:tc>
          <w:tcPr>
            <w:tcW w:w="1319" w:type="dxa"/>
          </w:tcPr>
          <w:p w14:paraId="21B46DBC" w14:textId="77777777" w:rsidR="008104F5" w:rsidRDefault="00AF1271">
            <w:pPr>
              <w:spacing w:line="480" w:lineRule="auto"/>
            </w:pPr>
            <w:r>
              <w:t>28</w:t>
            </w:r>
          </w:p>
        </w:tc>
        <w:tc>
          <w:tcPr>
            <w:tcW w:w="1788" w:type="dxa"/>
          </w:tcPr>
          <w:p w14:paraId="21E28FDA" w14:textId="77777777" w:rsidR="008104F5" w:rsidRDefault="00AF1271">
            <w:pPr>
              <w:spacing w:line="480" w:lineRule="auto"/>
            </w:pPr>
            <w:r>
              <w:t>12.9</w:t>
            </w:r>
          </w:p>
        </w:tc>
      </w:tr>
      <w:tr w:rsidR="008104F5" w14:paraId="18E6E34F" w14:textId="77777777" w:rsidTr="00352495">
        <w:trPr>
          <w:trHeight w:val="225"/>
        </w:trPr>
        <w:tc>
          <w:tcPr>
            <w:tcW w:w="2835" w:type="dxa"/>
          </w:tcPr>
          <w:p w14:paraId="4A40F4A9" w14:textId="77777777" w:rsidR="008104F5" w:rsidRDefault="008104F5">
            <w:pPr>
              <w:spacing w:line="480" w:lineRule="auto"/>
            </w:pPr>
          </w:p>
        </w:tc>
        <w:tc>
          <w:tcPr>
            <w:tcW w:w="2083" w:type="dxa"/>
          </w:tcPr>
          <w:p w14:paraId="38F6C5EC" w14:textId="77777777" w:rsidR="008104F5" w:rsidRDefault="00AF1271">
            <w:pPr>
              <w:spacing w:line="480" w:lineRule="auto"/>
            </w:pPr>
            <w:r>
              <w:t>11-15 years</w:t>
            </w:r>
          </w:p>
        </w:tc>
        <w:tc>
          <w:tcPr>
            <w:tcW w:w="1319" w:type="dxa"/>
          </w:tcPr>
          <w:p w14:paraId="6E13AFFF" w14:textId="77777777" w:rsidR="008104F5" w:rsidRDefault="00AF1271">
            <w:pPr>
              <w:spacing w:line="480" w:lineRule="auto"/>
            </w:pPr>
            <w:r>
              <w:t>60</w:t>
            </w:r>
          </w:p>
        </w:tc>
        <w:tc>
          <w:tcPr>
            <w:tcW w:w="1788" w:type="dxa"/>
          </w:tcPr>
          <w:p w14:paraId="0453AB7F" w14:textId="77777777" w:rsidR="008104F5" w:rsidRDefault="00AF1271">
            <w:pPr>
              <w:spacing w:line="480" w:lineRule="auto"/>
            </w:pPr>
            <w:r>
              <w:t>27.6</w:t>
            </w:r>
          </w:p>
        </w:tc>
      </w:tr>
      <w:tr w:rsidR="008104F5" w14:paraId="23F53F43" w14:textId="77777777" w:rsidTr="00352495">
        <w:trPr>
          <w:trHeight w:val="217"/>
        </w:trPr>
        <w:tc>
          <w:tcPr>
            <w:tcW w:w="2835" w:type="dxa"/>
          </w:tcPr>
          <w:p w14:paraId="6CAAFBB4" w14:textId="77777777" w:rsidR="008104F5" w:rsidRDefault="008104F5">
            <w:pPr>
              <w:spacing w:line="480" w:lineRule="auto"/>
            </w:pPr>
          </w:p>
        </w:tc>
        <w:tc>
          <w:tcPr>
            <w:tcW w:w="2083" w:type="dxa"/>
          </w:tcPr>
          <w:p w14:paraId="76871675" w14:textId="77777777" w:rsidR="008104F5" w:rsidRDefault="00AF1271">
            <w:pPr>
              <w:spacing w:line="480" w:lineRule="auto"/>
            </w:pPr>
            <w:r>
              <w:t>16-20 years</w:t>
            </w:r>
          </w:p>
        </w:tc>
        <w:tc>
          <w:tcPr>
            <w:tcW w:w="1319" w:type="dxa"/>
          </w:tcPr>
          <w:p w14:paraId="37758043" w14:textId="77777777" w:rsidR="008104F5" w:rsidRDefault="00AF1271">
            <w:pPr>
              <w:spacing w:line="480" w:lineRule="auto"/>
            </w:pPr>
            <w:r>
              <w:t>39</w:t>
            </w:r>
          </w:p>
        </w:tc>
        <w:tc>
          <w:tcPr>
            <w:tcW w:w="1788" w:type="dxa"/>
          </w:tcPr>
          <w:p w14:paraId="31C66AA0" w14:textId="77777777" w:rsidR="008104F5" w:rsidRDefault="00AF1271">
            <w:pPr>
              <w:spacing w:line="480" w:lineRule="auto"/>
            </w:pPr>
            <w:r>
              <w:t>18</w:t>
            </w:r>
          </w:p>
        </w:tc>
      </w:tr>
      <w:tr w:rsidR="008104F5" w14:paraId="4676BE05" w14:textId="77777777" w:rsidTr="00352495">
        <w:trPr>
          <w:trHeight w:val="225"/>
        </w:trPr>
        <w:tc>
          <w:tcPr>
            <w:tcW w:w="2835" w:type="dxa"/>
          </w:tcPr>
          <w:p w14:paraId="1288BD97" w14:textId="77777777" w:rsidR="008104F5" w:rsidRDefault="008104F5">
            <w:pPr>
              <w:spacing w:line="480" w:lineRule="auto"/>
            </w:pPr>
          </w:p>
        </w:tc>
        <w:tc>
          <w:tcPr>
            <w:tcW w:w="2083" w:type="dxa"/>
          </w:tcPr>
          <w:p w14:paraId="22DE11F0" w14:textId="77777777" w:rsidR="008104F5" w:rsidRDefault="00AF1271">
            <w:pPr>
              <w:spacing w:line="480" w:lineRule="auto"/>
            </w:pPr>
            <w:r>
              <w:t>&gt;20 years</w:t>
            </w:r>
          </w:p>
        </w:tc>
        <w:tc>
          <w:tcPr>
            <w:tcW w:w="1319" w:type="dxa"/>
          </w:tcPr>
          <w:p w14:paraId="3C62F3FD" w14:textId="77777777" w:rsidR="008104F5" w:rsidRDefault="00AF1271">
            <w:pPr>
              <w:spacing w:line="480" w:lineRule="auto"/>
            </w:pPr>
            <w:r>
              <w:t>62</w:t>
            </w:r>
          </w:p>
        </w:tc>
        <w:tc>
          <w:tcPr>
            <w:tcW w:w="1788" w:type="dxa"/>
          </w:tcPr>
          <w:p w14:paraId="3B36F58C" w14:textId="77777777" w:rsidR="008104F5" w:rsidRDefault="00AF1271">
            <w:pPr>
              <w:spacing w:line="480" w:lineRule="auto"/>
            </w:pPr>
            <w:r>
              <w:t>28.6</w:t>
            </w:r>
          </w:p>
        </w:tc>
      </w:tr>
      <w:tr w:rsidR="008104F5" w14:paraId="32BEA94A" w14:textId="77777777" w:rsidTr="00352495">
        <w:trPr>
          <w:trHeight w:val="202"/>
        </w:trPr>
        <w:tc>
          <w:tcPr>
            <w:tcW w:w="2835" w:type="dxa"/>
          </w:tcPr>
          <w:p w14:paraId="5464AE91" w14:textId="77777777" w:rsidR="008104F5" w:rsidRDefault="00AF1271">
            <w:pPr>
              <w:spacing w:line="480" w:lineRule="auto"/>
            </w:pPr>
            <w:r>
              <w:t>Working Place</w:t>
            </w:r>
          </w:p>
        </w:tc>
        <w:tc>
          <w:tcPr>
            <w:tcW w:w="2083" w:type="dxa"/>
          </w:tcPr>
          <w:p w14:paraId="3589C7F8" w14:textId="77777777" w:rsidR="008104F5" w:rsidRDefault="00AF1271">
            <w:pPr>
              <w:spacing w:line="480" w:lineRule="auto"/>
            </w:pPr>
            <w:r>
              <w:t>Public institutions</w:t>
            </w:r>
          </w:p>
        </w:tc>
        <w:tc>
          <w:tcPr>
            <w:tcW w:w="1319" w:type="dxa"/>
          </w:tcPr>
          <w:p w14:paraId="01C94007" w14:textId="77777777" w:rsidR="008104F5" w:rsidRDefault="00AF1271">
            <w:pPr>
              <w:spacing w:line="480" w:lineRule="auto"/>
            </w:pPr>
            <w:r>
              <w:t>189</w:t>
            </w:r>
          </w:p>
        </w:tc>
        <w:tc>
          <w:tcPr>
            <w:tcW w:w="1788" w:type="dxa"/>
          </w:tcPr>
          <w:p w14:paraId="20A9F23C" w14:textId="77777777" w:rsidR="008104F5" w:rsidRDefault="00AF1271">
            <w:pPr>
              <w:spacing w:line="480" w:lineRule="auto"/>
            </w:pPr>
            <w:r>
              <w:t>87.1</w:t>
            </w:r>
          </w:p>
        </w:tc>
      </w:tr>
      <w:tr w:rsidR="008104F5" w14:paraId="77024298" w14:textId="77777777" w:rsidTr="00352495">
        <w:trPr>
          <w:trHeight w:val="217"/>
        </w:trPr>
        <w:tc>
          <w:tcPr>
            <w:tcW w:w="2835" w:type="dxa"/>
          </w:tcPr>
          <w:p w14:paraId="57713CEB" w14:textId="77777777" w:rsidR="008104F5" w:rsidRDefault="008104F5">
            <w:pPr>
              <w:spacing w:line="480" w:lineRule="auto"/>
            </w:pPr>
          </w:p>
        </w:tc>
        <w:tc>
          <w:tcPr>
            <w:tcW w:w="2083" w:type="dxa"/>
          </w:tcPr>
          <w:p w14:paraId="2E3AF6B0" w14:textId="77777777" w:rsidR="008104F5" w:rsidRDefault="00AF1271">
            <w:pPr>
              <w:spacing w:line="480" w:lineRule="auto"/>
            </w:pPr>
            <w:r>
              <w:t>Private institutions</w:t>
            </w:r>
          </w:p>
        </w:tc>
        <w:tc>
          <w:tcPr>
            <w:tcW w:w="1319" w:type="dxa"/>
          </w:tcPr>
          <w:p w14:paraId="27168652" w14:textId="77777777" w:rsidR="008104F5" w:rsidRDefault="00AF1271">
            <w:pPr>
              <w:spacing w:line="480" w:lineRule="auto"/>
            </w:pPr>
            <w:r>
              <w:t>28</w:t>
            </w:r>
          </w:p>
        </w:tc>
        <w:tc>
          <w:tcPr>
            <w:tcW w:w="1788" w:type="dxa"/>
          </w:tcPr>
          <w:p w14:paraId="262BBD1A" w14:textId="77777777" w:rsidR="008104F5" w:rsidRDefault="00AF1271">
            <w:pPr>
              <w:spacing w:line="480" w:lineRule="auto"/>
            </w:pPr>
            <w:r>
              <w:t>12.9</w:t>
            </w:r>
          </w:p>
        </w:tc>
      </w:tr>
    </w:tbl>
    <w:p w14:paraId="2CC1AB3E" w14:textId="77777777" w:rsidR="008104F5" w:rsidRDefault="008104F5">
      <w:pPr>
        <w:keepNext/>
        <w:keepLines/>
        <w:pBdr>
          <w:top w:val="nil"/>
          <w:left w:val="nil"/>
          <w:bottom w:val="nil"/>
          <w:right w:val="nil"/>
          <w:between w:val="nil"/>
        </w:pBdr>
        <w:spacing w:line="360" w:lineRule="auto"/>
        <w:jc w:val="left"/>
        <w:rPr>
          <w:b/>
          <w:color w:val="000000"/>
        </w:rPr>
      </w:pPr>
    </w:p>
    <w:p w14:paraId="1CD34444" w14:textId="77777777" w:rsidR="008104F5" w:rsidRDefault="00AF1271">
      <w:pPr>
        <w:keepNext/>
        <w:keepLines/>
        <w:pBdr>
          <w:top w:val="nil"/>
          <w:left w:val="nil"/>
          <w:bottom w:val="nil"/>
          <w:right w:val="nil"/>
          <w:between w:val="nil"/>
        </w:pBdr>
        <w:jc w:val="left"/>
        <w:rPr>
          <w:b/>
          <w:color w:val="000000"/>
        </w:rPr>
      </w:pPr>
      <w:r>
        <w:rPr>
          <w:b/>
          <w:color w:val="000000"/>
        </w:rPr>
        <w:t>Measurement Model Assessment</w:t>
      </w:r>
    </w:p>
    <w:p w14:paraId="6FEE96E7" w14:textId="77777777" w:rsidR="008104F5" w:rsidRDefault="00AF1271" w:rsidP="000A4091">
      <w:pPr>
        <w:ind w:firstLine="720"/>
        <w:jc w:val="left"/>
      </w:pPr>
      <w:commentRangeStart w:id="20"/>
      <w:r>
        <w:t xml:space="preserve">The measurement model should meet all four PLS-SEM criteria: indicator reliability, internal consistency, convergent validity, and discriminant validity. The indicator reliability identifies item loadings of 0.708 or more to ensure that the item is reliable (Hair et al., 2017). As Table 2 demonstrates, all item loadings are above 0.708 except for three items under institutional isomorphism (CP2, MP3, NP1). Nevertheless, these three items could not be removed since they represent the main measurement items of institutional isomorphism. This </w:t>
      </w:r>
      <w:r>
        <w:lastRenderedPageBreak/>
        <w:t>finding aligns with the suggestion by Hair et al. (2017), where items loading between 0.4 to 0.7 can be maintained, provided the composite reliability (CR) and average variance extracted (AVE) have met the threshold values. Nonetheless, two items with factor loading less than 0.708 were removed, one from institutional isomorphism (NP2) and another from human resource measurement (HR1).</w:t>
      </w:r>
    </w:p>
    <w:p w14:paraId="2F201095" w14:textId="77777777" w:rsidR="008104F5" w:rsidRDefault="00AF1271" w:rsidP="000A4091">
      <w:pPr>
        <w:ind w:firstLine="720"/>
        <w:jc w:val="left"/>
      </w:pPr>
      <w:r>
        <w:t>Table 2 also shows that the CR used to measure the internal consistency for the measurement model ranges from 0.857 to 0.924, indicating that they are above the cut-off of 0.70, as prior researchers recommend (Gefen et al., 2000). Finally, the third assessment for the measurement model, which is used to ascertain construct validity, is demonstrated by AVE ranging from 0.510 to 0.753. Similarly, the AVE values exceed the recommended value of 0.5 (</w:t>
      </w:r>
      <w:proofErr w:type="spellStart"/>
      <w:r>
        <w:t>Bagozzi</w:t>
      </w:r>
      <w:proofErr w:type="spellEnd"/>
      <w:r>
        <w:t xml:space="preserve"> &amp; Yi, 1988; Hair et al., 2017), demonstrating that, on average, all variables have explained more than half of the variability in their visible measurement items (</w:t>
      </w:r>
      <w:proofErr w:type="spellStart"/>
      <w:r>
        <w:t>Fornell</w:t>
      </w:r>
      <w:proofErr w:type="spellEnd"/>
      <w:r>
        <w:t xml:space="preserve"> &amp; Larcker, 1981).</w:t>
      </w:r>
      <w:commentRangeEnd w:id="20"/>
      <w:r w:rsidR="004B62BA">
        <w:rPr>
          <w:rStyle w:val="CommentReference"/>
        </w:rPr>
        <w:commentReference w:id="20"/>
      </w:r>
    </w:p>
    <w:p w14:paraId="7C28F6EC" w14:textId="77777777" w:rsidR="008104F5" w:rsidRDefault="008104F5">
      <w:pPr>
        <w:spacing w:line="360" w:lineRule="auto"/>
        <w:ind w:firstLine="720"/>
      </w:pPr>
    </w:p>
    <w:p w14:paraId="4A95B0EC" w14:textId="77777777" w:rsidR="008104F5" w:rsidRDefault="00AF1271">
      <w:pPr>
        <w:jc w:val="left"/>
        <w:rPr>
          <w:b/>
        </w:rPr>
      </w:pPr>
      <w:r>
        <w:rPr>
          <w:b/>
        </w:rPr>
        <w:t>Table 2</w:t>
      </w:r>
    </w:p>
    <w:p w14:paraId="6BB12ADE" w14:textId="77777777" w:rsidR="008104F5" w:rsidRDefault="00AF1271">
      <w:pPr>
        <w:jc w:val="left"/>
      </w:pPr>
      <w:r>
        <w:rPr>
          <w:i/>
        </w:rPr>
        <w:t>Model Validity and Reliability</w:t>
      </w:r>
    </w:p>
    <w:tbl>
      <w:tblPr>
        <w:tblStyle w:val="afa"/>
        <w:tblW w:w="8330" w:type="dxa"/>
        <w:tblBorders>
          <w:top w:val="single" w:sz="4" w:space="0" w:color="000000"/>
          <w:bottom w:val="single" w:sz="4" w:space="0" w:color="000000"/>
        </w:tblBorders>
        <w:tblLayout w:type="fixed"/>
        <w:tblLook w:val="0400" w:firstRow="0" w:lastRow="0" w:firstColumn="0" w:lastColumn="0" w:noHBand="0" w:noVBand="1"/>
      </w:tblPr>
      <w:tblGrid>
        <w:gridCol w:w="1666"/>
        <w:gridCol w:w="1666"/>
        <w:gridCol w:w="1666"/>
        <w:gridCol w:w="1666"/>
        <w:gridCol w:w="1666"/>
      </w:tblGrid>
      <w:tr w:rsidR="008104F5" w14:paraId="087BEB02" w14:textId="77777777">
        <w:trPr>
          <w:trHeight w:val="290"/>
        </w:trPr>
        <w:tc>
          <w:tcPr>
            <w:tcW w:w="1666" w:type="dxa"/>
            <w:shd w:val="clear" w:color="auto" w:fill="auto"/>
            <w:vAlign w:val="bottom"/>
          </w:tcPr>
          <w:p w14:paraId="06C67E63" w14:textId="77777777" w:rsidR="008104F5" w:rsidRDefault="00AF1271">
            <w:pPr>
              <w:jc w:val="left"/>
              <w:rPr>
                <w:b/>
                <w:color w:val="000000"/>
              </w:rPr>
            </w:pPr>
            <w:r>
              <w:rPr>
                <w:b/>
                <w:color w:val="000000"/>
              </w:rPr>
              <w:t>Construct</w:t>
            </w:r>
          </w:p>
        </w:tc>
        <w:tc>
          <w:tcPr>
            <w:tcW w:w="1666" w:type="dxa"/>
            <w:shd w:val="clear" w:color="auto" w:fill="auto"/>
            <w:vAlign w:val="center"/>
          </w:tcPr>
          <w:p w14:paraId="07EB59A2" w14:textId="77777777" w:rsidR="008104F5" w:rsidRDefault="00AF1271">
            <w:pPr>
              <w:jc w:val="center"/>
              <w:rPr>
                <w:b/>
                <w:color w:val="000000"/>
              </w:rPr>
            </w:pPr>
            <w:r>
              <w:rPr>
                <w:b/>
                <w:color w:val="000000"/>
              </w:rPr>
              <w:t>Items</w:t>
            </w:r>
          </w:p>
        </w:tc>
        <w:tc>
          <w:tcPr>
            <w:tcW w:w="1666" w:type="dxa"/>
            <w:shd w:val="clear" w:color="auto" w:fill="auto"/>
            <w:vAlign w:val="center"/>
          </w:tcPr>
          <w:p w14:paraId="6ADA6222" w14:textId="77777777" w:rsidR="008104F5" w:rsidRDefault="00AF1271">
            <w:pPr>
              <w:jc w:val="center"/>
              <w:rPr>
                <w:b/>
                <w:color w:val="000000"/>
              </w:rPr>
            </w:pPr>
            <w:r>
              <w:rPr>
                <w:b/>
                <w:color w:val="000000"/>
              </w:rPr>
              <w:t>Loadings</w:t>
            </w:r>
          </w:p>
        </w:tc>
        <w:tc>
          <w:tcPr>
            <w:tcW w:w="1666" w:type="dxa"/>
            <w:shd w:val="clear" w:color="auto" w:fill="auto"/>
            <w:vAlign w:val="center"/>
          </w:tcPr>
          <w:p w14:paraId="56F39ABA" w14:textId="77777777" w:rsidR="008104F5" w:rsidRDefault="00AF1271">
            <w:pPr>
              <w:jc w:val="center"/>
              <w:rPr>
                <w:b/>
                <w:color w:val="000000"/>
              </w:rPr>
            </w:pPr>
            <w:r>
              <w:rPr>
                <w:b/>
                <w:color w:val="000000"/>
              </w:rPr>
              <w:t>AVE</w:t>
            </w:r>
          </w:p>
        </w:tc>
        <w:tc>
          <w:tcPr>
            <w:tcW w:w="1666" w:type="dxa"/>
            <w:shd w:val="clear" w:color="auto" w:fill="auto"/>
            <w:vAlign w:val="center"/>
          </w:tcPr>
          <w:p w14:paraId="5A83AC75" w14:textId="77777777" w:rsidR="008104F5" w:rsidRDefault="00AF1271">
            <w:pPr>
              <w:jc w:val="center"/>
              <w:rPr>
                <w:b/>
                <w:color w:val="000000"/>
              </w:rPr>
            </w:pPr>
            <w:r>
              <w:rPr>
                <w:b/>
                <w:color w:val="000000"/>
              </w:rPr>
              <w:t>CR</w:t>
            </w:r>
          </w:p>
        </w:tc>
      </w:tr>
      <w:tr w:rsidR="008104F5" w14:paraId="08FE1905" w14:textId="77777777">
        <w:trPr>
          <w:trHeight w:val="290"/>
        </w:trPr>
        <w:tc>
          <w:tcPr>
            <w:tcW w:w="1666" w:type="dxa"/>
            <w:vMerge w:val="restart"/>
            <w:shd w:val="clear" w:color="auto" w:fill="auto"/>
          </w:tcPr>
          <w:p w14:paraId="14F371CA" w14:textId="77777777" w:rsidR="008104F5" w:rsidRDefault="00AF1271">
            <w:pPr>
              <w:jc w:val="left"/>
              <w:rPr>
                <w:color w:val="000000"/>
              </w:rPr>
            </w:pPr>
            <w:r>
              <w:rPr>
                <w:color w:val="000000"/>
              </w:rPr>
              <w:t>Institutional Resources</w:t>
            </w:r>
          </w:p>
        </w:tc>
        <w:tc>
          <w:tcPr>
            <w:tcW w:w="1666" w:type="dxa"/>
            <w:shd w:val="clear" w:color="auto" w:fill="auto"/>
            <w:vAlign w:val="center"/>
          </w:tcPr>
          <w:p w14:paraId="5A60FF7D" w14:textId="77777777" w:rsidR="008104F5" w:rsidRDefault="00AF1271">
            <w:pPr>
              <w:jc w:val="center"/>
              <w:rPr>
                <w:color w:val="000000"/>
              </w:rPr>
            </w:pPr>
            <w:r>
              <w:rPr>
                <w:color w:val="000000"/>
              </w:rPr>
              <w:t>IR1</w:t>
            </w:r>
          </w:p>
        </w:tc>
        <w:tc>
          <w:tcPr>
            <w:tcW w:w="1666" w:type="dxa"/>
            <w:shd w:val="clear" w:color="auto" w:fill="auto"/>
            <w:vAlign w:val="center"/>
          </w:tcPr>
          <w:p w14:paraId="56364596" w14:textId="77777777" w:rsidR="008104F5" w:rsidRDefault="00AF1271">
            <w:pPr>
              <w:jc w:val="center"/>
              <w:rPr>
                <w:color w:val="000000"/>
              </w:rPr>
            </w:pPr>
            <w:r>
              <w:rPr>
                <w:color w:val="000000"/>
              </w:rPr>
              <w:t>0.753</w:t>
            </w:r>
          </w:p>
        </w:tc>
        <w:tc>
          <w:tcPr>
            <w:tcW w:w="1666" w:type="dxa"/>
            <w:shd w:val="clear" w:color="auto" w:fill="auto"/>
            <w:vAlign w:val="center"/>
          </w:tcPr>
          <w:p w14:paraId="7B1869E6" w14:textId="77777777" w:rsidR="008104F5" w:rsidRDefault="00AF1271">
            <w:pPr>
              <w:jc w:val="center"/>
              <w:rPr>
                <w:color w:val="000000"/>
              </w:rPr>
            </w:pPr>
            <w:r>
              <w:rPr>
                <w:color w:val="000000"/>
              </w:rPr>
              <w:t>0.640</w:t>
            </w:r>
          </w:p>
        </w:tc>
        <w:tc>
          <w:tcPr>
            <w:tcW w:w="1666" w:type="dxa"/>
            <w:shd w:val="clear" w:color="auto" w:fill="auto"/>
            <w:vAlign w:val="center"/>
          </w:tcPr>
          <w:p w14:paraId="72A397A9" w14:textId="77777777" w:rsidR="008104F5" w:rsidRDefault="00AF1271">
            <w:pPr>
              <w:jc w:val="center"/>
              <w:rPr>
                <w:color w:val="000000"/>
              </w:rPr>
            </w:pPr>
            <w:r>
              <w:rPr>
                <w:color w:val="000000"/>
              </w:rPr>
              <w:t>0.914</w:t>
            </w:r>
          </w:p>
        </w:tc>
      </w:tr>
      <w:tr w:rsidR="008104F5" w14:paraId="050CFB9D" w14:textId="77777777">
        <w:trPr>
          <w:trHeight w:val="290"/>
        </w:trPr>
        <w:tc>
          <w:tcPr>
            <w:tcW w:w="1666" w:type="dxa"/>
            <w:vMerge/>
            <w:shd w:val="clear" w:color="auto" w:fill="auto"/>
          </w:tcPr>
          <w:p w14:paraId="17129A94"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3FC0D75D" w14:textId="77777777" w:rsidR="008104F5" w:rsidRDefault="00AF1271">
            <w:pPr>
              <w:jc w:val="center"/>
              <w:rPr>
                <w:color w:val="000000"/>
              </w:rPr>
            </w:pPr>
            <w:r>
              <w:rPr>
                <w:color w:val="000000"/>
              </w:rPr>
              <w:t>IR2</w:t>
            </w:r>
          </w:p>
        </w:tc>
        <w:tc>
          <w:tcPr>
            <w:tcW w:w="1666" w:type="dxa"/>
            <w:shd w:val="clear" w:color="auto" w:fill="auto"/>
            <w:vAlign w:val="center"/>
          </w:tcPr>
          <w:p w14:paraId="6412DC15" w14:textId="77777777" w:rsidR="008104F5" w:rsidRDefault="00AF1271">
            <w:pPr>
              <w:jc w:val="center"/>
              <w:rPr>
                <w:color w:val="000000"/>
              </w:rPr>
            </w:pPr>
            <w:r>
              <w:rPr>
                <w:color w:val="000000"/>
              </w:rPr>
              <w:t>0.821</w:t>
            </w:r>
          </w:p>
        </w:tc>
        <w:tc>
          <w:tcPr>
            <w:tcW w:w="1666" w:type="dxa"/>
            <w:shd w:val="clear" w:color="auto" w:fill="auto"/>
            <w:vAlign w:val="center"/>
          </w:tcPr>
          <w:p w14:paraId="4291EE8A" w14:textId="77777777" w:rsidR="008104F5" w:rsidRDefault="008104F5">
            <w:pPr>
              <w:jc w:val="center"/>
              <w:rPr>
                <w:color w:val="000000"/>
              </w:rPr>
            </w:pPr>
          </w:p>
        </w:tc>
        <w:tc>
          <w:tcPr>
            <w:tcW w:w="1666" w:type="dxa"/>
            <w:shd w:val="clear" w:color="auto" w:fill="auto"/>
            <w:vAlign w:val="center"/>
          </w:tcPr>
          <w:p w14:paraId="737906F6" w14:textId="77777777" w:rsidR="008104F5" w:rsidRDefault="008104F5">
            <w:pPr>
              <w:jc w:val="center"/>
              <w:rPr>
                <w:color w:val="000000"/>
              </w:rPr>
            </w:pPr>
          </w:p>
        </w:tc>
      </w:tr>
      <w:tr w:rsidR="008104F5" w14:paraId="46E26E7E" w14:textId="77777777">
        <w:trPr>
          <w:trHeight w:val="290"/>
        </w:trPr>
        <w:tc>
          <w:tcPr>
            <w:tcW w:w="1666" w:type="dxa"/>
            <w:vMerge/>
            <w:shd w:val="clear" w:color="auto" w:fill="auto"/>
          </w:tcPr>
          <w:p w14:paraId="5E1D6D68"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29FB118A" w14:textId="77777777" w:rsidR="008104F5" w:rsidRDefault="00AF1271">
            <w:pPr>
              <w:jc w:val="center"/>
              <w:rPr>
                <w:color w:val="000000"/>
              </w:rPr>
            </w:pPr>
            <w:r>
              <w:rPr>
                <w:color w:val="000000"/>
              </w:rPr>
              <w:t>IR3</w:t>
            </w:r>
          </w:p>
        </w:tc>
        <w:tc>
          <w:tcPr>
            <w:tcW w:w="1666" w:type="dxa"/>
            <w:shd w:val="clear" w:color="auto" w:fill="auto"/>
            <w:vAlign w:val="center"/>
          </w:tcPr>
          <w:p w14:paraId="1FDC9E0C" w14:textId="77777777" w:rsidR="008104F5" w:rsidRDefault="00AF1271">
            <w:pPr>
              <w:jc w:val="center"/>
              <w:rPr>
                <w:color w:val="000000"/>
              </w:rPr>
            </w:pPr>
            <w:r>
              <w:rPr>
                <w:color w:val="000000"/>
              </w:rPr>
              <w:t>0.831</w:t>
            </w:r>
          </w:p>
        </w:tc>
        <w:tc>
          <w:tcPr>
            <w:tcW w:w="1666" w:type="dxa"/>
            <w:shd w:val="clear" w:color="auto" w:fill="auto"/>
            <w:vAlign w:val="center"/>
          </w:tcPr>
          <w:p w14:paraId="6DA7EDB3" w14:textId="77777777" w:rsidR="008104F5" w:rsidRDefault="008104F5">
            <w:pPr>
              <w:jc w:val="center"/>
              <w:rPr>
                <w:color w:val="000000"/>
              </w:rPr>
            </w:pPr>
          </w:p>
        </w:tc>
        <w:tc>
          <w:tcPr>
            <w:tcW w:w="1666" w:type="dxa"/>
            <w:shd w:val="clear" w:color="auto" w:fill="auto"/>
            <w:vAlign w:val="center"/>
          </w:tcPr>
          <w:p w14:paraId="5E56E6D5" w14:textId="77777777" w:rsidR="008104F5" w:rsidRDefault="008104F5">
            <w:pPr>
              <w:jc w:val="center"/>
              <w:rPr>
                <w:color w:val="000000"/>
              </w:rPr>
            </w:pPr>
          </w:p>
        </w:tc>
      </w:tr>
      <w:tr w:rsidR="008104F5" w14:paraId="5C703123" w14:textId="77777777">
        <w:trPr>
          <w:trHeight w:val="290"/>
        </w:trPr>
        <w:tc>
          <w:tcPr>
            <w:tcW w:w="1666" w:type="dxa"/>
            <w:vMerge/>
            <w:shd w:val="clear" w:color="auto" w:fill="auto"/>
          </w:tcPr>
          <w:p w14:paraId="77B5ADF0"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0FDECC0C" w14:textId="77777777" w:rsidR="008104F5" w:rsidRDefault="00AF1271">
            <w:pPr>
              <w:jc w:val="center"/>
              <w:rPr>
                <w:color w:val="000000"/>
              </w:rPr>
            </w:pPr>
            <w:r>
              <w:rPr>
                <w:color w:val="000000"/>
              </w:rPr>
              <w:t>IR4</w:t>
            </w:r>
          </w:p>
        </w:tc>
        <w:tc>
          <w:tcPr>
            <w:tcW w:w="1666" w:type="dxa"/>
            <w:shd w:val="clear" w:color="auto" w:fill="auto"/>
            <w:vAlign w:val="center"/>
          </w:tcPr>
          <w:p w14:paraId="7146A593" w14:textId="77777777" w:rsidR="008104F5" w:rsidRDefault="00AF1271">
            <w:pPr>
              <w:jc w:val="center"/>
              <w:rPr>
                <w:color w:val="000000"/>
              </w:rPr>
            </w:pPr>
            <w:r>
              <w:rPr>
                <w:color w:val="000000"/>
              </w:rPr>
              <w:t>0.776</w:t>
            </w:r>
          </w:p>
        </w:tc>
        <w:tc>
          <w:tcPr>
            <w:tcW w:w="1666" w:type="dxa"/>
            <w:shd w:val="clear" w:color="auto" w:fill="auto"/>
            <w:vAlign w:val="center"/>
          </w:tcPr>
          <w:p w14:paraId="3E4AE19A" w14:textId="77777777" w:rsidR="008104F5" w:rsidRDefault="008104F5">
            <w:pPr>
              <w:jc w:val="center"/>
              <w:rPr>
                <w:color w:val="000000"/>
              </w:rPr>
            </w:pPr>
          </w:p>
        </w:tc>
        <w:tc>
          <w:tcPr>
            <w:tcW w:w="1666" w:type="dxa"/>
            <w:shd w:val="clear" w:color="auto" w:fill="auto"/>
            <w:vAlign w:val="center"/>
          </w:tcPr>
          <w:p w14:paraId="59BDABAF" w14:textId="77777777" w:rsidR="008104F5" w:rsidRDefault="008104F5">
            <w:pPr>
              <w:jc w:val="center"/>
              <w:rPr>
                <w:color w:val="000000"/>
              </w:rPr>
            </w:pPr>
          </w:p>
        </w:tc>
      </w:tr>
      <w:tr w:rsidR="008104F5" w14:paraId="586F51F8" w14:textId="77777777">
        <w:trPr>
          <w:trHeight w:val="290"/>
        </w:trPr>
        <w:tc>
          <w:tcPr>
            <w:tcW w:w="1666" w:type="dxa"/>
            <w:vMerge/>
            <w:shd w:val="clear" w:color="auto" w:fill="auto"/>
          </w:tcPr>
          <w:p w14:paraId="571A0061"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1B8D5BF6" w14:textId="77777777" w:rsidR="008104F5" w:rsidRDefault="00AF1271">
            <w:pPr>
              <w:jc w:val="center"/>
              <w:rPr>
                <w:color w:val="000000"/>
              </w:rPr>
            </w:pPr>
            <w:r>
              <w:rPr>
                <w:color w:val="000000"/>
              </w:rPr>
              <w:t>IR5</w:t>
            </w:r>
          </w:p>
        </w:tc>
        <w:tc>
          <w:tcPr>
            <w:tcW w:w="1666" w:type="dxa"/>
            <w:shd w:val="clear" w:color="auto" w:fill="auto"/>
            <w:vAlign w:val="center"/>
          </w:tcPr>
          <w:p w14:paraId="190DB43A" w14:textId="77777777" w:rsidR="008104F5" w:rsidRDefault="00AF1271">
            <w:pPr>
              <w:jc w:val="center"/>
              <w:rPr>
                <w:color w:val="000000"/>
              </w:rPr>
            </w:pPr>
            <w:r>
              <w:rPr>
                <w:color w:val="000000"/>
              </w:rPr>
              <w:t>0.827</w:t>
            </w:r>
          </w:p>
        </w:tc>
        <w:tc>
          <w:tcPr>
            <w:tcW w:w="1666" w:type="dxa"/>
            <w:shd w:val="clear" w:color="auto" w:fill="auto"/>
            <w:vAlign w:val="center"/>
          </w:tcPr>
          <w:p w14:paraId="3DC7CFF7" w14:textId="77777777" w:rsidR="008104F5" w:rsidRDefault="008104F5">
            <w:pPr>
              <w:jc w:val="center"/>
              <w:rPr>
                <w:color w:val="000000"/>
              </w:rPr>
            </w:pPr>
          </w:p>
        </w:tc>
        <w:tc>
          <w:tcPr>
            <w:tcW w:w="1666" w:type="dxa"/>
            <w:shd w:val="clear" w:color="auto" w:fill="auto"/>
            <w:vAlign w:val="center"/>
          </w:tcPr>
          <w:p w14:paraId="358207BB" w14:textId="77777777" w:rsidR="008104F5" w:rsidRDefault="008104F5">
            <w:pPr>
              <w:jc w:val="center"/>
              <w:rPr>
                <w:color w:val="000000"/>
              </w:rPr>
            </w:pPr>
          </w:p>
        </w:tc>
      </w:tr>
      <w:tr w:rsidR="008104F5" w14:paraId="60C54C58" w14:textId="77777777">
        <w:trPr>
          <w:trHeight w:val="290"/>
        </w:trPr>
        <w:tc>
          <w:tcPr>
            <w:tcW w:w="1666" w:type="dxa"/>
            <w:vMerge/>
            <w:shd w:val="clear" w:color="auto" w:fill="auto"/>
          </w:tcPr>
          <w:p w14:paraId="41A88A69"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79D2A686" w14:textId="77777777" w:rsidR="008104F5" w:rsidRDefault="00AF1271">
            <w:pPr>
              <w:jc w:val="center"/>
              <w:rPr>
                <w:color w:val="000000"/>
              </w:rPr>
            </w:pPr>
            <w:r>
              <w:rPr>
                <w:color w:val="000000"/>
              </w:rPr>
              <w:t>IR6</w:t>
            </w:r>
          </w:p>
        </w:tc>
        <w:tc>
          <w:tcPr>
            <w:tcW w:w="1666" w:type="dxa"/>
            <w:shd w:val="clear" w:color="auto" w:fill="auto"/>
            <w:vAlign w:val="center"/>
          </w:tcPr>
          <w:p w14:paraId="214B4E5B" w14:textId="77777777" w:rsidR="008104F5" w:rsidRDefault="00AF1271">
            <w:pPr>
              <w:jc w:val="center"/>
              <w:rPr>
                <w:color w:val="000000"/>
              </w:rPr>
            </w:pPr>
            <w:r>
              <w:rPr>
                <w:color w:val="000000"/>
              </w:rPr>
              <w:t>0.790</w:t>
            </w:r>
          </w:p>
        </w:tc>
        <w:tc>
          <w:tcPr>
            <w:tcW w:w="1666" w:type="dxa"/>
            <w:shd w:val="clear" w:color="auto" w:fill="auto"/>
            <w:vAlign w:val="center"/>
          </w:tcPr>
          <w:p w14:paraId="6109AD48" w14:textId="77777777" w:rsidR="008104F5" w:rsidRDefault="008104F5">
            <w:pPr>
              <w:jc w:val="center"/>
              <w:rPr>
                <w:color w:val="000000"/>
              </w:rPr>
            </w:pPr>
          </w:p>
        </w:tc>
        <w:tc>
          <w:tcPr>
            <w:tcW w:w="1666" w:type="dxa"/>
            <w:shd w:val="clear" w:color="auto" w:fill="auto"/>
            <w:vAlign w:val="center"/>
          </w:tcPr>
          <w:p w14:paraId="4B499426" w14:textId="77777777" w:rsidR="008104F5" w:rsidRDefault="008104F5">
            <w:pPr>
              <w:jc w:val="center"/>
              <w:rPr>
                <w:color w:val="000000"/>
              </w:rPr>
            </w:pPr>
          </w:p>
        </w:tc>
      </w:tr>
      <w:tr w:rsidR="008104F5" w14:paraId="24F5D891" w14:textId="77777777">
        <w:trPr>
          <w:trHeight w:val="390"/>
        </w:trPr>
        <w:tc>
          <w:tcPr>
            <w:tcW w:w="1666" w:type="dxa"/>
            <w:vMerge w:val="restart"/>
            <w:shd w:val="clear" w:color="auto" w:fill="auto"/>
          </w:tcPr>
          <w:p w14:paraId="0C0EC44F" w14:textId="77777777" w:rsidR="008104F5" w:rsidRDefault="00AF1271">
            <w:pPr>
              <w:jc w:val="left"/>
              <w:rPr>
                <w:color w:val="000000"/>
              </w:rPr>
            </w:pPr>
            <w:r>
              <w:rPr>
                <w:color w:val="000000"/>
              </w:rPr>
              <w:t>Technology Resources</w:t>
            </w:r>
          </w:p>
        </w:tc>
        <w:tc>
          <w:tcPr>
            <w:tcW w:w="1666" w:type="dxa"/>
            <w:shd w:val="clear" w:color="auto" w:fill="auto"/>
            <w:vAlign w:val="center"/>
          </w:tcPr>
          <w:p w14:paraId="2D8DB33D" w14:textId="77777777" w:rsidR="008104F5" w:rsidRDefault="00AF1271">
            <w:pPr>
              <w:jc w:val="center"/>
              <w:rPr>
                <w:color w:val="000000"/>
              </w:rPr>
            </w:pPr>
            <w:r>
              <w:rPr>
                <w:color w:val="000000"/>
              </w:rPr>
              <w:t>TR1</w:t>
            </w:r>
          </w:p>
        </w:tc>
        <w:tc>
          <w:tcPr>
            <w:tcW w:w="1666" w:type="dxa"/>
            <w:shd w:val="clear" w:color="auto" w:fill="auto"/>
            <w:vAlign w:val="center"/>
          </w:tcPr>
          <w:p w14:paraId="3021E8E7" w14:textId="77777777" w:rsidR="008104F5" w:rsidRDefault="00AF1271">
            <w:pPr>
              <w:jc w:val="center"/>
              <w:rPr>
                <w:color w:val="000000"/>
              </w:rPr>
            </w:pPr>
            <w:r>
              <w:rPr>
                <w:color w:val="000000"/>
              </w:rPr>
              <w:t>0.859</w:t>
            </w:r>
          </w:p>
        </w:tc>
        <w:tc>
          <w:tcPr>
            <w:tcW w:w="1666" w:type="dxa"/>
            <w:shd w:val="clear" w:color="auto" w:fill="auto"/>
            <w:vAlign w:val="center"/>
          </w:tcPr>
          <w:p w14:paraId="1FF0B32C" w14:textId="77777777" w:rsidR="008104F5" w:rsidRDefault="00AF1271">
            <w:pPr>
              <w:jc w:val="center"/>
              <w:rPr>
                <w:color w:val="000000"/>
              </w:rPr>
            </w:pPr>
            <w:r>
              <w:rPr>
                <w:color w:val="000000"/>
              </w:rPr>
              <w:t>0.753</w:t>
            </w:r>
          </w:p>
        </w:tc>
        <w:tc>
          <w:tcPr>
            <w:tcW w:w="1666" w:type="dxa"/>
            <w:shd w:val="clear" w:color="auto" w:fill="auto"/>
            <w:vAlign w:val="center"/>
          </w:tcPr>
          <w:p w14:paraId="70165CDF" w14:textId="77777777" w:rsidR="008104F5" w:rsidRDefault="00AF1271">
            <w:pPr>
              <w:jc w:val="center"/>
              <w:rPr>
                <w:color w:val="000000"/>
              </w:rPr>
            </w:pPr>
            <w:r>
              <w:rPr>
                <w:color w:val="000000"/>
              </w:rPr>
              <w:t>0.924</w:t>
            </w:r>
          </w:p>
        </w:tc>
      </w:tr>
      <w:tr w:rsidR="008104F5" w14:paraId="1A20824E" w14:textId="77777777">
        <w:trPr>
          <w:trHeight w:val="290"/>
        </w:trPr>
        <w:tc>
          <w:tcPr>
            <w:tcW w:w="1666" w:type="dxa"/>
            <w:vMerge/>
            <w:shd w:val="clear" w:color="auto" w:fill="auto"/>
          </w:tcPr>
          <w:p w14:paraId="0681E867"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40BD73F6" w14:textId="77777777" w:rsidR="008104F5" w:rsidRDefault="00AF1271">
            <w:pPr>
              <w:jc w:val="center"/>
              <w:rPr>
                <w:color w:val="000000"/>
              </w:rPr>
            </w:pPr>
            <w:r>
              <w:rPr>
                <w:color w:val="000000"/>
              </w:rPr>
              <w:t>TR2</w:t>
            </w:r>
          </w:p>
        </w:tc>
        <w:tc>
          <w:tcPr>
            <w:tcW w:w="1666" w:type="dxa"/>
            <w:shd w:val="clear" w:color="auto" w:fill="auto"/>
            <w:vAlign w:val="center"/>
          </w:tcPr>
          <w:p w14:paraId="3F167537" w14:textId="77777777" w:rsidR="008104F5" w:rsidRDefault="00AF1271">
            <w:pPr>
              <w:jc w:val="center"/>
              <w:rPr>
                <w:color w:val="000000"/>
              </w:rPr>
            </w:pPr>
            <w:r>
              <w:rPr>
                <w:color w:val="000000"/>
              </w:rPr>
              <w:t>0.892</w:t>
            </w:r>
          </w:p>
        </w:tc>
        <w:tc>
          <w:tcPr>
            <w:tcW w:w="1666" w:type="dxa"/>
            <w:shd w:val="clear" w:color="auto" w:fill="auto"/>
            <w:vAlign w:val="center"/>
          </w:tcPr>
          <w:p w14:paraId="5B9B9872" w14:textId="77777777" w:rsidR="008104F5" w:rsidRDefault="008104F5">
            <w:pPr>
              <w:jc w:val="center"/>
              <w:rPr>
                <w:color w:val="000000"/>
              </w:rPr>
            </w:pPr>
          </w:p>
        </w:tc>
        <w:tc>
          <w:tcPr>
            <w:tcW w:w="1666" w:type="dxa"/>
            <w:shd w:val="clear" w:color="auto" w:fill="auto"/>
            <w:vAlign w:val="center"/>
          </w:tcPr>
          <w:p w14:paraId="7B34229B" w14:textId="77777777" w:rsidR="008104F5" w:rsidRDefault="008104F5">
            <w:pPr>
              <w:jc w:val="center"/>
              <w:rPr>
                <w:color w:val="000000"/>
              </w:rPr>
            </w:pPr>
          </w:p>
        </w:tc>
      </w:tr>
      <w:tr w:rsidR="008104F5" w14:paraId="6FA133E9" w14:textId="77777777">
        <w:trPr>
          <w:trHeight w:val="290"/>
        </w:trPr>
        <w:tc>
          <w:tcPr>
            <w:tcW w:w="1666" w:type="dxa"/>
            <w:vMerge/>
            <w:shd w:val="clear" w:color="auto" w:fill="auto"/>
          </w:tcPr>
          <w:p w14:paraId="6C33B6AF"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16F45B4D" w14:textId="77777777" w:rsidR="008104F5" w:rsidRDefault="00AF1271">
            <w:pPr>
              <w:jc w:val="center"/>
              <w:rPr>
                <w:color w:val="000000"/>
              </w:rPr>
            </w:pPr>
            <w:r>
              <w:rPr>
                <w:color w:val="000000"/>
              </w:rPr>
              <w:t>TR3</w:t>
            </w:r>
          </w:p>
        </w:tc>
        <w:tc>
          <w:tcPr>
            <w:tcW w:w="1666" w:type="dxa"/>
            <w:shd w:val="clear" w:color="auto" w:fill="auto"/>
            <w:vAlign w:val="center"/>
          </w:tcPr>
          <w:p w14:paraId="375F590A" w14:textId="77777777" w:rsidR="008104F5" w:rsidRDefault="00AF1271">
            <w:pPr>
              <w:jc w:val="center"/>
              <w:rPr>
                <w:color w:val="000000"/>
              </w:rPr>
            </w:pPr>
            <w:r>
              <w:rPr>
                <w:color w:val="000000"/>
              </w:rPr>
              <w:t>0.870</w:t>
            </w:r>
          </w:p>
        </w:tc>
        <w:tc>
          <w:tcPr>
            <w:tcW w:w="1666" w:type="dxa"/>
            <w:shd w:val="clear" w:color="auto" w:fill="auto"/>
            <w:vAlign w:val="center"/>
          </w:tcPr>
          <w:p w14:paraId="5FE793B9" w14:textId="77777777" w:rsidR="008104F5" w:rsidRDefault="008104F5">
            <w:pPr>
              <w:jc w:val="center"/>
              <w:rPr>
                <w:color w:val="000000"/>
              </w:rPr>
            </w:pPr>
          </w:p>
        </w:tc>
        <w:tc>
          <w:tcPr>
            <w:tcW w:w="1666" w:type="dxa"/>
            <w:shd w:val="clear" w:color="auto" w:fill="auto"/>
            <w:vAlign w:val="center"/>
          </w:tcPr>
          <w:p w14:paraId="521AF7CC" w14:textId="77777777" w:rsidR="008104F5" w:rsidRDefault="008104F5">
            <w:pPr>
              <w:jc w:val="center"/>
              <w:rPr>
                <w:color w:val="000000"/>
              </w:rPr>
            </w:pPr>
          </w:p>
        </w:tc>
      </w:tr>
      <w:tr w:rsidR="008104F5" w14:paraId="161AF812" w14:textId="77777777">
        <w:trPr>
          <w:trHeight w:val="290"/>
        </w:trPr>
        <w:tc>
          <w:tcPr>
            <w:tcW w:w="1666" w:type="dxa"/>
            <w:vMerge/>
            <w:shd w:val="clear" w:color="auto" w:fill="auto"/>
          </w:tcPr>
          <w:p w14:paraId="16515394"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490017D4" w14:textId="77777777" w:rsidR="008104F5" w:rsidRDefault="00AF1271">
            <w:pPr>
              <w:jc w:val="center"/>
              <w:rPr>
                <w:color w:val="000000"/>
              </w:rPr>
            </w:pPr>
            <w:r>
              <w:rPr>
                <w:color w:val="000000"/>
              </w:rPr>
              <w:t>TR4</w:t>
            </w:r>
          </w:p>
        </w:tc>
        <w:tc>
          <w:tcPr>
            <w:tcW w:w="1666" w:type="dxa"/>
            <w:shd w:val="clear" w:color="auto" w:fill="auto"/>
            <w:vAlign w:val="center"/>
          </w:tcPr>
          <w:p w14:paraId="239EE94C" w14:textId="77777777" w:rsidR="008104F5" w:rsidRDefault="00AF1271">
            <w:pPr>
              <w:jc w:val="center"/>
              <w:rPr>
                <w:color w:val="000000"/>
              </w:rPr>
            </w:pPr>
            <w:r>
              <w:rPr>
                <w:color w:val="000000"/>
              </w:rPr>
              <w:t>0.848</w:t>
            </w:r>
          </w:p>
        </w:tc>
        <w:tc>
          <w:tcPr>
            <w:tcW w:w="1666" w:type="dxa"/>
            <w:shd w:val="clear" w:color="auto" w:fill="auto"/>
            <w:vAlign w:val="center"/>
          </w:tcPr>
          <w:p w14:paraId="2268D4D0" w14:textId="77777777" w:rsidR="008104F5" w:rsidRDefault="008104F5">
            <w:pPr>
              <w:jc w:val="center"/>
              <w:rPr>
                <w:color w:val="000000"/>
              </w:rPr>
            </w:pPr>
          </w:p>
        </w:tc>
        <w:tc>
          <w:tcPr>
            <w:tcW w:w="1666" w:type="dxa"/>
            <w:shd w:val="clear" w:color="auto" w:fill="auto"/>
            <w:vAlign w:val="center"/>
          </w:tcPr>
          <w:p w14:paraId="2AB8FEFD" w14:textId="77777777" w:rsidR="008104F5" w:rsidRDefault="008104F5">
            <w:pPr>
              <w:jc w:val="center"/>
              <w:rPr>
                <w:color w:val="000000"/>
              </w:rPr>
            </w:pPr>
          </w:p>
        </w:tc>
      </w:tr>
      <w:tr w:rsidR="008104F5" w14:paraId="6601D78B" w14:textId="77777777">
        <w:trPr>
          <w:trHeight w:val="290"/>
        </w:trPr>
        <w:tc>
          <w:tcPr>
            <w:tcW w:w="1666" w:type="dxa"/>
            <w:vMerge w:val="restart"/>
            <w:shd w:val="clear" w:color="auto" w:fill="auto"/>
          </w:tcPr>
          <w:p w14:paraId="23AB7AF2" w14:textId="77777777" w:rsidR="008104F5" w:rsidRDefault="00AF1271">
            <w:pPr>
              <w:jc w:val="left"/>
              <w:rPr>
                <w:color w:val="000000"/>
              </w:rPr>
            </w:pPr>
            <w:r>
              <w:rPr>
                <w:color w:val="000000"/>
              </w:rPr>
              <w:t>Human Resources</w:t>
            </w:r>
          </w:p>
        </w:tc>
        <w:tc>
          <w:tcPr>
            <w:tcW w:w="1666" w:type="dxa"/>
            <w:shd w:val="clear" w:color="auto" w:fill="auto"/>
            <w:vAlign w:val="center"/>
          </w:tcPr>
          <w:p w14:paraId="0498566E" w14:textId="77777777" w:rsidR="008104F5" w:rsidRDefault="00AF1271">
            <w:pPr>
              <w:jc w:val="center"/>
              <w:rPr>
                <w:color w:val="000000"/>
              </w:rPr>
            </w:pPr>
            <w:r>
              <w:rPr>
                <w:color w:val="000000"/>
              </w:rPr>
              <w:t>HR2</w:t>
            </w:r>
          </w:p>
        </w:tc>
        <w:tc>
          <w:tcPr>
            <w:tcW w:w="1666" w:type="dxa"/>
            <w:shd w:val="clear" w:color="auto" w:fill="auto"/>
            <w:vAlign w:val="center"/>
          </w:tcPr>
          <w:p w14:paraId="63387C7F" w14:textId="77777777" w:rsidR="008104F5" w:rsidRDefault="00AF1271">
            <w:pPr>
              <w:jc w:val="center"/>
              <w:rPr>
                <w:color w:val="000000"/>
              </w:rPr>
            </w:pPr>
            <w:r>
              <w:rPr>
                <w:color w:val="000000"/>
              </w:rPr>
              <w:t>0.899</w:t>
            </w:r>
          </w:p>
        </w:tc>
        <w:tc>
          <w:tcPr>
            <w:tcW w:w="1666" w:type="dxa"/>
            <w:shd w:val="clear" w:color="auto" w:fill="auto"/>
            <w:vAlign w:val="center"/>
          </w:tcPr>
          <w:p w14:paraId="090CF95E" w14:textId="77777777" w:rsidR="008104F5" w:rsidRDefault="00AF1271">
            <w:pPr>
              <w:jc w:val="center"/>
              <w:rPr>
                <w:color w:val="000000"/>
              </w:rPr>
            </w:pPr>
            <w:r>
              <w:rPr>
                <w:color w:val="000000"/>
              </w:rPr>
              <w:t>0.728</w:t>
            </w:r>
          </w:p>
        </w:tc>
        <w:tc>
          <w:tcPr>
            <w:tcW w:w="1666" w:type="dxa"/>
            <w:shd w:val="clear" w:color="auto" w:fill="auto"/>
            <w:vAlign w:val="center"/>
          </w:tcPr>
          <w:p w14:paraId="51C74DD5" w14:textId="77777777" w:rsidR="008104F5" w:rsidRDefault="00AF1271">
            <w:pPr>
              <w:jc w:val="center"/>
              <w:rPr>
                <w:color w:val="000000"/>
              </w:rPr>
            </w:pPr>
            <w:r>
              <w:rPr>
                <w:color w:val="000000"/>
              </w:rPr>
              <w:t>0.914</w:t>
            </w:r>
          </w:p>
        </w:tc>
      </w:tr>
      <w:tr w:rsidR="008104F5" w14:paraId="045BDFF2" w14:textId="77777777">
        <w:trPr>
          <w:trHeight w:val="290"/>
        </w:trPr>
        <w:tc>
          <w:tcPr>
            <w:tcW w:w="1666" w:type="dxa"/>
            <w:vMerge/>
            <w:shd w:val="clear" w:color="auto" w:fill="auto"/>
          </w:tcPr>
          <w:p w14:paraId="6FB6D04D"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53620DE3" w14:textId="77777777" w:rsidR="008104F5" w:rsidRDefault="00AF1271">
            <w:pPr>
              <w:jc w:val="center"/>
              <w:rPr>
                <w:color w:val="000000"/>
              </w:rPr>
            </w:pPr>
            <w:r>
              <w:rPr>
                <w:color w:val="000000"/>
              </w:rPr>
              <w:t xml:space="preserve">HR3 </w:t>
            </w:r>
          </w:p>
        </w:tc>
        <w:tc>
          <w:tcPr>
            <w:tcW w:w="1666" w:type="dxa"/>
            <w:shd w:val="clear" w:color="auto" w:fill="auto"/>
            <w:vAlign w:val="center"/>
          </w:tcPr>
          <w:p w14:paraId="73BB974D" w14:textId="77777777" w:rsidR="008104F5" w:rsidRDefault="00AF1271">
            <w:pPr>
              <w:jc w:val="center"/>
              <w:rPr>
                <w:color w:val="000000"/>
              </w:rPr>
            </w:pPr>
            <w:r>
              <w:rPr>
                <w:color w:val="000000"/>
              </w:rPr>
              <w:t>0.802</w:t>
            </w:r>
          </w:p>
        </w:tc>
        <w:tc>
          <w:tcPr>
            <w:tcW w:w="1666" w:type="dxa"/>
            <w:shd w:val="clear" w:color="auto" w:fill="auto"/>
            <w:vAlign w:val="center"/>
          </w:tcPr>
          <w:p w14:paraId="7EA85D01" w14:textId="77777777" w:rsidR="008104F5" w:rsidRDefault="008104F5">
            <w:pPr>
              <w:jc w:val="center"/>
              <w:rPr>
                <w:color w:val="000000"/>
              </w:rPr>
            </w:pPr>
          </w:p>
        </w:tc>
        <w:tc>
          <w:tcPr>
            <w:tcW w:w="1666" w:type="dxa"/>
            <w:shd w:val="clear" w:color="auto" w:fill="auto"/>
            <w:vAlign w:val="center"/>
          </w:tcPr>
          <w:p w14:paraId="1C04EF45" w14:textId="77777777" w:rsidR="008104F5" w:rsidRDefault="008104F5">
            <w:pPr>
              <w:jc w:val="center"/>
              <w:rPr>
                <w:color w:val="000000"/>
              </w:rPr>
            </w:pPr>
          </w:p>
        </w:tc>
      </w:tr>
      <w:tr w:rsidR="008104F5" w14:paraId="7C9B9FE9" w14:textId="77777777">
        <w:trPr>
          <w:trHeight w:val="290"/>
        </w:trPr>
        <w:tc>
          <w:tcPr>
            <w:tcW w:w="1666" w:type="dxa"/>
            <w:vMerge/>
            <w:shd w:val="clear" w:color="auto" w:fill="auto"/>
          </w:tcPr>
          <w:p w14:paraId="53AAEB07"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5F075A83" w14:textId="77777777" w:rsidR="008104F5" w:rsidRDefault="00AF1271">
            <w:pPr>
              <w:jc w:val="center"/>
              <w:rPr>
                <w:color w:val="000000"/>
              </w:rPr>
            </w:pPr>
            <w:r>
              <w:rPr>
                <w:color w:val="000000"/>
              </w:rPr>
              <w:t>HR4</w:t>
            </w:r>
          </w:p>
        </w:tc>
        <w:tc>
          <w:tcPr>
            <w:tcW w:w="1666" w:type="dxa"/>
            <w:shd w:val="clear" w:color="auto" w:fill="auto"/>
            <w:vAlign w:val="center"/>
          </w:tcPr>
          <w:p w14:paraId="38282DCE" w14:textId="77777777" w:rsidR="008104F5" w:rsidRDefault="00AF1271">
            <w:pPr>
              <w:jc w:val="center"/>
              <w:rPr>
                <w:color w:val="000000"/>
              </w:rPr>
            </w:pPr>
            <w:r>
              <w:rPr>
                <w:color w:val="000000"/>
              </w:rPr>
              <w:t>0.876</w:t>
            </w:r>
          </w:p>
        </w:tc>
        <w:tc>
          <w:tcPr>
            <w:tcW w:w="1666" w:type="dxa"/>
            <w:shd w:val="clear" w:color="auto" w:fill="auto"/>
            <w:vAlign w:val="center"/>
          </w:tcPr>
          <w:p w14:paraId="787205FC" w14:textId="77777777" w:rsidR="008104F5" w:rsidRDefault="008104F5">
            <w:pPr>
              <w:jc w:val="center"/>
              <w:rPr>
                <w:color w:val="000000"/>
              </w:rPr>
            </w:pPr>
          </w:p>
        </w:tc>
        <w:tc>
          <w:tcPr>
            <w:tcW w:w="1666" w:type="dxa"/>
            <w:shd w:val="clear" w:color="auto" w:fill="auto"/>
            <w:vAlign w:val="center"/>
          </w:tcPr>
          <w:p w14:paraId="495C7FB2" w14:textId="77777777" w:rsidR="008104F5" w:rsidRDefault="008104F5">
            <w:pPr>
              <w:jc w:val="center"/>
              <w:rPr>
                <w:color w:val="000000"/>
              </w:rPr>
            </w:pPr>
          </w:p>
        </w:tc>
      </w:tr>
      <w:tr w:rsidR="008104F5" w14:paraId="213B9AC7" w14:textId="77777777">
        <w:trPr>
          <w:trHeight w:val="290"/>
        </w:trPr>
        <w:tc>
          <w:tcPr>
            <w:tcW w:w="1666" w:type="dxa"/>
            <w:vMerge/>
            <w:shd w:val="clear" w:color="auto" w:fill="auto"/>
          </w:tcPr>
          <w:p w14:paraId="79529C16"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713AEE4D" w14:textId="77777777" w:rsidR="008104F5" w:rsidRDefault="00AF1271">
            <w:pPr>
              <w:jc w:val="center"/>
              <w:rPr>
                <w:color w:val="000000"/>
              </w:rPr>
            </w:pPr>
            <w:r>
              <w:rPr>
                <w:color w:val="000000"/>
              </w:rPr>
              <w:t>HR5</w:t>
            </w:r>
          </w:p>
        </w:tc>
        <w:tc>
          <w:tcPr>
            <w:tcW w:w="1666" w:type="dxa"/>
            <w:shd w:val="clear" w:color="auto" w:fill="auto"/>
            <w:vAlign w:val="center"/>
          </w:tcPr>
          <w:p w14:paraId="7CD4F8FA" w14:textId="77777777" w:rsidR="008104F5" w:rsidRDefault="00AF1271">
            <w:pPr>
              <w:jc w:val="center"/>
              <w:rPr>
                <w:color w:val="000000"/>
              </w:rPr>
            </w:pPr>
            <w:r>
              <w:rPr>
                <w:color w:val="000000"/>
              </w:rPr>
              <w:t>0.833</w:t>
            </w:r>
          </w:p>
        </w:tc>
        <w:tc>
          <w:tcPr>
            <w:tcW w:w="1666" w:type="dxa"/>
            <w:shd w:val="clear" w:color="auto" w:fill="auto"/>
            <w:vAlign w:val="center"/>
          </w:tcPr>
          <w:p w14:paraId="11609C83" w14:textId="77777777" w:rsidR="008104F5" w:rsidRDefault="008104F5">
            <w:pPr>
              <w:jc w:val="center"/>
              <w:rPr>
                <w:color w:val="000000"/>
              </w:rPr>
            </w:pPr>
          </w:p>
        </w:tc>
        <w:tc>
          <w:tcPr>
            <w:tcW w:w="1666" w:type="dxa"/>
            <w:shd w:val="clear" w:color="auto" w:fill="auto"/>
            <w:vAlign w:val="center"/>
          </w:tcPr>
          <w:p w14:paraId="426113A6" w14:textId="77777777" w:rsidR="008104F5" w:rsidRDefault="008104F5">
            <w:pPr>
              <w:jc w:val="center"/>
              <w:rPr>
                <w:color w:val="000000"/>
              </w:rPr>
            </w:pPr>
          </w:p>
        </w:tc>
      </w:tr>
      <w:tr w:rsidR="008104F5" w14:paraId="33E907BB" w14:textId="77777777">
        <w:trPr>
          <w:trHeight w:val="290"/>
        </w:trPr>
        <w:tc>
          <w:tcPr>
            <w:tcW w:w="1666" w:type="dxa"/>
            <w:vMerge w:val="restart"/>
            <w:shd w:val="clear" w:color="auto" w:fill="auto"/>
          </w:tcPr>
          <w:p w14:paraId="06AD851C" w14:textId="77777777" w:rsidR="008104F5" w:rsidRDefault="00AF1271">
            <w:pPr>
              <w:jc w:val="left"/>
              <w:rPr>
                <w:color w:val="000000"/>
              </w:rPr>
            </w:pPr>
            <w:r>
              <w:rPr>
                <w:color w:val="000000"/>
              </w:rPr>
              <w:t>Institutional Isomorphism</w:t>
            </w:r>
          </w:p>
        </w:tc>
        <w:tc>
          <w:tcPr>
            <w:tcW w:w="1666" w:type="dxa"/>
            <w:shd w:val="clear" w:color="auto" w:fill="auto"/>
            <w:vAlign w:val="center"/>
          </w:tcPr>
          <w:p w14:paraId="49D83B38" w14:textId="77777777" w:rsidR="008104F5" w:rsidRDefault="00AF1271">
            <w:pPr>
              <w:jc w:val="center"/>
              <w:rPr>
                <w:color w:val="000000"/>
              </w:rPr>
            </w:pPr>
            <w:r>
              <w:rPr>
                <w:color w:val="000000"/>
              </w:rPr>
              <w:t xml:space="preserve">CP1 </w:t>
            </w:r>
          </w:p>
        </w:tc>
        <w:tc>
          <w:tcPr>
            <w:tcW w:w="1666" w:type="dxa"/>
            <w:shd w:val="clear" w:color="auto" w:fill="auto"/>
            <w:vAlign w:val="center"/>
          </w:tcPr>
          <w:p w14:paraId="0764A817" w14:textId="77777777" w:rsidR="008104F5" w:rsidRDefault="00AF1271">
            <w:pPr>
              <w:jc w:val="center"/>
              <w:rPr>
                <w:color w:val="000000"/>
              </w:rPr>
            </w:pPr>
            <w:r>
              <w:rPr>
                <w:color w:val="000000"/>
              </w:rPr>
              <w:t>0.768</w:t>
            </w:r>
          </w:p>
        </w:tc>
        <w:tc>
          <w:tcPr>
            <w:tcW w:w="1666" w:type="dxa"/>
            <w:shd w:val="clear" w:color="auto" w:fill="auto"/>
            <w:vAlign w:val="center"/>
          </w:tcPr>
          <w:p w14:paraId="3B913E8A" w14:textId="77777777" w:rsidR="008104F5" w:rsidRDefault="00AF1271">
            <w:pPr>
              <w:jc w:val="center"/>
              <w:rPr>
                <w:color w:val="000000"/>
              </w:rPr>
            </w:pPr>
            <w:r>
              <w:rPr>
                <w:color w:val="000000"/>
              </w:rPr>
              <w:t>0.510</w:t>
            </w:r>
          </w:p>
        </w:tc>
        <w:tc>
          <w:tcPr>
            <w:tcW w:w="1666" w:type="dxa"/>
            <w:shd w:val="clear" w:color="auto" w:fill="auto"/>
            <w:vAlign w:val="center"/>
          </w:tcPr>
          <w:p w14:paraId="4E191936" w14:textId="77777777" w:rsidR="008104F5" w:rsidRDefault="00AF1271">
            <w:pPr>
              <w:jc w:val="center"/>
              <w:rPr>
                <w:color w:val="000000"/>
              </w:rPr>
            </w:pPr>
            <w:r>
              <w:rPr>
                <w:color w:val="000000"/>
              </w:rPr>
              <w:t>0.857</w:t>
            </w:r>
          </w:p>
        </w:tc>
      </w:tr>
      <w:tr w:rsidR="008104F5" w14:paraId="55FD7C4C" w14:textId="77777777">
        <w:trPr>
          <w:trHeight w:val="290"/>
        </w:trPr>
        <w:tc>
          <w:tcPr>
            <w:tcW w:w="1666" w:type="dxa"/>
            <w:vMerge/>
            <w:shd w:val="clear" w:color="auto" w:fill="auto"/>
          </w:tcPr>
          <w:p w14:paraId="0DDA65FB"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0E8707E2" w14:textId="77777777" w:rsidR="008104F5" w:rsidRDefault="00AF1271">
            <w:pPr>
              <w:jc w:val="center"/>
              <w:rPr>
                <w:color w:val="000000"/>
              </w:rPr>
            </w:pPr>
            <w:r>
              <w:rPr>
                <w:color w:val="000000"/>
              </w:rPr>
              <w:t xml:space="preserve">CP2 </w:t>
            </w:r>
          </w:p>
        </w:tc>
        <w:tc>
          <w:tcPr>
            <w:tcW w:w="1666" w:type="dxa"/>
            <w:shd w:val="clear" w:color="auto" w:fill="auto"/>
            <w:vAlign w:val="center"/>
          </w:tcPr>
          <w:p w14:paraId="6D461754" w14:textId="77777777" w:rsidR="008104F5" w:rsidRDefault="00AF1271">
            <w:pPr>
              <w:jc w:val="center"/>
              <w:rPr>
                <w:color w:val="000000"/>
              </w:rPr>
            </w:pPr>
            <w:r>
              <w:rPr>
                <w:color w:val="000000"/>
              </w:rPr>
              <w:t>0.606</w:t>
            </w:r>
          </w:p>
        </w:tc>
        <w:tc>
          <w:tcPr>
            <w:tcW w:w="1666" w:type="dxa"/>
            <w:shd w:val="clear" w:color="auto" w:fill="auto"/>
            <w:vAlign w:val="center"/>
          </w:tcPr>
          <w:p w14:paraId="34F9F47E" w14:textId="77777777" w:rsidR="008104F5" w:rsidRDefault="008104F5">
            <w:pPr>
              <w:jc w:val="center"/>
              <w:rPr>
                <w:color w:val="000000"/>
              </w:rPr>
            </w:pPr>
          </w:p>
        </w:tc>
        <w:tc>
          <w:tcPr>
            <w:tcW w:w="1666" w:type="dxa"/>
            <w:shd w:val="clear" w:color="auto" w:fill="auto"/>
            <w:vAlign w:val="center"/>
          </w:tcPr>
          <w:p w14:paraId="74254CBA" w14:textId="77777777" w:rsidR="008104F5" w:rsidRDefault="008104F5">
            <w:pPr>
              <w:jc w:val="center"/>
              <w:rPr>
                <w:color w:val="000000"/>
              </w:rPr>
            </w:pPr>
          </w:p>
        </w:tc>
      </w:tr>
      <w:tr w:rsidR="008104F5" w14:paraId="10F965F6" w14:textId="77777777">
        <w:trPr>
          <w:trHeight w:val="290"/>
        </w:trPr>
        <w:tc>
          <w:tcPr>
            <w:tcW w:w="1666" w:type="dxa"/>
            <w:vMerge/>
            <w:shd w:val="clear" w:color="auto" w:fill="auto"/>
          </w:tcPr>
          <w:p w14:paraId="78964BD8"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38E88E50" w14:textId="77777777" w:rsidR="008104F5" w:rsidRDefault="00AF1271">
            <w:pPr>
              <w:jc w:val="center"/>
              <w:rPr>
                <w:color w:val="000000"/>
              </w:rPr>
            </w:pPr>
            <w:r>
              <w:rPr>
                <w:color w:val="000000"/>
              </w:rPr>
              <w:t>MP1</w:t>
            </w:r>
          </w:p>
        </w:tc>
        <w:tc>
          <w:tcPr>
            <w:tcW w:w="1666" w:type="dxa"/>
            <w:shd w:val="clear" w:color="auto" w:fill="auto"/>
            <w:vAlign w:val="center"/>
          </w:tcPr>
          <w:p w14:paraId="4CA85BD1" w14:textId="77777777" w:rsidR="008104F5" w:rsidRDefault="00AF1271">
            <w:pPr>
              <w:jc w:val="center"/>
              <w:rPr>
                <w:color w:val="000000"/>
              </w:rPr>
            </w:pPr>
            <w:r>
              <w:rPr>
                <w:color w:val="000000"/>
              </w:rPr>
              <w:t>0.874</w:t>
            </w:r>
          </w:p>
        </w:tc>
        <w:tc>
          <w:tcPr>
            <w:tcW w:w="1666" w:type="dxa"/>
            <w:shd w:val="clear" w:color="auto" w:fill="auto"/>
            <w:vAlign w:val="center"/>
          </w:tcPr>
          <w:p w14:paraId="71D74913" w14:textId="77777777" w:rsidR="008104F5" w:rsidRDefault="008104F5">
            <w:pPr>
              <w:jc w:val="center"/>
              <w:rPr>
                <w:color w:val="000000"/>
              </w:rPr>
            </w:pPr>
          </w:p>
        </w:tc>
        <w:tc>
          <w:tcPr>
            <w:tcW w:w="1666" w:type="dxa"/>
            <w:shd w:val="clear" w:color="auto" w:fill="auto"/>
            <w:vAlign w:val="center"/>
          </w:tcPr>
          <w:p w14:paraId="6B1B4A2C" w14:textId="77777777" w:rsidR="008104F5" w:rsidRDefault="008104F5">
            <w:pPr>
              <w:jc w:val="center"/>
              <w:rPr>
                <w:color w:val="000000"/>
              </w:rPr>
            </w:pPr>
          </w:p>
        </w:tc>
      </w:tr>
      <w:tr w:rsidR="008104F5" w14:paraId="3AF04FE1" w14:textId="77777777">
        <w:trPr>
          <w:trHeight w:val="290"/>
        </w:trPr>
        <w:tc>
          <w:tcPr>
            <w:tcW w:w="1666" w:type="dxa"/>
            <w:vMerge/>
            <w:shd w:val="clear" w:color="auto" w:fill="auto"/>
          </w:tcPr>
          <w:p w14:paraId="4AC9381A"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247A1DF4" w14:textId="77777777" w:rsidR="008104F5" w:rsidRDefault="00AF1271">
            <w:pPr>
              <w:jc w:val="center"/>
              <w:rPr>
                <w:color w:val="000000"/>
              </w:rPr>
            </w:pPr>
            <w:r>
              <w:rPr>
                <w:color w:val="000000"/>
              </w:rPr>
              <w:t>MP2</w:t>
            </w:r>
          </w:p>
        </w:tc>
        <w:tc>
          <w:tcPr>
            <w:tcW w:w="1666" w:type="dxa"/>
            <w:shd w:val="clear" w:color="auto" w:fill="auto"/>
            <w:vAlign w:val="center"/>
          </w:tcPr>
          <w:p w14:paraId="7BDBF1AE" w14:textId="77777777" w:rsidR="008104F5" w:rsidRDefault="00AF1271">
            <w:pPr>
              <w:jc w:val="center"/>
              <w:rPr>
                <w:color w:val="000000"/>
              </w:rPr>
            </w:pPr>
            <w:r>
              <w:rPr>
                <w:color w:val="000000"/>
              </w:rPr>
              <w:t>0.833</w:t>
            </w:r>
          </w:p>
        </w:tc>
        <w:tc>
          <w:tcPr>
            <w:tcW w:w="1666" w:type="dxa"/>
            <w:shd w:val="clear" w:color="auto" w:fill="auto"/>
            <w:vAlign w:val="center"/>
          </w:tcPr>
          <w:p w14:paraId="3FD38A76" w14:textId="77777777" w:rsidR="008104F5" w:rsidRDefault="008104F5">
            <w:pPr>
              <w:jc w:val="center"/>
              <w:rPr>
                <w:color w:val="000000"/>
              </w:rPr>
            </w:pPr>
          </w:p>
        </w:tc>
        <w:tc>
          <w:tcPr>
            <w:tcW w:w="1666" w:type="dxa"/>
            <w:shd w:val="clear" w:color="auto" w:fill="auto"/>
            <w:vAlign w:val="center"/>
          </w:tcPr>
          <w:p w14:paraId="31739A39" w14:textId="77777777" w:rsidR="008104F5" w:rsidRDefault="008104F5">
            <w:pPr>
              <w:jc w:val="center"/>
              <w:rPr>
                <w:color w:val="000000"/>
              </w:rPr>
            </w:pPr>
          </w:p>
        </w:tc>
      </w:tr>
      <w:tr w:rsidR="008104F5" w14:paraId="70227C8E" w14:textId="77777777">
        <w:trPr>
          <w:trHeight w:val="290"/>
        </w:trPr>
        <w:tc>
          <w:tcPr>
            <w:tcW w:w="1666" w:type="dxa"/>
            <w:vMerge/>
            <w:shd w:val="clear" w:color="auto" w:fill="auto"/>
          </w:tcPr>
          <w:p w14:paraId="3035360B"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04670C88" w14:textId="77777777" w:rsidR="008104F5" w:rsidRDefault="00AF1271">
            <w:pPr>
              <w:jc w:val="center"/>
              <w:rPr>
                <w:color w:val="000000"/>
              </w:rPr>
            </w:pPr>
            <w:r>
              <w:rPr>
                <w:color w:val="000000"/>
              </w:rPr>
              <w:t>MP3</w:t>
            </w:r>
          </w:p>
        </w:tc>
        <w:tc>
          <w:tcPr>
            <w:tcW w:w="1666" w:type="dxa"/>
            <w:shd w:val="clear" w:color="auto" w:fill="auto"/>
            <w:vAlign w:val="center"/>
          </w:tcPr>
          <w:p w14:paraId="00586A4B" w14:textId="77777777" w:rsidR="008104F5" w:rsidRDefault="00AF1271">
            <w:pPr>
              <w:jc w:val="center"/>
              <w:rPr>
                <w:color w:val="000000"/>
              </w:rPr>
            </w:pPr>
            <w:r>
              <w:rPr>
                <w:color w:val="000000"/>
              </w:rPr>
              <w:t>0.650</w:t>
            </w:r>
          </w:p>
        </w:tc>
        <w:tc>
          <w:tcPr>
            <w:tcW w:w="1666" w:type="dxa"/>
            <w:shd w:val="clear" w:color="auto" w:fill="auto"/>
            <w:vAlign w:val="center"/>
          </w:tcPr>
          <w:p w14:paraId="5AF26B27" w14:textId="77777777" w:rsidR="008104F5" w:rsidRDefault="008104F5">
            <w:pPr>
              <w:jc w:val="center"/>
              <w:rPr>
                <w:color w:val="000000"/>
              </w:rPr>
            </w:pPr>
          </w:p>
        </w:tc>
        <w:tc>
          <w:tcPr>
            <w:tcW w:w="1666" w:type="dxa"/>
            <w:shd w:val="clear" w:color="auto" w:fill="auto"/>
            <w:vAlign w:val="center"/>
          </w:tcPr>
          <w:p w14:paraId="2105A1F2" w14:textId="77777777" w:rsidR="008104F5" w:rsidRDefault="008104F5">
            <w:pPr>
              <w:jc w:val="center"/>
              <w:rPr>
                <w:color w:val="000000"/>
              </w:rPr>
            </w:pPr>
          </w:p>
        </w:tc>
      </w:tr>
      <w:tr w:rsidR="008104F5" w14:paraId="377E5E29" w14:textId="77777777">
        <w:trPr>
          <w:trHeight w:val="290"/>
        </w:trPr>
        <w:tc>
          <w:tcPr>
            <w:tcW w:w="1666" w:type="dxa"/>
            <w:vMerge/>
            <w:shd w:val="clear" w:color="auto" w:fill="auto"/>
          </w:tcPr>
          <w:p w14:paraId="761143E7"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0F66D98D" w14:textId="77777777" w:rsidR="008104F5" w:rsidRDefault="00AF1271">
            <w:pPr>
              <w:jc w:val="center"/>
              <w:rPr>
                <w:color w:val="000000"/>
              </w:rPr>
            </w:pPr>
            <w:r>
              <w:rPr>
                <w:color w:val="000000"/>
              </w:rPr>
              <w:t>NP1</w:t>
            </w:r>
          </w:p>
        </w:tc>
        <w:tc>
          <w:tcPr>
            <w:tcW w:w="1666" w:type="dxa"/>
            <w:shd w:val="clear" w:color="auto" w:fill="auto"/>
            <w:vAlign w:val="center"/>
          </w:tcPr>
          <w:p w14:paraId="77B4A799" w14:textId="77777777" w:rsidR="008104F5" w:rsidRDefault="00AF1271">
            <w:pPr>
              <w:jc w:val="center"/>
              <w:rPr>
                <w:color w:val="000000"/>
              </w:rPr>
            </w:pPr>
            <w:r>
              <w:rPr>
                <w:color w:val="000000"/>
              </w:rPr>
              <w:t>0.468</w:t>
            </w:r>
          </w:p>
        </w:tc>
        <w:tc>
          <w:tcPr>
            <w:tcW w:w="1666" w:type="dxa"/>
            <w:shd w:val="clear" w:color="auto" w:fill="auto"/>
            <w:vAlign w:val="center"/>
          </w:tcPr>
          <w:p w14:paraId="688E8D51" w14:textId="77777777" w:rsidR="008104F5" w:rsidRDefault="008104F5">
            <w:pPr>
              <w:jc w:val="center"/>
              <w:rPr>
                <w:color w:val="000000"/>
              </w:rPr>
            </w:pPr>
          </w:p>
        </w:tc>
        <w:tc>
          <w:tcPr>
            <w:tcW w:w="1666" w:type="dxa"/>
            <w:shd w:val="clear" w:color="auto" w:fill="auto"/>
            <w:vAlign w:val="center"/>
          </w:tcPr>
          <w:p w14:paraId="3FD05CA1" w14:textId="77777777" w:rsidR="008104F5" w:rsidRDefault="008104F5">
            <w:pPr>
              <w:jc w:val="center"/>
              <w:rPr>
                <w:color w:val="000000"/>
              </w:rPr>
            </w:pPr>
          </w:p>
        </w:tc>
      </w:tr>
      <w:tr w:rsidR="008104F5" w14:paraId="1135DDAE" w14:textId="77777777">
        <w:trPr>
          <w:trHeight w:val="290"/>
        </w:trPr>
        <w:tc>
          <w:tcPr>
            <w:tcW w:w="1666" w:type="dxa"/>
            <w:vMerge w:val="restart"/>
            <w:shd w:val="clear" w:color="auto" w:fill="auto"/>
          </w:tcPr>
          <w:p w14:paraId="05EF244A" w14:textId="77777777" w:rsidR="008104F5" w:rsidRDefault="00AF1271">
            <w:pPr>
              <w:jc w:val="left"/>
              <w:rPr>
                <w:color w:val="000000"/>
              </w:rPr>
            </w:pPr>
            <w:r>
              <w:rPr>
                <w:color w:val="000000"/>
              </w:rPr>
              <w:t>ODL Sustainability</w:t>
            </w:r>
          </w:p>
          <w:p w14:paraId="424FD2BF" w14:textId="77777777" w:rsidR="008104F5" w:rsidRDefault="00AF1271">
            <w:pPr>
              <w:jc w:val="left"/>
              <w:rPr>
                <w:color w:val="000000"/>
              </w:rPr>
            </w:pPr>
            <w:r>
              <w:rPr>
                <w:color w:val="000000"/>
              </w:rPr>
              <w:t> </w:t>
            </w:r>
          </w:p>
        </w:tc>
        <w:tc>
          <w:tcPr>
            <w:tcW w:w="1666" w:type="dxa"/>
            <w:shd w:val="clear" w:color="auto" w:fill="auto"/>
            <w:vAlign w:val="center"/>
          </w:tcPr>
          <w:p w14:paraId="0B54B525" w14:textId="77777777" w:rsidR="008104F5" w:rsidRDefault="00AF1271">
            <w:pPr>
              <w:jc w:val="center"/>
              <w:rPr>
                <w:color w:val="000000"/>
              </w:rPr>
            </w:pPr>
            <w:r>
              <w:rPr>
                <w:color w:val="000000"/>
              </w:rPr>
              <w:t>SO1</w:t>
            </w:r>
          </w:p>
        </w:tc>
        <w:tc>
          <w:tcPr>
            <w:tcW w:w="1666" w:type="dxa"/>
            <w:shd w:val="clear" w:color="auto" w:fill="auto"/>
            <w:vAlign w:val="center"/>
          </w:tcPr>
          <w:p w14:paraId="4BB5F20E" w14:textId="77777777" w:rsidR="008104F5" w:rsidRDefault="00AF1271">
            <w:pPr>
              <w:jc w:val="center"/>
              <w:rPr>
                <w:color w:val="000000"/>
              </w:rPr>
            </w:pPr>
            <w:r>
              <w:rPr>
                <w:color w:val="000000"/>
              </w:rPr>
              <w:t>0.778</w:t>
            </w:r>
          </w:p>
        </w:tc>
        <w:tc>
          <w:tcPr>
            <w:tcW w:w="1666" w:type="dxa"/>
            <w:shd w:val="clear" w:color="auto" w:fill="auto"/>
            <w:vAlign w:val="center"/>
          </w:tcPr>
          <w:p w14:paraId="1E13E3F8" w14:textId="77777777" w:rsidR="008104F5" w:rsidRDefault="00AF1271">
            <w:pPr>
              <w:jc w:val="center"/>
              <w:rPr>
                <w:color w:val="000000"/>
              </w:rPr>
            </w:pPr>
            <w:r>
              <w:rPr>
                <w:color w:val="000000"/>
              </w:rPr>
              <w:t>0.597</w:t>
            </w:r>
          </w:p>
        </w:tc>
        <w:tc>
          <w:tcPr>
            <w:tcW w:w="1666" w:type="dxa"/>
            <w:shd w:val="clear" w:color="auto" w:fill="auto"/>
            <w:vAlign w:val="center"/>
          </w:tcPr>
          <w:p w14:paraId="7C1D759C" w14:textId="77777777" w:rsidR="008104F5" w:rsidRDefault="00AF1271">
            <w:pPr>
              <w:jc w:val="center"/>
              <w:rPr>
                <w:color w:val="000000"/>
              </w:rPr>
            </w:pPr>
            <w:r>
              <w:rPr>
                <w:color w:val="000000"/>
              </w:rPr>
              <w:t>0.922</w:t>
            </w:r>
          </w:p>
        </w:tc>
      </w:tr>
      <w:tr w:rsidR="008104F5" w14:paraId="56D85160" w14:textId="77777777">
        <w:trPr>
          <w:trHeight w:val="290"/>
        </w:trPr>
        <w:tc>
          <w:tcPr>
            <w:tcW w:w="1666" w:type="dxa"/>
            <w:vMerge/>
            <w:shd w:val="clear" w:color="auto" w:fill="auto"/>
          </w:tcPr>
          <w:p w14:paraId="5A86275D"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67A0FBBE" w14:textId="77777777" w:rsidR="008104F5" w:rsidRDefault="00AF1271">
            <w:pPr>
              <w:jc w:val="center"/>
              <w:rPr>
                <w:color w:val="000000"/>
              </w:rPr>
            </w:pPr>
            <w:r>
              <w:rPr>
                <w:color w:val="000000"/>
              </w:rPr>
              <w:t>SO2</w:t>
            </w:r>
          </w:p>
        </w:tc>
        <w:tc>
          <w:tcPr>
            <w:tcW w:w="1666" w:type="dxa"/>
            <w:shd w:val="clear" w:color="auto" w:fill="auto"/>
            <w:vAlign w:val="center"/>
          </w:tcPr>
          <w:p w14:paraId="25E68383" w14:textId="77777777" w:rsidR="008104F5" w:rsidRDefault="00AF1271">
            <w:pPr>
              <w:jc w:val="center"/>
              <w:rPr>
                <w:color w:val="000000"/>
              </w:rPr>
            </w:pPr>
            <w:r>
              <w:rPr>
                <w:color w:val="000000"/>
              </w:rPr>
              <w:t>0.797</w:t>
            </w:r>
          </w:p>
        </w:tc>
        <w:tc>
          <w:tcPr>
            <w:tcW w:w="1666" w:type="dxa"/>
            <w:shd w:val="clear" w:color="auto" w:fill="auto"/>
            <w:vAlign w:val="center"/>
          </w:tcPr>
          <w:p w14:paraId="17500A1D" w14:textId="77777777" w:rsidR="008104F5" w:rsidRDefault="008104F5">
            <w:pPr>
              <w:jc w:val="center"/>
              <w:rPr>
                <w:color w:val="000000"/>
              </w:rPr>
            </w:pPr>
          </w:p>
        </w:tc>
        <w:tc>
          <w:tcPr>
            <w:tcW w:w="1666" w:type="dxa"/>
            <w:shd w:val="clear" w:color="auto" w:fill="auto"/>
            <w:vAlign w:val="center"/>
          </w:tcPr>
          <w:p w14:paraId="74A0C5FC" w14:textId="77777777" w:rsidR="008104F5" w:rsidRDefault="008104F5">
            <w:pPr>
              <w:jc w:val="center"/>
              <w:rPr>
                <w:color w:val="000000"/>
              </w:rPr>
            </w:pPr>
          </w:p>
        </w:tc>
      </w:tr>
      <w:tr w:rsidR="008104F5" w14:paraId="61B60DDB" w14:textId="77777777">
        <w:trPr>
          <w:trHeight w:val="290"/>
        </w:trPr>
        <w:tc>
          <w:tcPr>
            <w:tcW w:w="1666" w:type="dxa"/>
            <w:vMerge/>
            <w:shd w:val="clear" w:color="auto" w:fill="auto"/>
          </w:tcPr>
          <w:p w14:paraId="43B6C164"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5525FA49" w14:textId="77777777" w:rsidR="008104F5" w:rsidRDefault="00AF1271">
            <w:pPr>
              <w:jc w:val="center"/>
              <w:rPr>
                <w:color w:val="000000"/>
              </w:rPr>
            </w:pPr>
            <w:r>
              <w:rPr>
                <w:color w:val="000000"/>
              </w:rPr>
              <w:t>SO3</w:t>
            </w:r>
          </w:p>
        </w:tc>
        <w:tc>
          <w:tcPr>
            <w:tcW w:w="1666" w:type="dxa"/>
            <w:shd w:val="clear" w:color="auto" w:fill="auto"/>
            <w:vAlign w:val="center"/>
          </w:tcPr>
          <w:p w14:paraId="2CFF9E02" w14:textId="77777777" w:rsidR="008104F5" w:rsidRDefault="00AF1271">
            <w:pPr>
              <w:jc w:val="center"/>
              <w:rPr>
                <w:color w:val="000000"/>
              </w:rPr>
            </w:pPr>
            <w:r>
              <w:rPr>
                <w:color w:val="000000"/>
              </w:rPr>
              <w:t>0.774</w:t>
            </w:r>
          </w:p>
        </w:tc>
        <w:tc>
          <w:tcPr>
            <w:tcW w:w="1666" w:type="dxa"/>
            <w:shd w:val="clear" w:color="auto" w:fill="auto"/>
            <w:vAlign w:val="center"/>
          </w:tcPr>
          <w:p w14:paraId="655D843F" w14:textId="77777777" w:rsidR="008104F5" w:rsidRDefault="008104F5">
            <w:pPr>
              <w:jc w:val="center"/>
              <w:rPr>
                <w:color w:val="000000"/>
              </w:rPr>
            </w:pPr>
          </w:p>
        </w:tc>
        <w:tc>
          <w:tcPr>
            <w:tcW w:w="1666" w:type="dxa"/>
            <w:shd w:val="clear" w:color="auto" w:fill="auto"/>
            <w:vAlign w:val="center"/>
          </w:tcPr>
          <w:p w14:paraId="4FA756B4" w14:textId="77777777" w:rsidR="008104F5" w:rsidRDefault="008104F5">
            <w:pPr>
              <w:jc w:val="center"/>
              <w:rPr>
                <w:color w:val="000000"/>
              </w:rPr>
            </w:pPr>
          </w:p>
        </w:tc>
      </w:tr>
      <w:tr w:rsidR="008104F5" w14:paraId="799BE00E" w14:textId="77777777">
        <w:trPr>
          <w:trHeight w:val="290"/>
        </w:trPr>
        <w:tc>
          <w:tcPr>
            <w:tcW w:w="1666" w:type="dxa"/>
            <w:vMerge/>
            <w:shd w:val="clear" w:color="auto" w:fill="auto"/>
          </w:tcPr>
          <w:p w14:paraId="203E7BED"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1825061F" w14:textId="77777777" w:rsidR="008104F5" w:rsidRDefault="00AF1271">
            <w:pPr>
              <w:jc w:val="center"/>
              <w:rPr>
                <w:color w:val="000000"/>
              </w:rPr>
            </w:pPr>
            <w:r>
              <w:rPr>
                <w:color w:val="000000"/>
              </w:rPr>
              <w:t>SO4</w:t>
            </w:r>
          </w:p>
        </w:tc>
        <w:tc>
          <w:tcPr>
            <w:tcW w:w="1666" w:type="dxa"/>
            <w:shd w:val="clear" w:color="auto" w:fill="auto"/>
            <w:vAlign w:val="center"/>
          </w:tcPr>
          <w:p w14:paraId="5F6890A0" w14:textId="77777777" w:rsidR="008104F5" w:rsidRDefault="00AF1271">
            <w:pPr>
              <w:jc w:val="center"/>
              <w:rPr>
                <w:color w:val="000000"/>
              </w:rPr>
            </w:pPr>
            <w:r>
              <w:rPr>
                <w:color w:val="000000"/>
              </w:rPr>
              <w:t>0.784</w:t>
            </w:r>
          </w:p>
        </w:tc>
        <w:tc>
          <w:tcPr>
            <w:tcW w:w="1666" w:type="dxa"/>
            <w:shd w:val="clear" w:color="auto" w:fill="auto"/>
            <w:vAlign w:val="center"/>
          </w:tcPr>
          <w:p w14:paraId="49814143" w14:textId="77777777" w:rsidR="008104F5" w:rsidRDefault="008104F5">
            <w:pPr>
              <w:jc w:val="center"/>
              <w:rPr>
                <w:color w:val="000000"/>
              </w:rPr>
            </w:pPr>
          </w:p>
        </w:tc>
        <w:tc>
          <w:tcPr>
            <w:tcW w:w="1666" w:type="dxa"/>
            <w:shd w:val="clear" w:color="auto" w:fill="auto"/>
            <w:vAlign w:val="center"/>
          </w:tcPr>
          <w:p w14:paraId="7EB179D5" w14:textId="77777777" w:rsidR="008104F5" w:rsidRDefault="008104F5">
            <w:pPr>
              <w:jc w:val="center"/>
              <w:rPr>
                <w:color w:val="000000"/>
              </w:rPr>
            </w:pPr>
          </w:p>
        </w:tc>
      </w:tr>
      <w:tr w:rsidR="008104F5" w14:paraId="484FAD07" w14:textId="77777777">
        <w:trPr>
          <w:trHeight w:val="290"/>
        </w:trPr>
        <w:tc>
          <w:tcPr>
            <w:tcW w:w="1666" w:type="dxa"/>
            <w:vMerge/>
            <w:shd w:val="clear" w:color="auto" w:fill="auto"/>
          </w:tcPr>
          <w:p w14:paraId="6BEF66B4"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5A43FDB3" w14:textId="77777777" w:rsidR="008104F5" w:rsidRDefault="00AF1271">
            <w:pPr>
              <w:jc w:val="center"/>
              <w:rPr>
                <w:color w:val="000000"/>
              </w:rPr>
            </w:pPr>
            <w:r>
              <w:rPr>
                <w:color w:val="000000"/>
              </w:rPr>
              <w:t>SO5</w:t>
            </w:r>
          </w:p>
        </w:tc>
        <w:tc>
          <w:tcPr>
            <w:tcW w:w="1666" w:type="dxa"/>
            <w:shd w:val="clear" w:color="auto" w:fill="auto"/>
            <w:vAlign w:val="center"/>
          </w:tcPr>
          <w:p w14:paraId="7D68B508" w14:textId="77777777" w:rsidR="008104F5" w:rsidRDefault="00AF1271">
            <w:pPr>
              <w:jc w:val="center"/>
              <w:rPr>
                <w:color w:val="000000"/>
              </w:rPr>
            </w:pPr>
            <w:r>
              <w:rPr>
                <w:color w:val="000000"/>
              </w:rPr>
              <w:t>0.763</w:t>
            </w:r>
          </w:p>
        </w:tc>
        <w:tc>
          <w:tcPr>
            <w:tcW w:w="1666" w:type="dxa"/>
            <w:shd w:val="clear" w:color="auto" w:fill="auto"/>
            <w:vAlign w:val="center"/>
          </w:tcPr>
          <w:p w14:paraId="34F60186" w14:textId="77777777" w:rsidR="008104F5" w:rsidRDefault="008104F5">
            <w:pPr>
              <w:jc w:val="center"/>
              <w:rPr>
                <w:color w:val="000000"/>
              </w:rPr>
            </w:pPr>
          </w:p>
        </w:tc>
        <w:tc>
          <w:tcPr>
            <w:tcW w:w="1666" w:type="dxa"/>
            <w:shd w:val="clear" w:color="auto" w:fill="auto"/>
            <w:vAlign w:val="center"/>
          </w:tcPr>
          <w:p w14:paraId="5CA530D8" w14:textId="77777777" w:rsidR="008104F5" w:rsidRDefault="008104F5">
            <w:pPr>
              <w:jc w:val="center"/>
              <w:rPr>
                <w:color w:val="000000"/>
              </w:rPr>
            </w:pPr>
          </w:p>
        </w:tc>
      </w:tr>
      <w:tr w:rsidR="008104F5" w14:paraId="2380F1C5" w14:textId="77777777">
        <w:trPr>
          <w:trHeight w:val="290"/>
        </w:trPr>
        <w:tc>
          <w:tcPr>
            <w:tcW w:w="1666" w:type="dxa"/>
            <w:vMerge/>
            <w:shd w:val="clear" w:color="auto" w:fill="auto"/>
          </w:tcPr>
          <w:p w14:paraId="33ADC839"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2CE71504" w14:textId="77777777" w:rsidR="008104F5" w:rsidRDefault="00AF1271">
            <w:pPr>
              <w:jc w:val="center"/>
              <w:rPr>
                <w:color w:val="000000"/>
              </w:rPr>
            </w:pPr>
            <w:r>
              <w:rPr>
                <w:color w:val="000000"/>
              </w:rPr>
              <w:t>SO6</w:t>
            </w:r>
          </w:p>
        </w:tc>
        <w:tc>
          <w:tcPr>
            <w:tcW w:w="1666" w:type="dxa"/>
            <w:shd w:val="clear" w:color="auto" w:fill="auto"/>
            <w:vAlign w:val="center"/>
          </w:tcPr>
          <w:p w14:paraId="381DF9EB" w14:textId="77777777" w:rsidR="008104F5" w:rsidRDefault="00AF1271">
            <w:pPr>
              <w:jc w:val="center"/>
              <w:rPr>
                <w:color w:val="000000"/>
              </w:rPr>
            </w:pPr>
            <w:r>
              <w:rPr>
                <w:color w:val="000000"/>
              </w:rPr>
              <w:t>0.754</w:t>
            </w:r>
          </w:p>
        </w:tc>
        <w:tc>
          <w:tcPr>
            <w:tcW w:w="1666" w:type="dxa"/>
            <w:shd w:val="clear" w:color="auto" w:fill="auto"/>
            <w:vAlign w:val="center"/>
          </w:tcPr>
          <w:p w14:paraId="71098070" w14:textId="77777777" w:rsidR="008104F5" w:rsidRDefault="008104F5">
            <w:pPr>
              <w:jc w:val="center"/>
              <w:rPr>
                <w:color w:val="000000"/>
              </w:rPr>
            </w:pPr>
          </w:p>
        </w:tc>
        <w:tc>
          <w:tcPr>
            <w:tcW w:w="1666" w:type="dxa"/>
            <w:shd w:val="clear" w:color="auto" w:fill="auto"/>
            <w:vAlign w:val="center"/>
          </w:tcPr>
          <w:p w14:paraId="14914140" w14:textId="77777777" w:rsidR="008104F5" w:rsidRDefault="008104F5">
            <w:pPr>
              <w:jc w:val="center"/>
              <w:rPr>
                <w:color w:val="000000"/>
              </w:rPr>
            </w:pPr>
          </w:p>
        </w:tc>
      </w:tr>
      <w:tr w:rsidR="008104F5" w14:paraId="682F5E1B" w14:textId="77777777">
        <w:trPr>
          <w:trHeight w:val="290"/>
        </w:trPr>
        <w:tc>
          <w:tcPr>
            <w:tcW w:w="1666" w:type="dxa"/>
            <w:vMerge/>
            <w:shd w:val="clear" w:color="auto" w:fill="auto"/>
          </w:tcPr>
          <w:p w14:paraId="24C7CAEA"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1FC03D44" w14:textId="77777777" w:rsidR="008104F5" w:rsidRDefault="00AF1271">
            <w:pPr>
              <w:jc w:val="center"/>
              <w:rPr>
                <w:color w:val="000000"/>
              </w:rPr>
            </w:pPr>
            <w:r>
              <w:rPr>
                <w:color w:val="000000"/>
              </w:rPr>
              <w:t>SO7</w:t>
            </w:r>
          </w:p>
        </w:tc>
        <w:tc>
          <w:tcPr>
            <w:tcW w:w="1666" w:type="dxa"/>
            <w:shd w:val="clear" w:color="auto" w:fill="auto"/>
            <w:vAlign w:val="center"/>
          </w:tcPr>
          <w:p w14:paraId="2CFB0D68" w14:textId="77777777" w:rsidR="008104F5" w:rsidRDefault="00AF1271">
            <w:pPr>
              <w:jc w:val="center"/>
              <w:rPr>
                <w:color w:val="000000"/>
              </w:rPr>
            </w:pPr>
            <w:r>
              <w:rPr>
                <w:color w:val="000000"/>
              </w:rPr>
              <w:t>0.764</w:t>
            </w:r>
          </w:p>
        </w:tc>
        <w:tc>
          <w:tcPr>
            <w:tcW w:w="1666" w:type="dxa"/>
            <w:shd w:val="clear" w:color="auto" w:fill="auto"/>
            <w:vAlign w:val="center"/>
          </w:tcPr>
          <w:p w14:paraId="363E0EFF" w14:textId="77777777" w:rsidR="008104F5" w:rsidRDefault="008104F5">
            <w:pPr>
              <w:jc w:val="center"/>
              <w:rPr>
                <w:color w:val="000000"/>
              </w:rPr>
            </w:pPr>
          </w:p>
        </w:tc>
        <w:tc>
          <w:tcPr>
            <w:tcW w:w="1666" w:type="dxa"/>
            <w:shd w:val="clear" w:color="auto" w:fill="auto"/>
            <w:vAlign w:val="center"/>
          </w:tcPr>
          <w:p w14:paraId="05D219AB" w14:textId="77777777" w:rsidR="008104F5" w:rsidRDefault="008104F5">
            <w:pPr>
              <w:jc w:val="center"/>
              <w:rPr>
                <w:color w:val="000000"/>
              </w:rPr>
            </w:pPr>
          </w:p>
        </w:tc>
      </w:tr>
      <w:tr w:rsidR="008104F5" w14:paraId="54E0C9C4" w14:textId="77777777">
        <w:trPr>
          <w:trHeight w:val="290"/>
        </w:trPr>
        <w:tc>
          <w:tcPr>
            <w:tcW w:w="1666" w:type="dxa"/>
            <w:vMerge/>
            <w:shd w:val="clear" w:color="auto" w:fill="auto"/>
          </w:tcPr>
          <w:p w14:paraId="7C3A195B" w14:textId="77777777" w:rsidR="008104F5" w:rsidRDefault="008104F5">
            <w:pPr>
              <w:widowControl w:val="0"/>
              <w:pBdr>
                <w:top w:val="nil"/>
                <w:left w:val="nil"/>
                <w:bottom w:val="nil"/>
                <w:right w:val="nil"/>
                <w:between w:val="nil"/>
              </w:pBdr>
              <w:spacing w:line="276" w:lineRule="auto"/>
              <w:jc w:val="left"/>
              <w:rPr>
                <w:color w:val="000000"/>
              </w:rPr>
            </w:pPr>
          </w:p>
        </w:tc>
        <w:tc>
          <w:tcPr>
            <w:tcW w:w="1666" w:type="dxa"/>
            <w:shd w:val="clear" w:color="auto" w:fill="auto"/>
            <w:vAlign w:val="center"/>
          </w:tcPr>
          <w:p w14:paraId="5BEBB94F" w14:textId="77777777" w:rsidR="008104F5" w:rsidRDefault="00AF1271">
            <w:pPr>
              <w:jc w:val="center"/>
              <w:rPr>
                <w:color w:val="000000"/>
              </w:rPr>
            </w:pPr>
            <w:r>
              <w:rPr>
                <w:color w:val="000000"/>
              </w:rPr>
              <w:t>SO8</w:t>
            </w:r>
          </w:p>
        </w:tc>
        <w:tc>
          <w:tcPr>
            <w:tcW w:w="1666" w:type="dxa"/>
            <w:shd w:val="clear" w:color="auto" w:fill="auto"/>
            <w:vAlign w:val="center"/>
          </w:tcPr>
          <w:p w14:paraId="7D30F246" w14:textId="77777777" w:rsidR="008104F5" w:rsidRDefault="00AF1271">
            <w:pPr>
              <w:jc w:val="center"/>
              <w:rPr>
                <w:color w:val="000000"/>
              </w:rPr>
            </w:pPr>
            <w:r>
              <w:rPr>
                <w:color w:val="000000"/>
              </w:rPr>
              <w:t>0.765</w:t>
            </w:r>
          </w:p>
        </w:tc>
        <w:tc>
          <w:tcPr>
            <w:tcW w:w="1666" w:type="dxa"/>
            <w:shd w:val="clear" w:color="auto" w:fill="auto"/>
            <w:vAlign w:val="center"/>
          </w:tcPr>
          <w:p w14:paraId="59CB5AD1" w14:textId="77777777" w:rsidR="008104F5" w:rsidRDefault="008104F5">
            <w:pPr>
              <w:jc w:val="center"/>
              <w:rPr>
                <w:color w:val="000000"/>
              </w:rPr>
            </w:pPr>
          </w:p>
        </w:tc>
        <w:tc>
          <w:tcPr>
            <w:tcW w:w="1666" w:type="dxa"/>
            <w:shd w:val="clear" w:color="auto" w:fill="auto"/>
            <w:vAlign w:val="center"/>
          </w:tcPr>
          <w:p w14:paraId="6967F9A3" w14:textId="77777777" w:rsidR="008104F5" w:rsidRDefault="008104F5">
            <w:pPr>
              <w:jc w:val="center"/>
              <w:rPr>
                <w:color w:val="008000"/>
              </w:rPr>
            </w:pPr>
          </w:p>
        </w:tc>
      </w:tr>
    </w:tbl>
    <w:p w14:paraId="4EA93F17" w14:textId="77777777" w:rsidR="008104F5" w:rsidRDefault="008104F5">
      <w:pPr>
        <w:spacing w:line="360" w:lineRule="auto"/>
        <w:jc w:val="left"/>
        <w:rPr>
          <w:b/>
        </w:rPr>
      </w:pPr>
    </w:p>
    <w:p w14:paraId="4DE63BDB" w14:textId="77777777" w:rsidR="008104F5" w:rsidRDefault="00AF1271" w:rsidP="000A4091">
      <w:pPr>
        <w:ind w:firstLine="720"/>
        <w:jc w:val="left"/>
      </w:pPr>
      <w:commentRangeStart w:id="21"/>
      <w:r>
        <w:t xml:space="preserve">The </w:t>
      </w:r>
      <w:proofErr w:type="spellStart"/>
      <w:r>
        <w:t>heterotrait-monotrait</w:t>
      </w:r>
      <w:proofErr w:type="spellEnd"/>
      <w:r>
        <w:t xml:space="preserve"> ratio of correlations (HTMT) was used to assess the discriminant validity based on the </w:t>
      </w:r>
      <w:proofErr w:type="spellStart"/>
      <w:r>
        <w:t>multitrait</w:t>
      </w:r>
      <w:proofErr w:type="spellEnd"/>
      <w:r>
        <w:t xml:space="preserve">-multimethod matrix proposed by </w:t>
      </w:r>
      <w:proofErr w:type="spellStart"/>
      <w:r>
        <w:t>Henseler</w:t>
      </w:r>
      <w:proofErr w:type="spellEnd"/>
      <w:r>
        <w:t xml:space="preserve"> et al. (2015). The HTMT method calculates the actual correlation between two accurately measured constructs (</w:t>
      </w:r>
      <w:proofErr w:type="spellStart"/>
      <w:r>
        <w:t>Henseler</w:t>
      </w:r>
      <w:proofErr w:type="spellEnd"/>
      <w:r>
        <w:t xml:space="preserve"> et al., 2015). In the opinion of </w:t>
      </w:r>
      <w:proofErr w:type="spellStart"/>
      <w:r>
        <w:t>Henseler</w:t>
      </w:r>
      <w:proofErr w:type="spellEnd"/>
      <w:r>
        <w:t xml:space="preserve"> et al. (2015), a value of the HTMT exceeding 0.85 indicates the absence of discriminant validity. Table 3 exhibits </w:t>
      </w:r>
      <w:r>
        <w:lastRenderedPageBreak/>
        <w:t xml:space="preserve">that HTMT for all constructs is less than 0.85, thus signifying that discriminant validity has been determined. Overall, the findings from the measurement model demonstrated that each measuring item had sufficient reliability, convergent validity, and discriminant validity. </w:t>
      </w:r>
      <w:commentRangeEnd w:id="21"/>
      <w:r w:rsidR="004B62BA">
        <w:rPr>
          <w:rStyle w:val="CommentReference"/>
        </w:rPr>
        <w:commentReference w:id="21"/>
      </w:r>
    </w:p>
    <w:p w14:paraId="14932CFC" w14:textId="77777777" w:rsidR="008104F5" w:rsidRDefault="00AF1271">
      <w:pPr>
        <w:rPr>
          <w:i/>
        </w:rPr>
      </w:pPr>
      <w:r>
        <w:rPr>
          <w:b/>
        </w:rPr>
        <w:t xml:space="preserve">Table 3 </w:t>
      </w:r>
    </w:p>
    <w:p w14:paraId="6D316CA7" w14:textId="77777777" w:rsidR="008104F5" w:rsidRDefault="00AF1271">
      <w:pPr>
        <w:jc w:val="left"/>
        <w:rPr>
          <w:i/>
        </w:rPr>
      </w:pPr>
      <w:proofErr w:type="spellStart"/>
      <w:r>
        <w:rPr>
          <w:i/>
        </w:rPr>
        <w:t>Heterotrait-Monotrait</w:t>
      </w:r>
      <w:proofErr w:type="spellEnd"/>
      <w:r>
        <w:rPr>
          <w:i/>
        </w:rPr>
        <w:t xml:space="preserve"> Ratio (HTMT)</w:t>
      </w:r>
    </w:p>
    <w:tbl>
      <w:tblPr>
        <w:tblStyle w:val="afb"/>
        <w:tblW w:w="855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1410"/>
        <w:gridCol w:w="1440"/>
        <w:gridCol w:w="1170"/>
        <w:gridCol w:w="1530"/>
      </w:tblGrid>
      <w:tr w:rsidR="008104F5" w14:paraId="4346D2DA" w14:textId="77777777">
        <w:trPr>
          <w:trHeight w:val="500"/>
        </w:trPr>
        <w:tc>
          <w:tcPr>
            <w:tcW w:w="3000" w:type="dxa"/>
            <w:tcBorders>
              <w:top w:val="single" w:sz="4" w:space="0" w:color="000000"/>
              <w:left w:val="nil"/>
              <w:bottom w:val="single" w:sz="4" w:space="0" w:color="000000"/>
              <w:right w:val="nil"/>
            </w:tcBorders>
            <w:shd w:val="clear" w:color="auto" w:fill="auto"/>
            <w:vAlign w:val="center"/>
          </w:tcPr>
          <w:p w14:paraId="1C2229D9" w14:textId="77777777" w:rsidR="008104F5" w:rsidRDefault="00AF1271">
            <w:pPr>
              <w:jc w:val="left"/>
              <w:rPr>
                <w:b/>
                <w:color w:val="000000"/>
              </w:rPr>
            </w:pPr>
            <w:r>
              <w:rPr>
                <w:b/>
                <w:color w:val="000000"/>
              </w:rPr>
              <w:t> </w:t>
            </w:r>
          </w:p>
        </w:tc>
        <w:tc>
          <w:tcPr>
            <w:tcW w:w="1410" w:type="dxa"/>
            <w:tcBorders>
              <w:top w:val="single" w:sz="4" w:space="0" w:color="000000"/>
              <w:left w:val="nil"/>
              <w:bottom w:val="single" w:sz="4" w:space="0" w:color="000000"/>
              <w:right w:val="nil"/>
            </w:tcBorders>
            <w:shd w:val="clear" w:color="auto" w:fill="auto"/>
            <w:vAlign w:val="center"/>
          </w:tcPr>
          <w:p w14:paraId="65AC21F4" w14:textId="77777777" w:rsidR="008104F5" w:rsidRDefault="00AF1271">
            <w:pPr>
              <w:jc w:val="left"/>
              <w:rPr>
                <w:color w:val="000000"/>
              </w:rPr>
            </w:pPr>
            <w:r>
              <w:rPr>
                <w:color w:val="000000"/>
              </w:rPr>
              <w:t xml:space="preserve">Institutional </w:t>
            </w:r>
          </w:p>
          <w:p w14:paraId="179F695B" w14:textId="77777777" w:rsidR="008104F5" w:rsidRDefault="00AF1271">
            <w:pPr>
              <w:jc w:val="left"/>
              <w:rPr>
                <w:color w:val="000000"/>
              </w:rPr>
            </w:pPr>
            <w:r>
              <w:rPr>
                <w:color w:val="000000"/>
              </w:rPr>
              <w:t>Resources</w:t>
            </w:r>
          </w:p>
        </w:tc>
        <w:tc>
          <w:tcPr>
            <w:tcW w:w="1440" w:type="dxa"/>
            <w:tcBorders>
              <w:top w:val="single" w:sz="4" w:space="0" w:color="000000"/>
              <w:left w:val="nil"/>
              <w:bottom w:val="single" w:sz="4" w:space="0" w:color="000000"/>
              <w:right w:val="nil"/>
            </w:tcBorders>
            <w:shd w:val="clear" w:color="auto" w:fill="auto"/>
            <w:vAlign w:val="center"/>
          </w:tcPr>
          <w:p w14:paraId="5999881F" w14:textId="77777777" w:rsidR="008104F5" w:rsidRDefault="00AF1271">
            <w:pPr>
              <w:jc w:val="left"/>
              <w:rPr>
                <w:color w:val="000000"/>
              </w:rPr>
            </w:pPr>
            <w:r>
              <w:rPr>
                <w:color w:val="000000"/>
              </w:rPr>
              <w:t xml:space="preserve">Technology </w:t>
            </w:r>
          </w:p>
          <w:p w14:paraId="7207F2B6" w14:textId="77777777" w:rsidR="008104F5" w:rsidRDefault="00AF1271">
            <w:pPr>
              <w:jc w:val="left"/>
              <w:rPr>
                <w:color w:val="000000"/>
              </w:rPr>
            </w:pPr>
            <w:r>
              <w:rPr>
                <w:color w:val="000000"/>
              </w:rPr>
              <w:t>Resources</w:t>
            </w:r>
          </w:p>
        </w:tc>
        <w:tc>
          <w:tcPr>
            <w:tcW w:w="1170" w:type="dxa"/>
            <w:tcBorders>
              <w:top w:val="single" w:sz="4" w:space="0" w:color="000000"/>
              <w:left w:val="nil"/>
              <w:bottom w:val="single" w:sz="4" w:space="0" w:color="000000"/>
              <w:right w:val="nil"/>
            </w:tcBorders>
            <w:shd w:val="clear" w:color="auto" w:fill="auto"/>
            <w:vAlign w:val="center"/>
          </w:tcPr>
          <w:p w14:paraId="35F72E13" w14:textId="77777777" w:rsidR="008104F5" w:rsidRDefault="00AF1271">
            <w:pPr>
              <w:jc w:val="left"/>
              <w:rPr>
                <w:color w:val="000000"/>
              </w:rPr>
            </w:pPr>
            <w:r>
              <w:rPr>
                <w:color w:val="000000"/>
              </w:rPr>
              <w:t xml:space="preserve">Human </w:t>
            </w:r>
          </w:p>
          <w:p w14:paraId="66AF4F6A" w14:textId="77777777" w:rsidR="008104F5" w:rsidRDefault="00AF1271">
            <w:pPr>
              <w:jc w:val="left"/>
              <w:rPr>
                <w:color w:val="000000"/>
              </w:rPr>
            </w:pPr>
            <w:r>
              <w:rPr>
                <w:color w:val="000000"/>
              </w:rPr>
              <w:t>resources</w:t>
            </w:r>
          </w:p>
        </w:tc>
        <w:tc>
          <w:tcPr>
            <w:tcW w:w="1530" w:type="dxa"/>
            <w:tcBorders>
              <w:top w:val="single" w:sz="4" w:space="0" w:color="000000"/>
              <w:left w:val="nil"/>
              <w:bottom w:val="single" w:sz="4" w:space="0" w:color="000000"/>
              <w:right w:val="nil"/>
            </w:tcBorders>
            <w:shd w:val="clear" w:color="auto" w:fill="auto"/>
            <w:vAlign w:val="center"/>
          </w:tcPr>
          <w:p w14:paraId="6E867E68" w14:textId="77777777" w:rsidR="008104F5" w:rsidRDefault="00AF1271">
            <w:pPr>
              <w:jc w:val="left"/>
              <w:rPr>
                <w:color w:val="000000"/>
              </w:rPr>
            </w:pPr>
            <w:r>
              <w:rPr>
                <w:color w:val="000000"/>
              </w:rPr>
              <w:t xml:space="preserve">Institutional </w:t>
            </w:r>
          </w:p>
          <w:p w14:paraId="38AC4103" w14:textId="77777777" w:rsidR="008104F5" w:rsidRDefault="00AF1271">
            <w:pPr>
              <w:jc w:val="left"/>
              <w:rPr>
                <w:color w:val="000000"/>
              </w:rPr>
            </w:pPr>
            <w:r>
              <w:rPr>
                <w:color w:val="000000"/>
              </w:rPr>
              <w:t>Isomorphism</w:t>
            </w:r>
          </w:p>
        </w:tc>
      </w:tr>
      <w:tr w:rsidR="008104F5" w14:paraId="10EEBFD4" w14:textId="77777777">
        <w:trPr>
          <w:trHeight w:val="290"/>
        </w:trPr>
        <w:tc>
          <w:tcPr>
            <w:tcW w:w="3000" w:type="dxa"/>
            <w:tcBorders>
              <w:top w:val="nil"/>
              <w:left w:val="nil"/>
              <w:bottom w:val="nil"/>
              <w:right w:val="nil"/>
            </w:tcBorders>
            <w:shd w:val="clear" w:color="auto" w:fill="auto"/>
            <w:vAlign w:val="center"/>
          </w:tcPr>
          <w:p w14:paraId="0715C39E" w14:textId="77777777" w:rsidR="008104F5" w:rsidRDefault="00AF1271">
            <w:pPr>
              <w:jc w:val="left"/>
              <w:rPr>
                <w:color w:val="000000"/>
              </w:rPr>
            </w:pPr>
            <w:r>
              <w:rPr>
                <w:color w:val="000000"/>
              </w:rPr>
              <w:t>Technology Resources</w:t>
            </w:r>
          </w:p>
        </w:tc>
        <w:tc>
          <w:tcPr>
            <w:tcW w:w="1410" w:type="dxa"/>
            <w:tcBorders>
              <w:top w:val="nil"/>
              <w:left w:val="nil"/>
              <w:bottom w:val="nil"/>
              <w:right w:val="nil"/>
            </w:tcBorders>
            <w:shd w:val="clear" w:color="auto" w:fill="auto"/>
            <w:vAlign w:val="center"/>
          </w:tcPr>
          <w:p w14:paraId="68FE395F" w14:textId="77777777" w:rsidR="008104F5" w:rsidRDefault="00AF1271">
            <w:pPr>
              <w:jc w:val="right"/>
              <w:rPr>
                <w:color w:val="000000"/>
              </w:rPr>
            </w:pPr>
            <w:r>
              <w:rPr>
                <w:color w:val="000000"/>
              </w:rPr>
              <w:t>0.804</w:t>
            </w:r>
          </w:p>
        </w:tc>
        <w:tc>
          <w:tcPr>
            <w:tcW w:w="1440" w:type="dxa"/>
            <w:tcBorders>
              <w:top w:val="nil"/>
              <w:left w:val="nil"/>
              <w:bottom w:val="nil"/>
              <w:right w:val="nil"/>
            </w:tcBorders>
            <w:shd w:val="clear" w:color="auto" w:fill="auto"/>
            <w:vAlign w:val="bottom"/>
          </w:tcPr>
          <w:p w14:paraId="7BEBDB75" w14:textId="77777777" w:rsidR="008104F5" w:rsidRDefault="008104F5">
            <w:pPr>
              <w:jc w:val="right"/>
              <w:rPr>
                <w:color w:val="000000"/>
              </w:rPr>
            </w:pPr>
          </w:p>
        </w:tc>
        <w:tc>
          <w:tcPr>
            <w:tcW w:w="1170" w:type="dxa"/>
            <w:tcBorders>
              <w:top w:val="nil"/>
              <w:left w:val="nil"/>
              <w:bottom w:val="nil"/>
              <w:right w:val="nil"/>
            </w:tcBorders>
            <w:shd w:val="clear" w:color="auto" w:fill="auto"/>
            <w:vAlign w:val="bottom"/>
          </w:tcPr>
          <w:p w14:paraId="224F1190" w14:textId="77777777" w:rsidR="008104F5" w:rsidRDefault="008104F5">
            <w:pPr>
              <w:jc w:val="left"/>
              <w:rPr>
                <w:color w:val="000000"/>
              </w:rPr>
            </w:pPr>
          </w:p>
        </w:tc>
        <w:tc>
          <w:tcPr>
            <w:tcW w:w="1530" w:type="dxa"/>
            <w:tcBorders>
              <w:top w:val="nil"/>
              <w:left w:val="nil"/>
              <w:bottom w:val="nil"/>
              <w:right w:val="nil"/>
            </w:tcBorders>
            <w:shd w:val="clear" w:color="auto" w:fill="auto"/>
            <w:vAlign w:val="bottom"/>
          </w:tcPr>
          <w:p w14:paraId="4E61971B" w14:textId="77777777" w:rsidR="008104F5" w:rsidRDefault="008104F5">
            <w:pPr>
              <w:jc w:val="left"/>
              <w:rPr>
                <w:color w:val="000000"/>
              </w:rPr>
            </w:pPr>
          </w:p>
        </w:tc>
      </w:tr>
      <w:tr w:rsidR="008104F5" w14:paraId="640476C1" w14:textId="77777777">
        <w:trPr>
          <w:trHeight w:val="290"/>
        </w:trPr>
        <w:tc>
          <w:tcPr>
            <w:tcW w:w="3000" w:type="dxa"/>
            <w:tcBorders>
              <w:top w:val="nil"/>
              <w:left w:val="nil"/>
              <w:bottom w:val="nil"/>
              <w:right w:val="nil"/>
            </w:tcBorders>
            <w:shd w:val="clear" w:color="auto" w:fill="auto"/>
            <w:vAlign w:val="center"/>
          </w:tcPr>
          <w:p w14:paraId="3241D366" w14:textId="77777777" w:rsidR="008104F5" w:rsidRDefault="00AF1271">
            <w:pPr>
              <w:jc w:val="left"/>
              <w:rPr>
                <w:color w:val="000000"/>
              </w:rPr>
            </w:pPr>
            <w:r>
              <w:rPr>
                <w:color w:val="000000"/>
              </w:rPr>
              <w:t>Human Resources</w:t>
            </w:r>
          </w:p>
        </w:tc>
        <w:tc>
          <w:tcPr>
            <w:tcW w:w="1410" w:type="dxa"/>
            <w:tcBorders>
              <w:top w:val="nil"/>
              <w:left w:val="nil"/>
              <w:bottom w:val="nil"/>
              <w:right w:val="nil"/>
            </w:tcBorders>
            <w:shd w:val="clear" w:color="auto" w:fill="auto"/>
            <w:vAlign w:val="center"/>
          </w:tcPr>
          <w:p w14:paraId="2257D06A" w14:textId="77777777" w:rsidR="008104F5" w:rsidRDefault="00AF1271">
            <w:pPr>
              <w:jc w:val="right"/>
              <w:rPr>
                <w:color w:val="000000"/>
              </w:rPr>
            </w:pPr>
            <w:r>
              <w:rPr>
                <w:color w:val="000000"/>
              </w:rPr>
              <w:t>0.789</w:t>
            </w:r>
          </w:p>
        </w:tc>
        <w:tc>
          <w:tcPr>
            <w:tcW w:w="1440" w:type="dxa"/>
            <w:tcBorders>
              <w:top w:val="nil"/>
              <w:left w:val="nil"/>
              <w:bottom w:val="nil"/>
              <w:right w:val="nil"/>
            </w:tcBorders>
            <w:shd w:val="clear" w:color="auto" w:fill="auto"/>
            <w:vAlign w:val="center"/>
          </w:tcPr>
          <w:p w14:paraId="1DE33C9D" w14:textId="77777777" w:rsidR="008104F5" w:rsidRDefault="00AF1271">
            <w:pPr>
              <w:jc w:val="right"/>
              <w:rPr>
                <w:color w:val="000000"/>
              </w:rPr>
            </w:pPr>
            <w:r>
              <w:rPr>
                <w:color w:val="000000"/>
              </w:rPr>
              <w:t>0.634</w:t>
            </w:r>
          </w:p>
        </w:tc>
        <w:tc>
          <w:tcPr>
            <w:tcW w:w="1170" w:type="dxa"/>
            <w:tcBorders>
              <w:top w:val="nil"/>
              <w:left w:val="nil"/>
              <w:bottom w:val="nil"/>
              <w:right w:val="nil"/>
            </w:tcBorders>
            <w:shd w:val="clear" w:color="auto" w:fill="auto"/>
            <w:vAlign w:val="center"/>
          </w:tcPr>
          <w:p w14:paraId="31991F2A" w14:textId="77777777" w:rsidR="008104F5" w:rsidRDefault="008104F5">
            <w:pPr>
              <w:jc w:val="right"/>
              <w:rPr>
                <w:color w:val="000000"/>
              </w:rPr>
            </w:pPr>
          </w:p>
        </w:tc>
        <w:tc>
          <w:tcPr>
            <w:tcW w:w="1530" w:type="dxa"/>
            <w:tcBorders>
              <w:top w:val="nil"/>
              <w:left w:val="nil"/>
              <w:bottom w:val="nil"/>
              <w:right w:val="nil"/>
            </w:tcBorders>
            <w:shd w:val="clear" w:color="auto" w:fill="auto"/>
            <w:vAlign w:val="bottom"/>
          </w:tcPr>
          <w:p w14:paraId="5A4D56B6" w14:textId="77777777" w:rsidR="008104F5" w:rsidRDefault="008104F5">
            <w:pPr>
              <w:jc w:val="left"/>
              <w:rPr>
                <w:color w:val="000000"/>
              </w:rPr>
            </w:pPr>
          </w:p>
        </w:tc>
      </w:tr>
      <w:tr w:rsidR="008104F5" w14:paraId="2CB4B84C" w14:textId="77777777">
        <w:trPr>
          <w:trHeight w:val="290"/>
        </w:trPr>
        <w:tc>
          <w:tcPr>
            <w:tcW w:w="3000" w:type="dxa"/>
            <w:tcBorders>
              <w:top w:val="nil"/>
              <w:left w:val="nil"/>
              <w:bottom w:val="nil"/>
              <w:right w:val="nil"/>
            </w:tcBorders>
            <w:shd w:val="clear" w:color="auto" w:fill="auto"/>
            <w:vAlign w:val="center"/>
          </w:tcPr>
          <w:p w14:paraId="1A4CC6DF" w14:textId="77777777" w:rsidR="008104F5" w:rsidRDefault="00AF1271">
            <w:pPr>
              <w:jc w:val="left"/>
              <w:rPr>
                <w:color w:val="000000"/>
              </w:rPr>
            </w:pPr>
            <w:r>
              <w:rPr>
                <w:color w:val="000000"/>
              </w:rPr>
              <w:t>Institutional Isomorphism</w:t>
            </w:r>
          </w:p>
        </w:tc>
        <w:tc>
          <w:tcPr>
            <w:tcW w:w="1410" w:type="dxa"/>
            <w:tcBorders>
              <w:top w:val="nil"/>
              <w:left w:val="nil"/>
              <w:bottom w:val="nil"/>
              <w:right w:val="nil"/>
            </w:tcBorders>
            <w:shd w:val="clear" w:color="auto" w:fill="auto"/>
            <w:vAlign w:val="center"/>
          </w:tcPr>
          <w:p w14:paraId="0E761D0D" w14:textId="77777777" w:rsidR="008104F5" w:rsidRDefault="00AF1271">
            <w:pPr>
              <w:jc w:val="right"/>
              <w:rPr>
                <w:color w:val="000000"/>
              </w:rPr>
            </w:pPr>
            <w:r>
              <w:rPr>
                <w:color w:val="000000"/>
              </w:rPr>
              <w:t>0.103</w:t>
            </w:r>
          </w:p>
        </w:tc>
        <w:tc>
          <w:tcPr>
            <w:tcW w:w="1440" w:type="dxa"/>
            <w:tcBorders>
              <w:top w:val="nil"/>
              <w:left w:val="nil"/>
              <w:bottom w:val="nil"/>
              <w:right w:val="nil"/>
            </w:tcBorders>
            <w:shd w:val="clear" w:color="auto" w:fill="auto"/>
            <w:vAlign w:val="center"/>
          </w:tcPr>
          <w:p w14:paraId="64452C80" w14:textId="77777777" w:rsidR="008104F5" w:rsidRDefault="00AF1271">
            <w:pPr>
              <w:jc w:val="right"/>
              <w:rPr>
                <w:color w:val="000000"/>
              </w:rPr>
            </w:pPr>
            <w:r>
              <w:rPr>
                <w:color w:val="000000"/>
              </w:rPr>
              <w:t>0.093</w:t>
            </w:r>
          </w:p>
        </w:tc>
        <w:tc>
          <w:tcPr>
            <w:tcW w:w="1170" w:type="dxa"/>
            <w:tcBorders>
              <w:top w:val="nil"/>
              <w:left w:val="nil"/>
              <w:bottom w:val="nil"/>
              <w:right w:val="nil"/>
            </w:tcBorders>
            <w:shd w:val="clear" w:color="auto" w:fill="auto"/>
            <w:vAlign w:val="center"/>
          </w:tcPr>
          <w:p w14:paraId="4CC90DDB" w14:textId="77777777" w:rsidR="008104F5" w:rsidRDefault="00AF1271">
            <w:pPr>
              <w:jc w:val="right"/>
              <w:rPr>
                <w:color w:val="000000"/>
              </w:rPr>
            </w:pPr>
            <w:r>
              <w:rPr>
                <w:color w:val="000000"/>
              </w:rPr>
              <w:t>0.096</w:t>
            </w:r>
          </w:p>
        </w:tc>
        <w:tc>
          <w:tcPr>
            <w:tcW w:w="1530" w:type="dxa"/>
            <w:tcBorders>
              <w:top w:val="nil"/>
              <w:left w:val="nil"/>
              <w:bottom w:val="nil"/>
              <w:right w:val="nil"/>
            </w:tcBorders>
            <w:shd w:val="clear" w:color="auto" w:fill="auto"/>
            <w:vAlign w:val="center"/>
          </w:tcPr>
          <w:p w14:paraId="58255EDA" w14:textId="77777777" w:rsidR="008104F5" w:rsidRDefault="008104F5">
            <w:pPr>
              <w:jc w:val="right"/>
              <w:rPr>
                <w:color w:val="000000"/>
              </w:rPr>
            </w:pPr>
          </w:p>
        </w:tc>
      </w:tr>
      <w:tr w:rsidR="008104F5" w14:paraId="7574E776" w14:textId="77777777">
        <w:trPr>
          <w:trHeight w:val="290"/>
        </w:trPr>
        <w:tc>
          <w:tcPr>
            <w:tcW w:w="3000" w:type="dxa"/>
            <w:tcBorders>
              <w:top w:val="nil"/>
              <w:left w:val="nil"/>
              <w:bottom w:val="single" w:sz="4" w:space="0" w:color="000000"/>
              <w:right w:val="nil"/>
            </w:tcBorders>
            <w:shd w:val="clear" w:color="auto" w:fill="auto"/>
            <w:vAlign w:val="center"/>
          </w:tcPr>
          <w:p w14:paraId="2C0F130D" w14:textId="77777777" w:rsidR="008104F5" w:rsidRDefault="00AF1271">
            <w:pPr>
              <w:jc w:val="left"/>
              <w:rPr>
                <w:color w:val="000000"/>
              </w:rPr>
            </w:pPr>
            <w:r>
              <w:rPr>
                <w:color w:val="000000"/>
              </w:rPr>
              <w:t>ODL Sustainability</w:t>
            </w:r>
          </w:p>
        </w:tc>
        <w:tc>
          <w:tcPr>
            <w:tcW w:w="1410" w:type="dxa"/>
            <w:tcBorders>
              <w:top w:val="nil"/>
              <w:left w:val="nil"/>
              <w:bottom w:val="single" w:sz="4" w:space="0" w:color="000000"/>
              <w:right w:val="nil"/>
            </w:tcBorders>
            <w:shd w:val="clear" w:color="auto" w:fill="auto"/>
            <w:vAlign w:val="center"/>
          </w:tcPr>
          <w:p w14:paraId="595AB296" w14:textId="77777777" w:rsidR="008104F5" w:rsidRDefault="00AF1271">
            <w:pPr>
              <w:jc w:val="right"/>
              <w:rPr>
                <w:color w:val="000000"/>
              </w:rPr>
            </w:pPr>
            <w:r>
              <w:rPr>
                <w:color w:val="000000"/>
              </w:rPr>
              <w:t>0.599</w:t>
            </w:r>
          </w:p>
        </w:tc>
        <w:tc>
          <w:tcPr>
            <w:tcW w:w="1440" w:type="dxa"/>
            <w:tcBorders>
              <w:top w:val="nil"/>
              <w:left w:val="nil"/>
              <w:bottom w:val="single" w:sz="4" w:space="0" w:color="000000"/>
              <w:right w:val="nil"/>
            </w:tcBorders>
            <w:shd w:val="clear" w:color="auto" w:fill="auto"/>
            <w:vAlign w:val="center"/>
          </w:tcPr>
          <w:p w14:paraId="07820EAB" w14:textId="77777777" w:rsidR="008104F5" w:rsidRDefault="00AF1271">
            <w:pPr>
              <w:jc w:val="right"/>
              <w:rPr>
                <w:color w:val="000000"/>
              </w:rPr>
            </w:pPr>
            <w:r>
              <w:rPr>
                <w:color w:val="000000"/>
              </w:rPr>
              <w:t>0.601</w:t>
            </w:r>
          </w:p>
        </w:tc>
        <w:tc>
          <w:tcPr>
            <w:tcW w:w="1170" w:type="dxa"/>
            <w:tcBorders>
              <w:top w:val="nil"/>
              <w:left w:val="nil"/>
              <w:bottom w:val="single" w:sz="4" w:space="0" w:color="000000"/>
              <w:right w:val="nil"/>
            </w:tcBorders>
            <w:shd w:val="clear" w:color="auto" w:fill="auto"/>
            <w:vAlign w:val="center"/>
          </w:tcPr>
          <w:p w14:paraId="2379785C" w14:textId="77777777" w:rsidR="008104F5" w:rsidRDefault="00AF1271">
            <w:pPr>
              <w:jc w:val="right"/>
              <w:rPr>
                <w:color w:val="000000"/>
              </w:rPr>
            </w:pPr>
            <w:r>
              <w:rPr>
                <w:color w:val="000000"/>
              </w:rPr>
              <w:t>0.386</w:t>
            </w:r>
          </w:p>
        </w:tc>
        <w:tc>
          <w:tcPr>
            <w:tcW w:w="1530" w:type="dxa"/>
            <w:tcBorders>
              <w:top w:val="nil"/>
              <w:left w:val="nil"/>
              <w:bottom w:val="single" w:sz="4" w:space="0" w:color="000000"/>
              <w:right w:val="nil"/>
            </w:tcBorders>
            <w:shd w:val="clear" w:color="auto" w:fill="auto"/>
            <w:vAlign w:val="center"/>
          </w:tcPr>
          <w:p w14:paraId="060B2AC8" w14:textId="77777777" w:rsidR="008104F5" w:rsidRDefault="00AF1271">
            <w:pPr>
              <w:jc w:val="right"/>
              <w:rPr>
                <w:color w:val="000000"/>
              </w:rPr>
            </w:pPr>
            <w:r>
              <w:rPr>
                <w:color w:val="000000"/>
              </w:rPr>
              <w:t>0.104</w:t>
            </w:r>
          </w:p>
        </w:tc>
      </w:tr>
    </w:tbl>
    <w:p w14:paraId="20E08B89" w14:textId="77777777" w:rsidR="008104F5" w:rsidRDefault="008104F5">
      <w:pPr>
        <w:spacing w:line="360" w:lineRule="auto"/>
      </w:pPr>
    </w:p>
    <w:p w14:paraId="6155CF60" w14:textId="77777777" w:rsidR="008104F5" w:rsidRDefault="00AF1271">
      <w:pPr>
        <w:rPr>
          <w:b/>
        </w:rPr>
      </w:pPr>
      <w:bookmarkStart w:id="22" w:name="_heading=h.3vac5uf" w:colFirst="0" w:colLast="0"/>
      <w:bookmarkEnd w:id="22"/>
      <w:r>
        <w:rPr>
          <w:b/>
          <w:color w:val="000000"/>
        </w:rPr>
        <w:t xml:space="preserve">Structural Model Assessment </w:t>
      </w:r>
    </w:p>
    <w:p w14:paraId="34017017" w14:textId="09DE162C" w:rsidR="008104F5" w:rsidRDefault="00AF1271" w:rsidP="000A4091">
      <w:pPr>
        <w:ind w:firstLine="720"/>
        <w:jc w:val="left"/>
      </w:pPr>
      <w:commentRangeStart w:id="23"/>
      <w:r>
        <w:t>The coefficient of determination (R</w:t>
      </w:r>
      <w:r>
        <w:rPr>
          <w:vertAlign w:val="superscript"/>
        </w:rPr>
        <w:t>2</w:t>
      </w:r>
      <w:r>
        <w:t>), path coefficient (β), and effect size (f</w:t>
      </w:r>
      <w:r>
        <w:rPr>
          <w:vertAlign w:val="superscript"/>
        </w:rPr>
        <w:t>2</w:t>
      </w:r>
      <w:r>
        <w:t xml:space="preserve">) are used to evaluate the study's structural model. This structural model determined the testing of the hypotheses. The findings of the path analysis and hypotheses testing are shown in Figure 2 and Table 4. According to the suggestion of Hair et al. (2017), 5,000 re-samples were used to construct the path coefficients and the accompanying t-values using the </w:t>
      </w:r>
      <w:proofErr w:type="spellStart"/>
      <w:r>
        <w:t>SmartPLS</w:t>
      </w:r>
      <w:proofErr w:type="spellEnd"/>
      <w:r>
        <w:t xml:space="preserve"> bootstrapping method. The results revealed that institutional resources significantly influence ODL sustainability (β = 0.392, t-value = 4.839) at p &lt; 0.01 significance level, suggesting that H1 is supported. In addition, H2, which theorized that technolog</w:t>
      </w:r>
      <w:r w:rsidR="00F43FF4">
        <w:t>y</w:t>
      </w:r>
      <w:r>
        <w:t xml:space="preserve"> resources significantly influence the ODL sustainability (β = 0.314, t-value = 3.900), is also supported at p &lt; 0.01 significance level. Nevertheless, human resources insignificantly influence ODL sustainability (β = 0.092, t-value = 1.157). Similar insignificant results </w:t>
      </w:r>
      <w:r w:rsidR="00F907D9">
        <w:t>a</w:t>
      </w:r>
      <w:r>
        <w:t>re d</w:t>
      </w:r>
      <w:r w:rsidR="00F907D9">
        <w:t>ocumented</w:t>
      </w:r>
      <w:r>
        <w:t xml:space="preserve"> for </w:t>
      </w:r>
      <w:r>
        <w:lastRenderedPageBreak/>
        <w:t>institutional isomorphism, which insignificantly influences ODL sustainability (β = 0.073, t-value = 0.741). Thus, H3 and H4 are not supported.</w:t>
      </w:r>
    </w:p>
    <w:p w14:paraId="3635F082" w14:textId="61FE8C39" w:rsidR="008104F5" w:rsidRDefault="00AF1271" w:rsidP="000A4091">
      <w:pPr>
        <w:ind w:firstLine="720"/>
        <w:jc w:val="left"/>
      </w:pPr>
      <w:r>
        <w:t>The R</w:t>
      </w:r>
      <w:r>
        <w:rPr>
          <w:vertAlign w:val="superscript"/>
        </w:rPr>
        <w:t>2</w:t>
      </w:r>
      <w:r>
        <w:t xml:space="preserve"> of the model, as illustrated in Figure 2, indicates that 36.4% of the variance in ODL sustainability is explained by institutional, technology,</w:t>
      </w:r>
      <w:r w:rsidR="00F907D9">
        <w:t xml:space="preserve"> and</w:t>
      </w:r>
      <w:r>
        <w:t xml:space="preserve"> human resources, and institutional isomorphism. In Table 4, the variance inflation factor (VIF) exhibit</w:t>
      </w:r>
      <w:r w:rsidR="00F907D9">
        <w:t>s</w:t>
      </w:r>
      <w:r>
        <w:t xml:space="preserve"> values below the suggested threshold of 5.00 (Hair et al., 2017). Thus, the findings indicate that no multicollinearity exists in the model. Furthermore, the effect sizes (f</w:t>
      </w:r>
      <w:r>
        <w:rPr>
          <w:vertAlign w:val="superscript"/>
        </w:rPr>
        <w:t>2</w:t>
      </w:r>
      <w:r>
        <w:t>) of institutional and technology resources are 0.085 and 0.074, respectively, thus indicating a small effect on ODL sustainability, as Cohen (1988) suggested. On the other hand, human resources and institutional isomorphism do not have any impact on ODL sustainability. Additionally, the Q</w:t>
      </w:r>
      <w:r>
        <w:rPr>
          <w:vertAlign w:val="superscript"/>
        </w:rPr>
        <w:t>2</w:t>
      </w:r>
      <w:r>
        <w:t xml:space="preserve"> value is 0.207, which is greater than 0, suggesting predictive relevance (Hair et al., 2017). </w:t>
      </w:r>
      <w:commentRangeEnd w:id="23"/>
      <w:r w:rsidR="004B62BA">
        <w:rPr>
          <w:rStyle w:val="CommentReference"/>
        </w:rPr>
        <w:commentReference w:id="23"/>
      </w:r>
    </w:p>
    <w:p w14:paraId="31CDF330" w14:textId="77777777" w:rsidR="008104F5" w:rsidRDefault="00AF1271">
      <w:pPr>
        <w:spacing w:after="160" w:line="360" w:lineRule="auto"/>
        <w:jc w:val="left"/>
        <w:rPr>
          <w:i/>
        </w:rPr>
      </w:pPr>
      <w:r>
        <w:rPr>
          <w:b/>
        </w:rPr>
        <w:t xml:space="preserve">Figure 2 </w:t>
      </w:r>
    </w:p>
    <w:p w14:paraId="44F758F2" w14:textId="77777777" w:rsidR="008104F5" w:rsidRDefault="00AF1271">
      <w:pPr>
        <w:spacing w:after="160" w:line="360" w:lineRule="auto"/>
        <w:jc w:val="left"/>
        <w:rPr>
          <w:i/>
        </w:rPr>
      </w:pPr>
      <w:r>
        <w:rPr>
          <w:i/>
        </w:rPr>
        <w:t>Structural Model</w:t>
      </w:r>
    </w:p>
    <w:p w14:paraId="601C13F4" w14:textId="77777777" w:rsidR="008104F5" w:rsidRDefault="00AF1271">
      <w:pPr>
        <w:spacing w:line="360" w:lineRule="auto"/>
        <w:jc w:val="left"/>
        <w:rPr>
          <w:b/>
          <w:i/>
        </w:rPr>
      </w:pPr>
      <w:r>
        <w:rPr>
          <w:noProof/>
        </w:rPr>
        <w:drawing>
          <wp:inline distT="0" distB="0" distL="0" distR="0" wp14:anchorId="0B411A39" wp14:editId="5B97BC2C">
            <wp:extent cx="2744621" cy="3543687"/>
            <wp:effectExtent l="0" t="0" r="0" b="0"/>
            <wp:docPr id="1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744621" cy="3543687"/>
                    </a:xfrm>
                    <a:prstGeom prst="rect">
                      <a:avLst/>
                    </a:prstGeom>
                    <a:ln/>
                  </pic:spPr>
                </pic:pic>
              </a:graphicData>
            </a:graphic>
          </wp:inline>
        </w:drawing>
      </w:r>
    </w:p>
    <w:p w14:paraId="40E759EA" w14:textId="77777777" w:rsidR="006874D7" w:rsidRDefault="006874D7">
      <w:pPr>
        <w:spacing w:after="160" w:line="360" w:lineRule="auto"/>
        <w:jc w:val="left"/>
        <w:rPr>
          <w:b/>
        </w:rPr>
      </w:pPr>
    </w:p>
    <w:p w14:paraId="6A3D62E3" w14:textId="77777777" w:rsidR="000A4091" w:rsidRDefault="000A4091">
      <w:pPr>
        <w:spacing w:after="160" w:line="360" w:lineRule="auto"/>
        <w:jc w:val="left"/>
        <w:rPr>
          <w:b/>
        </w:rPr>
      </w:pPr>
    </w:p>
    <w:p w14:paraId="31563109" w14:textId="7B759E0D" w:rsidR="008104F5" w:rsidRDefault="00AF1271">
      <w:pPr>
        <w:spacing w:after="160" w:line="360" w:lineRule="auto"/>
        <w:jc w:val="left"/>
      </w:pPr>
      <w:r>
        <w:rPr>
          <w:b/>
        </w:rPr>
        <w:lastRenderedPageBreak/>
        <w:t>Table 4</w:t>
      </w:r>
      <w:r>
        <w:tab/>
      </w:r>
    </w:p>
    <w:p w14:paraId="52A3EB81" w14:textId="77777777" w:rsidR="008104F5" w:rsidRDefault="00AF1271">
      <w:pPr>
        <w:spacing w:after="160"/>
        <w:jc w:val="left"/>
        <w:rPr>
          <w:i/>
        </w:rPr>
      </w:pPr>
      <w:r>
        <w:rPr>
          <w:i/>
        </w:rPr>
        <w:t>Structural Model Bootstrapping Results</w:t>
      </w:r>
    </w:p>
    <w:tbl>
      <w:tblPr>
        <w:tblStyle w:val="afc"/>
        <w:tblW w:w="836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2309"/>
        <w:gridCol w:w="1276"/>
        <w:gridCol w:w="930"/>
        <w:gridCol w:w="1285"/>
        <w:gridCol w:w="903"/>
        <w:gridCol w:w="851"/>
      </w:tblGrid>
      <w:tr w:rsidR="008104F5" w14:paraId="23F14904" w14:textId="77777777" w:rsidTr="00A62564">
        <w:trPr>
          <w:trHeight w:val="440"/>
        </w:trPr>
        <w:tc>
          <w:tcPr>
            <w:tcW w:w="810" w:type="dxa"/>
            <w:tcBorders>
              <w:top w:val="single" w:sz="4" w:space="0" w:color="000000"/>
              <w:left w:val="nil"/>
              <w:bottom w:val="single" w:sz="4" w:space="0" w:color="000000"/>
              <w:right w:val="nil"/>
            </w:tcBorders>
          </w:tcPr>
          <w:p w14:paraId="758E8768" w14:textId="77777777" w:rsidR="008104F5" w:rsidRDefault="008104F5">
            <w:pPr>
              <w:jc w:val="left"/>
              <w:rPr>
                <w:color w:val="000000"/>
              </w:rPr>
            </w:pPr>
          </w:p>
        </w:tc>
        <w:tc>
          <w:tcPr>
            <w:tcW w:w="2309" w:type="dxa"/>
            <w:tcBorders>
              <w:top w:val="single" w:sz="4" w:space="0" w:color="000000"/>
              <w:left w:val="nil"/>
              <w:bottom w:val="single" w:sz="4" w:space="0" w:color="000000"/>
              <w:right w:val="nil"/>
            </w:tcBorders>
            <w:shd w:val="clear" w:color="auto" w:fill="auto"/>
            <w:vAlign w:val="center"/>
          </w:tcPr>
          <w:p w14:paraId="77ED8EEC" w14:textId="77777777" w:rsidR="008104F5" w:rsidRDefault="00AF1271">
            <w:pPr>
              <w:jc w:val="left"/>
              <w:rPr>
                <w:color w:val="000000"/>
              </w:rPr>
            </w:pPr>
            <w:r>
              <w:rPr>
                <w:color w:val="000000"/>
              </w:rPr>
              <w:t> </w:t>
            </w:r>
          </w:p>
        </w:tc>
        <w:tc>
          <w:tcPr>
            <w:tcW w:w="1276" w:type="dxa"/>
            <w:tcBorders>
              <w:top w:val="single" w:sz="4" w:space="0" w:color="000000"/>
              <w:left w:val="nil"/>
              <w:bottom w:val="single" w:sz="4" w:space="0" w:color="000000"/>
              <w:right w:val="nil"/>
            </w:tcBorders>
            <w:shd w:val="clear" w:color="auto" w:fill="auto"/>
            <w:vAlign w:val="bottom"/>
          </w:tcPr>
          <w:p w14:paraId="6F90F489" w14:textId="77777777" w:rsidR="008104F5" w:rsidRDefault="00AF1271">
            <w:pPr>
              <w:jc w:val="center"/>
              <w:rPr>
                <w:color w:val="000000"/>
              </w:rPr>
            </w:pPr>
            <w:r>
              <w:rPr>
                <w:color w:val="000000"/>
              </w:rPr>
              <w:t>Std. Beta</w:t>
            </w:r>
          </w:p>
        </w:tc>
        <w:tc>
          <w:tcPr>
            <w:tcW w:w="930" w:type="dxa"/>
            <w:tcBorders>
              <w:top w:val="single" w:sz="4" w:space="0" w:color="000000"/>
              <w:left w:val="nil"/>
              <w:bottom w:val="single" w:sz="4" w:space="0" w:color="000000"/>
              <w:right w:val="nil"/>
            </w:tcBorders>
            <w:shd w:val="clear" w:color="auto" w:fill="auto"/>
            <w:vAlign w:val="bottom"/>
          </w:tcPr>
          <w:p w14:paraId="27020EE7" w14:textId="77777777" w:rsidR="008104F5" w:rsidRDefault="00AF1271">
            <w:pPr>
              <w:jc w:val="center"/>
              <w:rPr>
                <w:color w:val="000000"/>
              </w:rPr>
            </w:pPr>
            <w:r>
              <w:rPr>
                <w:color w:val="000000"/>
              </w:rPr>
              <w:t>t-value</w:t>
            </w:r>
          </w:p>
        </w:tc>
        <w:tc>
          <w:tcPr>
            <w:tcW w:w="1285" w:type="dxa"/>
            <w:tcBorders>
              <w:top w:val="single" w:sz="4" w:space="0" w:color="000000"/>
              <w:left w:val="nil"/>
              <w:bottom w:val="single" w:sz="4" w:space="0" w:color="000000"/>
              <w:right w:val="nil"/>
            </w:tcBorders>
            <w:shd w:val="clear" w:color="auto" w:fill="auto"/>
            <w:vAlign w:val="bottom"/>
          </w:tcPr>
          <w:p w14:paraId="15027363" w14:textId="77777777" w:rsidR="008104F5" w:rsidRDefault="00AF1271">
            <w:pPr>
              <w:jc w:val="center"/>
              <w:rPr>
                <w:color w:val="000000"/>
              </w:rPr>
            </w:pPr>
            <w:r>
              <w:rPr>
                <w:color w:val="000000"/>
              </w:rPr>
              <w:t>Decision</w:t>
            </w:r>
          </w:p>
        </w:tc>
        <w:tc>
          <w:tcPr>
            <w:tcW w:w="903" w:type="dxa"/>
            <w:tcBorders>
              <w:top w:val="single" w:sz="4" w:space="0" w:color="000000"/>
              <w:left w:val="nil"/>
              <w:bottom w:val="single" w:sz="4" w:space="0" w:color="000000"/>
              <w:right w:val="nil"/>
            </w:tcBorders>
            <w:shd w:val="clear" w:color="auto" w:fill="auto"/>
            <w:vAlign w:val="bottom"/>
          </w:tcPr>
          <w:p w14:paraId="1A114AAC" w14:textId="77777777" w:rsidR="008104F5" w:rsidRDefault="00AF1271">
            <w:pPr>
              <w:jc w:val="center"/>
              <w:rPr>
                <w:color w:val="000000"/>
              </w:rPr>
            </w:pPr>
            <w:r>
              <w:rPr>
                <w:color w:val="000000"/>
              </w:rPr>
              <w:t>f</w:t>
            </w:r>
            <w:r>
              <w:rPr>
                <w:color w:val="000000"/>
                <w:vertAlign w:val="superscript"/>
              </w:rPr>
              <w:t>2</w:t>
            </w:r>
          </w:p>
        </w:tc>
        <w:tc>
          <w:tcPr>
            <w:tcW w:w="851" w:type="dxa"/>
            <w:tcBorders>
              <w:top w:val="single" w:sz="4" w:space="0" w:color="000000"/>
              <w:left w:val="nil"/>
              <w:bottom w:val="single" w:sz="4" w:space="0" w:color="000000"/>
              <w:right w:val="nil"/>
            </w:tcBorders>
            <w:shd w:val="clear" w:color="auto" w:fill="auto"/>
            <w:vAlign w:val="bottom"/>
          </w:tcPr>
          <w:p w14:paraId="246A7AAF" w14:textId="77777777" w:rsidR="008104F5" w:rsidRDefault="00AF1271">
            <w:pPr>
              <w:jc w:val="center"/>
              <w:rPr>
                <w:color w:val="000000"/>
              </w:rPr>
            </w:pPr>
            <w:r>
              <w:rPr>
                <w:color w:val="000000"/>
              </w:rPr>
              <w:t>VIF</w:t>
            </w:r>
          </w:p>
        </w:tc>
      </w:tr>
      <w:tr w:rsidR="008104F5" w14:paraId="4D8B4C86" w14:textId="77777777" w:rsidTr="00A62564">
        <w:trPr>
          <w:trHeight w:val="440"/>
        </w:trPr>
        <w:tc>
          <w:tcPr>
            <w:tcW w:w="810" w:type="dxa"/>
            <w:tcBorders>
              <w:top w:val="nil"/>
              <w:left w:val="nil"/>
              <w:bottom w:val="nil"/>
              <w:right w:val="nil"/>
            </w:tcBorders>
          </w:tcPr>
          <w:p w14:paraId="7A8AF631" w14:textId="77777777" w:rsidR="008104F5" w:rsidRDefault="00AF1271">
            <w:pPr>
              <w:jc w:val="left"/>
              <w:rPr>
                <w:color w:val="000000"/>
              </w:rPr>
            </w:pPr>
            <w:r>
              <w:rPr>
                <w:color w:val="000000"/>
              </w:rPr>
              <w:t>H1</w:t>
            </w:r>
          </w:p>
        </w:tc>
        <w:tc>
          <w:tcPr>
            <w:tcW w:w="2309" w:type="dxa"/>
            <w:tcBorders>
              <w:top w:val="nil"/>
              <w:left w:val="nil"/>
              <w:bottom w:val="nil"/>
              <w:right w:val="nil"/>
            </w:tcBorders>
            <w:shd w:val="clear" w:color="auto" w:fill="auto"/>
            <w:vAlign w:val="center"/>
          </w:tcPr>
          <w:p w14:paraId="4013AA8A" w14:textId="77777777" w:rsidR="008104F5" w:rsidRDefault="00AF1271">
            <w:pPr>
              <w:jc w:val="left"/>
              <w:rPr>
                <w:color w:val="000000"/>
              </w:rPr>
            </w:pPr>
            <w:r>
              <w:rPr>
                <w:color w:val="000000"/>
              </w:rPr>
              <w:t>Institutional Resources -&gt; ODL Sustainability</w:t>
            </w:r>
          </w:p>
        </w:tc>
        <w:tc>
          <w:tcPr>
            <w:tcW w:w="1276" w:type="dxa"/>
            <w:tcBorders>
              <w:top w:val="nil"/>
              <w:left w:val="nil"/>
              <w:bottom w:val="nil"/>
              <w:right w:val="nil"/>
            </w:tcBorders>
            <w:shd w:val="clear" w:color="auto" w:fill="auto"/>
            <w:vAlign w:val="bottom"/>
          </w:tcPr>
          <w:p w14:paraId="4D8249F9" w14:textId="77777777" w:rsidR="008104F5" w:rsidRDefault="00AF1271">
            <w:pPr>
              <w:jc w:val="center"/>
              <w:rPr>
                <w:color w:val="000000"/>
              </w:rPr>
            </w:pPr>
            <w:r>
              <w:rPr>
                <w:color w:val="000000"/>
              </w:rPr>
              <w:t>0.392</w:t>
            </w:r>
          </w:p>
        </w:tc>
        <w:tc>
          <w:tcPr>
            <w:tcW w:w="930" w:type="dxa"/>
            <w:tcBorders>
              <w:top w:val="nil"/>
              <w:left w:val="nil"/>
              <w:bottom w:val="nil"/>
              <w:right w:val="nil"/>
            </w:tcBorders>
            <w:shd w:val="clear" w:color="auto" w:fill="auto"/>
            <w:vAlign w:val="bottom"/>
          </w:tcPr>
          <w:p w14:paraId="1A5CA722" w14:textId="77777777" w:rsidR="008104F5" w:rsidRDefault="00AF1271">
            <w:pPr>
              <w:jc w:val="center"/>
              <w:rPr>
                <w:color w:val="000000"/>
              </w:rPr>
            </w:pPr>
            <w:r>
              <w:rPr>
                <w:color w:val="000000"/>
              </w:rPr>
              <w:t>4.839*</w:t>
            </w:r>
          </w:p>
        </w:tc>
        <w:tc>
          <w:tcPr>
            <w:tcW w:w="1285" w:type="dxa"/>
            <w:tcBorders>
              <w:top w:val="nil"/>
              <w:left w:val="nil"/>
              <w:bottom w:val="nil"/>
              <w:right w:val="nil"/>
            </w:tcBorders>
            <w:shd w:val="clear" w:color="auto" w:fill="auto"/>
            <w:vAlign w:val="bottom"/>
          </w:tcPr>
          <w:p w14:paraId="6F847660" w14:textId="77777777" w:rsidR="008104F5" w:rsidRDefault="00AF1271">
            <w:pPr>
              <w:jc w:val="center"/>
              <w:rPr>
                <w:color w:val="000000"/>
              </w:rPr>
            </w:pPr>
            <w:r>
              <w:rPr>
                <w:color w:val="000000"/>
              </w:rPr>
              <w:t>Supported</w:t>
            </w:r>
          </w:p>
        </w:tc>
        <w:tc>
          <w:tcPr>
            <w:tcW w:w="903" w:type="dxa"/>
            <w:tcBorders>
              <w:top w:val="nil"/>
              <w:left w:val="nil"/>
              <w:bottom w:val="nil"/>
              <w:right w:val="nil"/>
            </w:tcBorders>
            <w:shd w:val="clear" w:color="auto" w:fill="auto"/>
            <w:vAlign w:val="bottom"/>
          </w:tcPr>
          <w:p w14:paraId="47BE3577" w14:textId="77777777" w:rsidR="008104F5" w:rsidRDefault="00AF1271">
            <w:pPr>
              <w:jc w:val="center"/>
              <w:rPr>
                <w:color w:val="000000"/>
              </w:rPr>
            </w:pPr>
            <w:r>
              <w:rPr>
                <w:color w:val="000000"/>
              </w:rPr>
              <w:t>0.085</w:t>
            </w:r>
          </w:p>
        </w:tc>
        <w:tc>
          <w:tcPr>
            <w:tcW w:w="851" w:type="dxa"/>
            <w:tcBorders>
              <w:top w:val="nil"/>
              <w:left w:val="nil"/>
              <w:bottom w:val="nil"/>
              <w:right w:val="nil"/>
            </w:tcBorders>
            <w:shd w:val="clear" w:color="auto" w:fill="auto"/>
            <w:vAlign w:val="bottom"/>
          </w:tcPr>
          <w:p w14:paraId="6715E1FB" w14:textId="77777777" w:rsidR="008104F5" w:rsidRDefault="00AF1271">
            <w:pPr>
              <w:jc w:val="center"/>
              <w:rPr>
                <w:color w:val="000000"/>
              </w:rPr>
            </w:pPr>
            <w:r>
              <w:rPr>
                <w:color w:val="000000"/>
              </w:rPr>
              <w:t>2.831</w:t>
            </w:r>
          </w:p>
        </w:tc>
      </w:tr>
      <w:tr w:rsidR="008104F5" w14:paraId="0A1A1E63" w14:textId="77777777" w:rsidTr="00A62564">
        <w:trPr>
          <w:trHeight w:val="440"/>
        </w:trPr>
        <w:tc>
          <w:tcPr>
            <w:tcW w:w="810" w:type="dxa"/>
            <w:tcBorders>
              <w:top w:val="nil"/>
              <w:left w:val="nil"/>
              <w:bottom w:val="nil"/>
              <w:right w:val="nil"/>
            </w:tcBorders>
          </w:tcPr>
          <w:p w14:paraId="7403918F" w14:textId="77777777" w:rsidR="008104F5" w:rsidRDefault="00AF1271">
            <w:pPr>
              <w:jc w:val="left"/>
              <w:rPr>
                <w:color w:val="000000"/>
              </w:rPr>
            </w:pPr>
            <w:r>
              <w:rPr>
                <w:color w:val="000000"/>
              </w:rPr>
              <w:t>H2</w:t>
            </w:r>
          </w:p>
        </w:tc>
        <w:tc>
          <w:tcPr>
            <w:tcW w:w="2309" w:type="dxa"/>
            <w:tcBorders>
              <w:top w:val="nil"/>
              <w:left w:val="nil"/>
              <w:bottom w:val="nil"/>
              <w:right w:val="nil"/>
            </w:tcBorders>
            <w:shd w:val="clear" w:color="auto" w:fill="auto"/>
            <w:vAlign w:val="center"/>
          </w:tcPr>
          <w:p w14:paraId="47F415D5" w14:textId="77777777" w:rsidR="008104F5" w:rsidRDefault="00AF1271">
            <w:pPr>
              <w:jc w:val="left"/>
              <w:rPr>
                <w:color w:val="000000"/>
              </w:rPr>
            </w:pPr>
            <w:r>
              <w:rPr>
                <w:color w:val="000000"/>
              </w:rPr>
              <w:t>Technology Resources -&gt; ODL Sustainability</w:t>
            </w:r>
          </w:p>
        </w:tc>
        <w:tc>
          <w:tcPr>
            <w:tcW w:w="1276" w:type="dxa"/>
            <w:tcBorders>
              <w:top w:val="nil"/>
              <w:left w:val="nil"/>
              <w:bottom w:val="nil"/>
              <w:right w:val="nil"/>
            </w:tcBorders>
            <w:shd w:val="clear" w:color="auto" w:fill="auto"/>
            <w:vAlign w:val="bottom"/>
          </w:tcPr>
          <w:p w14:paraId="79F66205" w14:textId="77777777" w:rsidR="008104F5" w:rsidRDefault="00AF1271">
            <w:pPr>
              <w:jc w:val="center"/>
              <w:rPr>
                <w:color w:val="000000"/>
              </w:rPr>
            </w:pPr>
            <w:r>
              <w:rPr>
                <w:color w:val="000000"/>
              </w:rPr>
              <w:t>0.314</w:t>
            </w:r>
          </w:p>
        </w:tc>
        <w:tc>
          <w:tcPr>
            <w:tcW w:w="930" w:type="dxa"/>
            <w:tcBorders>
              <w:top w:val="nil"/>
              <w:left w:val="nil"/>
              <w:bottom w:val="nil"/>
              <w:right w:val="nil"/>
            </w:tcBorders>
            <w:shd w:val="clear" w:color="auto" w:fill="auto"/>
            <w:vAlign w:val="bottom"/>
          </w:tcPr>
          <w:p w14:paraId="7C1B4B41" w14:textId="77777777" w:rsidR="008104F5" w:rsidRDefault="00AF1271">
            <w:pPr>
              <w:jc w:val="center"/>
              <w:rPr>
                <w:color w:val="000000"/>
              </w:rPr>
            </w:pPr>
            <w:r>
              <w:rPr>
                <w:color w:val="000000"/>
              </w:rPr>
              <w:t>3.900*</w:t>
            </w:r>
          </w:p>
        </w:tc>
        <w:tc>
          <w:tcPr>
            <w:tcW w:w="1285" w:type="dxa"/>
            <w:tcBorders>
              <w:top w:val="nil"/>
              <w:left w:val="nil"/>
              <w:bottom w:val="nil"/>
              <w:right w:val="nil"/>
            </w:tcBorders>
            <w:shd w:val="clear" w:color="auto" w:fill="auto"/>
            <w:vAlign w:val="bottom"/>
          </w:tcPr>
          <w:p w14:paraId="3E22FD1E" w14:textId="77777777" w:rsidR="008104F5" w:rsidRDefault="00AF1271">
            <w:pPr>
              <w:jc w:val="center"/>
              <w:rPr>
                <w:color w:val="000000"/>
              </w:rPr>
            </w:pPr>
            <w:r>
              <w:rPr>
                <w:color w:val="000000"/>
              </w:rPr>
              <w:t>Supported</w:t>
            </w:r>
          </w:p>
        </w:tc>
        <w:tc>
          <w:tcPr>
            <w:tcW w:w="903" w:type="dxa"/>
            <w:tcBorders>
              <w:top w:val="nil"/>
              <w:left w:val="nil"/>
              <w:bottom w:val="nil"/>
              <w:right w:val="nil"/>
            </w:tcBorders>
            <w:shd w:val="clear" w:color="auto" w:fill="auto"/>
            <w:vAlign w:val="bottom"/>
          </w:tcPr>
          <w:p w14:paraId="5F552F27" w14:textId="77777777" w:rsidR="008104F5" w:rsidRDefault="00AF1271">
            <w:pPr>
              <w:jc w:val="center"/>
              <w:rPr>
                <w:color w:val="000000"/>
              </w:rPr>
            </w:pPr>
            <w:r>
              <w:rPr>
                <w:color w:val="000000"/>
              </w:rPr>
              <w:t>0.074</w:t>
            </w:r>
          </w:p>
        </w:tc>
        <w:tc>
          <w:tcPr>
            <w:tcW w:w="851" w:type="dxa"/>
            <w:tcBorders>
              <w:top w:val="nil"/>
              <w:left w:val="nil"/>
              <w:bottom w:val="nil"/>
              <w:right w:val="nil"/>
            </w:tcBorders>
            <w:shd w:val="clear" w:color="auto" w:fill="auto"/>
            <w:vAlign w:val="bottom"/>
          </w:tcPr>
          <w:p w14:paraId="61FEE167" w14:textId="77777777" w:rsidR="008104F5" w:rsidRDefault="00AF1271">
            <w:pPr>
              <w:jc w:val="center"/>
              <w:rPr>
                <w:color w:val="000000"/>
              </w:rPr>
            </w:pPr>
            <w:r>
              <w:rPr>
                <w:color w:val="000000"/>
              </w:rPr>
              <w:t>2.102</w:t>
            </w:r>
          </w:p>
        </w:tc>
      </w:tr>
      <w:tr w:rsidR="008104F5" w14:paraId="0D7B6EFC" w14:textId="77777777" w:rsidTr="00A62564">
        <w:trPr>
          <w:trHeight w:val="440"/>
        </w:trPr>
        <w:tc>
          <w:tcPr>
            <w:tcW w:w="810" w:type="dxa"/>
            <w:tcBorders>
              <w:top w:val="nil"/>
              <w:left w:val="nil"/>
              <w:bottom w:val="nil"/>
              <w:right w:val="nil"/>
            </w:tcBorders>
          </w:tcPr>
          <w:p w14:paraId="270C7A02" w14:textId="77777777" w:rsidR="008104F5" w:rsidRDefault="00AF1271">
            <w:pPr>
              <w:jc w:val="left"/>
              <w:rPr>
                <w:color w:val="000000"/>
              </w:rPr>
            </w:pPr>
            <w:r>
              <w:rPr>
                <w:color w:val="000000"/>
              </w:rPr>
              <w:t>H3</w:t>
            </w:r>
          </w:p>
        </w:tc>
        <w:tc>
          <w:tcPr>
            <w:tcW w:w="2309" w:type="dxa"/>
            <w:tcBorders>
              <w:top w:val="nil"/>
              <w:left w:val="nil"/>
              <w:bottom w:val="nil"/>
              <w:right w:val="nil"/>
            </w:tcBorders>
            <w:shd w:val="clear" w:color="auto" w:fill="auto"/>
            <w:vAlign w:val="center"/>
          </w:tcPr>
          <w:p w14:paraId="24B1617D" w14:textId="77777777" w:rsidR="008104F5" w:rsidRDefault="00AF1271">
            <w:pPr>
              <w:jc w:val="left"/>
              <w:rPr>
                <w:color w:val="000000"/>
              </w:rPr>
            </w:pPr>
            <w:r>
              <w:rPr>
                <w:color w:val="000000"/>
              </w:rPr>
              <w:t>Human Resources -&gt; ODL Sustainability</w:t>
            </w:r>
          </w:p>
        </w:tc>
        <w:tc>
          <w:tcPr>
            <w:tcW w:w="1276" w:type="dxa"/>
            <w:tcBorders>
              <w:top w:val="nil"/>
              <w:left w:val="nil"/>
              <w:bottom w:val="nil"/>
              <w:right w:val="nil"/>
            </w:tcBorders>
            <w:shd w:val="clear" w:color="auto" w:fill="auto"/>
            <w:vAlign w:val="bottom"/>
          </w:tcPr>
          <w:p w14:paraId="43F5CC2E" w14:textId="77777777" w:rsidR="008104F5" w:rsidRDefault="00AF1271">
            <w:pPr>
              <w:jc w:val="center"/>
              <w:rPr>
                <w:color w:val="000000"/>
              </w:rPr>
            </w:pPr>
            <w:r>
              <w:rPr>
                <w:color w:val="000000"/>
              </w:rPr>
              <w:t>0.092</w:t>
            </w:r>
          </w:p>
        </w:tc>
        <w:tc>
          <w:tcPr>
            <w:tcW w:w="930" w:type="dxa"/>
            <w:tcBorders>
              <w:top w:val="nil"/>
              <w:left w:val="nil"/>
              <w:bottom w:val="nil"/>
              <w:right w:val="nil"/>
            </w:tcBorders>
            <w:shd w:val="clear" w:color="auto" w:fill="auto"/>
            <w:vAlign w:val="bottom"/>
          </w:tcPr>
          <w:p w14:paraId="47A6DD66" w14:textId="77777777" w:rsidR="008104F5" w:rsidRDefault="00AF1271">
            <w:pPr>
              <w:jc w:val="center"/>
              <w:rPr>
                <w:color w:val="000000"/>
              </w:rPr>
            </w:pPr>
            <w:r>
              <w:rPr>
                <w:color w:val="000000"/>
              </w:rPr>
              <w:t>1.157</w:t>
            </w:r>
          </w:p>
        </w:tc>
        <w:tc>
          <w:tcPr>
            <w:tcW w:w="1285" w:type="dxa"/>
            <w:tcBorders>
              <w:top w:val="nil"/>
              <w:left w:val="nil"/>
              <w:bottom w:val="nil"/>
              <w:right w:val="nil"/>
            </w:tcBorders>
            <w:shd w:val="clear" w:color="auto" w:fill="auto"/>
            <w:vAlign w:val="bottom"/>
          </w:tcPr>
          <w:p w14:paraId="67885FFA" w14:textId="77777777" w:rsidR="008104F5" w:rsidRDefault="00AF1271">
            <w:pPr>
              <w:jc w:val="center"/>
              <w:rPr>
                <w:color w:val="000000"/>
              </w:rPr>
            </w:pPr>
            <w:r>
              <w:rPr>
                <w:color w:val="000000"/>
              </w:rPr>
              <w:t>Not supported</w:t>
            </w:r>
          </w:p>
        </w:tc>
        <w:tc>
          <w:tcPr>
            <w:tcW w:w="903" w:type="dxa"/>
            <w:tcBorders>
              <w:top w:val="nil"/>
              <w:left w:val="nil"/>
              <w:bottom w:val="nil"/>
              <w:right w:val="nil"/>
            </w:tcBorders>
            <w:shd w:val="clear" w:color="auto" w:fill="auto"/>
            <w:vAlign w:val="bottom"/>
          </w:tcPr>
          <w:p w14:paraId="75D6F66C" w14:textId="77777777" w:rsidR="008104F5" w:rsidRDefault="00AF1271">
            <w:pPr>
              <w:jc w:val="center"/>
              <w:rPr>
                <w:color w:val="000000"/>
              </w:rPr>
            </w:pPr>
            <w:r>
              <w:rPr>
                <w:color w:val="000000"/>
              </w:rPr>
              <w:t>0.006</w:t>
            </w:r>
          </w:p>
        </w:tc>
        <w:tc>
          <w:tcPr>
            <w:tcW w:w="851" w:type="dxa"/>
            <w:tcBorders>
              <w:top w:val="nil"/>
              <w:left w:val="nil"/>
              <w:bottom w:val="nil"/>
              <w:right w:val="nil"/>
            </w:tcBorders>
            <w:shd w:val="clear" w:color="auto" w:fill="auto"/>
            <w:vAlign w:val="bottom"/>
          </w:tcPr>
          <w:p w14:paraId="52B8900F" w14:textId="77777777" w:rsidR="008104F5" w:rsidRDefault="00AF1271">
            <w:pPr>
              <w:jc w:val="center"/>
              <w:rPr>
                <w:color w:val="000000"/>
              </w:rPr>
            </w:pPr>
            <w:r>
              <w:rPr>
                <w:color w:val="000000"/>
              </w:rPr>
              <w:t>2.076</w:t>
            </w:r>
          </w:p>
        </w:tc>
      </w:tr>
      <w:tr w:rsidR="008104F5" w14:paraId="32597888" w14:textId="77777777" w:rsidTr="00A62564">
        <w:trPr>
          <w:trHeight w:val="440"/>
        </w:trPr>
        <w:tc>
          <w:tcPr>
            <w:tcW w:w="810" w:type="dxa"/>
            <w:tcBorders>
              <w:top w:val="nil"/>
              <w:left w:val="nil"/>
              <w:bottom w:val="single" w:sz="4" w:space="0" w:color="000000"/>
              <w:right w:val="nil"/>
            </w:tcBorders>
          </w:tcPr>
          <w:p w14:paraId="535D83BA" w14:textId="77777777" w:rsidR="008104F5" w:rsidRDefault="00AF1271">
            <w:pPr>
              <w:jc w:val="left"/>
              <w:rPr>
                <w:color w:val="000000"/>
              </w:rPr>
            </w:pPr>
            <w:r>
              <w:rPr>
                <w:color w:val="000000"/>
              </w:rPr>
              <w:t>H4</w:t>
            </w:r>
          </w:p>
        </w:tc>
        <w:tc>
          <w:tcPr>
            <w:tcW w:w="2309" w:type="dxa"/>
            <w:tcBorders>
              <w:top w:val="nil"/>
              <w:left w:val="nil"/>
              <w:bottom w:val="single" w:sz="4" w:space="0" w:color="000000"/>
              <w:right w:val="nil"/>
            </w:tcBorders>
            <w:shd w:val="clear" w:color="auto" w:fill="auto"/>
            <w:vAlign w:val="center"/>
          </w:tcPr>
          <w:p w14:paraId="459349AA" w14:textId="77777777" w:rsidR="008104F5" w:rsidRDefault="00AF1271">
            <w:pPr>
              <w:jc w:val="left"/>
              <w:rPr>
                <w:color w:val="000000"/>
              </w:rPr>
            </w:pPr>
            <w:r>
              <w:rPr>
                <w:color w:val="000000"/>
              </w:rPr>
              <w:t>Institutional Isomorphism -&gt; ODL Sustainability</w:t>
            </w:r>
          </w:p>
        </w:tc>
        <w:tc>
          <w:tcPr>
            <w:tcW w:w="1276" w:type="dxa"/>
            <w:tcBorders>
              <w:top w:val="nil"/>
              <w:left w:val="nil"/>
              <w:bottom w:val="single" w:sz="4" w:space="0" w:color="000000"/>
              <w:right w:val="nil"/>
            </w:tcBorders>
            <w:shd w:val="clear" w:color="auto" w:fill="auto"/>
            <w:vAlign w:val="bottom"/>
          </w:tcPr>
          <w:p w14:paraId="3E7DE975" w14:textId="77777777" w:rsidR="008104F5" w:rsidRDefault="00AF1271">
            <w:pPr>
              <w:jc w:val="center"/>
              <w:rPr>
                <w:color w:val="000000"/>
              </w:rPr>
            </w:pPr>
            <w:r>
              <w:rPr>
                <w:color w:val="000000"/>
              </w:rPr>
              <w:t>0.073</w:t>
            </w:r>
          </w:p>
        </w:tc>
        <w:tc>
          <w:tcPr>
            <w:tcW w:w="930" w:type="dxa"/>
            <w:tcBorders>
              <w:top w:val="nil"/>
              <w:left w:val="nil"/>
              <w:bottom w:val="single" w:sz="4" w:space="0" w:color="000000"/>
              <w:right w:val="nil"/>
            </w:tcBorders>
            <w:shd w:val="clear" w:color="auto" w:fill="auto"/>
            <w:vAlign w:val="bottom"/>
          </w:tcPr>
          <w:p w14:paraId="7F71FA27" w14:textId="77777777" w:rsidR="008104F5" w:rsidRDefault="00AF1271">
            <w:pPr>
              <w:jc w:val="center"/>
              <w:rPr>
                <w:color w:val="000000"/>
              </w:rPr>
            </w:pPr>
            <w:r>
              <w:rPr>
                <w:color w:val="000000"/>
              </w:rPr>
              <w:t>0.741</w:t>
            </w:r>
          </w:p>
        </w:tc>
        <w:tc>
          <w:tcPr>
            <w:tcW w:w="1285" w:type="dxa"/>
            <w:tcBorders>
              <w:top w:val="nil"/>
              <w:left w:val="nil"/>
              <w:bottom w:val="single" w:sz="4" w:space="0" w:color="000000"/>
              <w:right w:val="nil"/>
            </w:tcBorders>
            <w:shd w:val="clear" w:color="auto" w:fill="auto"/>
            <w:vAlign w:val="bottom"/>
          </w:tcPr>
          <w:p w14:paraId="5296A367" w14:textId="77777777" w:rsidR="008104F5" w:rsidRDefault="00AF1271">
            <w:pPr>
              <w:jc w:val="center"/>
              <w:rPr>
                <w:color w:val="000000"/>
              </w:rPr>
            </w:pPr>
            <w:r>
              <w:rPr>
                <w:color w:val="000000"/>
              </w:rPr>
              <w:t>Not supported</w:t>
            </w:r>
          </w:p>
        </w:tc>
        <w:tc>
          <w:tcPr>
            <w:tcW w:w="903" w:type="dxa"/>
            <w:tcBorders>
              <w:top w:val="nil"/>
              <w:left w:val="nil"/>
              <w:bottom w:val="single" w:sz="4" w:space="0" w:color="000000"/>
              <w:right w:val="nil"/>
            </w:tcBorders>
            <w:shd w:val="clear" w:color="auto" w:fill="auto"/>
            <w:vAlign w:val="bottom"/>
          </w:tcPr>
          <w:p w14:paraId="78077C5C" w14:textId="77777777" w:rsidR="008104F5" w:rsidRDefault="00AF1271">
            <w:pPr>
              <w:jc w:val="center"/>
              <w:rPr>
                <w:color w:val="000000"/>
              </w:rPr>
            </w:pPr>
            <w:r>
              <w:rPr>
                <w:color w:val="000000"/>
              </w:rPr>
              <w:t>0.008</w:t>
            </w:r>
          </w:p>
        </w:tc>
        <w:tc>
          <w:tcPr>
            <w:tcW w:w="851" w:type="dxa"/>
            <w:tcBorders>
              <w:top w:val="nil"/>
              <w:left w:val="nil"/>
              <w:bottom w:val="single" w:sz="4" w:space="0" w:color="000000"/>
              <w:right w:val="nil"/>
            </w:tcBorders>
            <w:shd w:val="clear" w:color="auto" w:fill="auto"/>
            <w:vAlign w:val="bottom"/>
          </w:tcPr>
          <w:p w14:paraId="523ABC5F" w14:textId="77777777" w:rsidR="008104F5" w:rsidRDefault="00AF1271">
            <w:pPr>
              <w:jc w:val="center"/>
              <w:rPr>
                <w:color w:val="000000"/>
              </w:rPr>
            </w:pPr>
            <w:r>
              <w:rPr>
                <w:color w:val="000000"/>
              </w:rPr>
              <w:t>1.027</w:t>
            </w:r>
          </w:p>
        </w:tc>
      </w:tr>
    </w:tbl>
    <w:p w14:paraId="2D71C217" w14:textId="77777777" w:rsidR="008104F5" w:rsidRDefault="00AF1271">
      <w:pPr>
        <w:spacing w:after="160" w:line="360" w:lineRule="auto"/>
        <w:jc w:val="left"/>
      </w:pPr>
      <w:r>
        <w:t>* Significant at 0.05% (one-tailed)</w:t>
      </w:r>
    </w:p>
    <w:p w14:paraId="002FA72E" w14:textId="77777777" w:rsidR="008104F5" w:rsidRDefault="00AF1271">
      <w:pPr>
        <w:ind w:firstLine="720"/>
        <w:jc w:val="center"/>
        <w:rPr>
          <w:b/>
        </w:rPr>
      </w:pPr>
      <w:bookmarkStart w:id="24" w:name="_heading=h.48pi1tg" w:colFirst="0" w:colLast="0"/>
      <w:bookmarkEnd w:id="24"/>
      <w:commentRangeStart w:id="25"/>
      <w:r>
        <w:rPr>
          <w:b/>
        </w:rPr>
        <w:t>Discussions</w:t>
      </w:r>
      <w:commentRangeEnd w:id="25"/>
      <w:r w:rsidR="004B62BA">
        <w:rPr>
          <w:rStyle w:val="CommentReference"/>
        </w:rPr>
        <w:commentReference w:id="25"/>
      </w:r>
    </w:p>
    <w:p w14:paraId="3F2D3361" w14:textId="75B07145" w:rsidR="008104F5" w:rsidRDefault="00AF1271" w:rsidP="000A4091">
      <w:pPr>
        <w:ind w:firstLine="720"/>
        <w:jc w:val="left"/>
      </w:pPr>
      <w:r>
        <w:t xml:space="preserve">Based on the study's results, institutional resources </w:t>
      </w:r>
      <w:r w:rsidR="00AC2408">
        <w:t xml:space="preserve">are </w:t>
      </w:r>
      <w:r w:rsidR="00C76F88">
        <w:t xml:space="preserve">a </w:t>
      </w:r>
      <w:r>
        <w:t xml:space="preserve">critical factor contributing toward ODL sustainability. </w:t>
      </w:r>
      <w:r w:rsidR="00AC2408">
        <w:t xml:space="preserve">Thus, </w:t>
      </w:r>
      <w:r>
        <w:t>the university's management must provide</w:t>
      </w:r>
      <w:r w:rsidR="005F491B">
        <w:t xml:space="preserve"> </w:t>
      </w:r>
      <w:r>
        <w:t xml:space="preserve">learner support </w:t>
      </w:r>
      <w:r w:rsidR="00C76F88">
        <w:t>services</w:t>
      </w:r>
      <w:r>
        <w:t xml:space="preserve"> during ODL, which could involve updating or redesigning the teaching and learning process to align with ODL practices. With institutional support, reducing disruption in the ODL learning process across departmental teams is possible. Universities and faculties should aggressively adopt ODL best practices from other local and worldwide educational institutions to be used as a success benchmark. Instilling the new concepts of flexibility, timeliness, and attentiveness in teaching and learning can assist ODL in being successful. Collaborative ODL-related activities supported by the institutions will also help sustain ODL </w:t>
      </w:r>
      <w:r>
        <w:lastRenderedPageBreak/>
        <w:t>practice throughout and after the pandemic period of COVID-19. Besides, collaborative ODL-related activities also have the potential to improve the university's competitive standing while also expanding access options for students and educators.</w:t>
      </w:r>
    </w:p>
    <w:p w14:paraId="4418D566" w14:textId="5CFD8240" w:rsidR="008104F5" w:rsidRDefault="00AF1271" w:rsidP="000A4091">
      <w:pPr>
        <w:ind w:firstLine="720"/>
        <w:jc w:val="left"/>
      </w:pPr>
      <w:r>
        <w:t xml:space="preserve">The study's results also </w:t>
      </w:r>
      <w:r w:rsidR="005F491B">
        <w:t>suggest</w:t>
      </w:r>
      <w:r>
        <w:t xml:space="preserve"> that the availability of technolog</w:t>
      </w:r>
      <w:r w:rsidR="00F43FF4">
        <w:t>y</w:t>
      </w:r>
      <w:r>
        <w:t xml:space="preserve"> resources is critical for the long-term viability of ODL. When a university or faculty is equipped with </w:t>
      </w:r>
      <w:r w:rsidR="0081483B">
        <w:t xml:space="preserve">the </w:t>
      </w:r>
      <w:r>
        <w:t>necessary technolog</w:t>
      </w:r>
      <w:r w:rsidR="00F43FF4">
        <w:t>y</w:t>
      </w:r>
      <w:r>
        <w:t xml:space="preserve"> resources (technical people, infrastructure, and facilities), it can support Education 4.0 and 5.0 directions in ODL. In order to guarantee that all information is adequately shared, the university's management should ultimately support the integrated information management system for ODL (students database, administration, marketing, and sales). </w:t>
      </w:r>
    </w:p>
    <w:p w14:paraId="07BF8505" w14:textId="2D49B781" w:rsidR="008104F5" w:rsidRDefault="00AF1271" w:rsidP="000A4091">
      <w:pPr>
        <w:ind w:firstLine="720"/>
        <w:jc w:val="left"/>
      </w:pPr>
      <w:r>
        <w:t xml:space="preserve">Besides, the learning management system and access to online or digital teaching and learning materials for ODL should be maintained and updated regularly. Another essential aspect that should be considered is ensuring that students and educators possess suitable equipment to facilitate the teaching and learning process. For instance, students should have at least a basic gadget (for example, a desktop computer or laptop) that would provide them easy access to teaching and learning materials, </w:t>
      </w:r>
      <w:r w:rsidR="00725550">
        <w:t>attend</w:t>
      </w:r>
      <w:r>
        <w:t xml:space="preserve"> online lectures, and </w:t>
      </w:r>
      <w:r w:rsidR="00725550">
        <w:t>prepare</w:t>
      </w:r>
      <w:r>
        <w:t xml:space="preserve"> their assignments. According to </w:t>
      </w:r>
      <w:proofErr w:type="spellStart"/>
      <w:r>
        <w:t>Rudhumbu</w:t>
      </w:r>
      <w:proofErr w:type="spellEnd"/>
      <w:r>
        <w:t xml:space="preserve"> (2021), technologies significantly support distance education during COVID-19. Using technological support became a cultural and social norm during the pandemic (</w:t>
      </w:r>
      <w:proofErr w:type="spellStart"/>
      <w:r>
        <w:t>Rudhumbu</w:t>
      </w:r>
      <w:proofErr w:type="spellEnd"/>
      <w:r>
        <w:t>, 2021), and lecturers were forced to create innovative e-learning (</w:t>
      </w:r>
      <w:proofErr w:type="spellStart"/>
      <w:r>
        <w:t>Prasetyo</w:t>
      </w:r>
      <w:proofErr w:type="spellEnd"/>
      <w:r>
        <w:t xml:space="preserve"> et al., 2021). The sustainability of ODL will improve the quality of teaching and learning </w:t>
      </w:r>
      <w:r w:rsidR="005F491B">
        <w:t>if</w:t>
      </w:r>
      <w:r>
        <w:t xml:space="preserve"> educators employ an attractive and innovative platform that improves student performance. </w:t>
      </w:r>
    </w:p>
    <w:p w14:paraId="595ED7EC" w14:textId="5F23A981" w:rsidR="008104F5" w:rsidRDefault="005F491B" w:rsidP="000A4091">
      <w:pPr>
        <w:ind w:firstLine="720"/>
        <w:jc w:val="left"/>
      </w:pPr>
      <w:r>
        <w:t xml:space="preserve">The results of this study suggest </w:t>
      </w:r>
      <w:r w:rsidR="00AF1271">
        <w:t xml:space="preserve">that the institutional and technology resources substantially impact ODL sustainability, requiring all institutions to keep up with technological advances and swiftly adjust to a new norm in the educational environment. </w:t>
      </w:r>
      <w:r w:rsidR="00AF1271">
        <w:lastRenderedPageBreak/>
        <w:t>Thus, for a sustainable ODL to be successful, it is critical to</w:t>
      </w:r>
      <w:r>
        <w:t xml:space="preserve"> ensure that</w:t>
      </w:r>
      <w:r w:rsidR="00AF1271">
        <w:t xml:space="preserve"> educators are the experts within </w:t>
      </w:r>
      <w:r>
        <w:t>the</w:t>
      </w:r>
      <w:r w:rsidR="00AF1271">
        <w:t xml:space="preserve"> system (Casey, 2008).  Santoso and Lestari (2019), asserted that information and communication technology literacy is the crucial component and foundation of the education sector during unprecedented times. Students with high technology literacy can gain numerous benefits, among which is the ease of procuring diverse learning sources to enhance their competence in learning. Nevertheless, students with inadequate technology literacy will struggle to study, particularly through ODL (</w:t>
      </w:r>
      <w:proofErr w:type="spellStart"/>
      <w:r w:rsidR="00AF1271">
        <w:t>Siron</w:t>
      </w:r>
      <w:proofErr w:type="spellEnd"/>
      <w:r w:rsidR="00AF1271">
        <w:t xml:space="preserve"> et al., 2020). Knowledge of technological equipment and fundamental abilities in operating technology are crucial technical literacy that fosters the creation of a highly successful ODL environment. In order to apply ODL more successfully, basic technological literacy in the usage of technology systems must be taught and increased. </w:t>
      </w:r>
    </w:p>
    <w:p w14:paraId="268E6109" w14:textId="77777777" w:rsidR="008104F5" w:rsidRDefault="00AF1271" w:rsidP="000A4091">
      <w:pPr>
        <w:ind w:firstLine="720"/>
        <w:jc w:val="left"/>
      </w:pPr>
      <w:r>
        <w:t xml:space="preserve">The findings indicate that human resources insignificantly influence ODL sustainability. A mean score of 3.9 showed that the educators slightly agree that their university has provided sufficient training and enrichment programs to enhance their professionalism and ODL teaching competence. The management requires pertinent information to assist their staff and maintain the operations of their institutions. Unfortunately, organizations are typically unprepared to cope with crises when they arise, which contributes to considerable difficulties in providing adequate support to educators (Wang et al., 2009; </w:t>
      </w:r>
      <w:proofErr w:type="spellStart"/>
      <w:r>
        <w:t>Hamouche</w:t>
      </w:r>
      <w:proofErr w:type="spellEnd"/>
      <w:r>
        <w:t xml:space="preserve">, 2021). Therefore, the present study's findings are in line with the findings where educators indicated that most of the management in universities are not ready and not able to provide educators with sufficient training for ODL teaching. </w:t>
      </w:r>
    </w:p>
    <w:p w14:paraId="3F2D6A1D" w14:textId="7B54DCA2" w:rsidR="008104F5" w:rsidRDefault="00AF1271" w:rsidP="000A4091">
      <w:pPr>
        <w:ind w:firstLine="720"/>
        <w:jc w:val="left"/>
      </w:pPr>
      <w:r>
        <w:t xml:space="preserve">Since ODL is a new norm for most universities in Malaysia, the management is also struggling to find ways and make efforts to ensure that educators can effectively and efficiently shift from face-to-face sessions to ODL teaching and learning approaches. Most organizations are facing this scenario because they are unable to offer their employees </w:t>
      </w:r>
      <w:r>
        <w:lastRenderedPageBreak/>
        <w:t>sufficient information about their management strategy or their responses to the pandemic (</w:t>
      </w:r>
      <w:proofErr w:type="spellStart"/>
      <w:r>
        <w:t>Elsafty</w:t>
      </w:r>
      <w:proofErr w:type="spellEnd"/>
      <w:r>
        <w:t xml:space="preserve"> &amp; </w:t>
      </w:r>
      <w:proofErr w:type="spellStart"/>
      <w:r>
        <w:t>Ragheb</w:t>
      </w:r>
      <w:proofErr w:type="spellEnd"/>
      <w:r>
        <w:t xml:space="preserve">, 2020). Although this unpreparedness is to be anticipated, universities should be able to plan and distribute resources, coordinate the necessary mechanisms, and make effective use of organizational resources and </w:t>
      </w:r>
      <w:r w:rsidRPr="002E0EAC">
        <w:rPr>
          <w:color w:val="000000" w:themeColor="text1"/>
        </w:rPr>
        <w:t>expertise (Li</w:t>
      </w:r>
      <w:r w:rsidR="002E0EAC" w:rsidRPr="002E0EAC">
        <w:rPr>
          <w:color w:val="000000" w:themeColor="text1"/>
        </w:rPr>
        <w:t>u</w:t>
      </w:r>
      <w:r w:rsidRPr="002E0EAC">
        <w:rPr>
          <w:color w:val="000000" w:themeColor="text1"/>
        </w:rPr>
        <w:t xml:space="preserve"> et al., 2020). </w:t>
      </w:r>
      <w:r>
        <w:t xml:space="preserve">Universities must also have explicit workplace norms during ODL to prevent stress and boost educators' confidence and motivation in completing their jobs (Wong et al., 2020). If universities fail to be prepared, the sustainability of ODL will be threatened and fall short of the expectation of both students and educators. </w:t>
      </w:r>
    </w:p>
    <w:p w14:paraId="4C4CBE30" w14:textId="74D55962" w:rsidR="008104F5" w:rsidRDefault="00AF1271" w:rsidP="000A4091">
      <w:pPr>
        <w:ind w:firstLine="720"/>
        <w:jc w:val="left"/>
      </w:pPr>
      <w:r>
        <w:t xml:space="preserve">During the COVID-19 pandemic, the university or faculty should implement less formal bureaucracy and exert trust for the educators to conduct ODL activities. The effectiveness of a remote working environment is also dependent on </w:t>
      </w:r>
      <w:r w:rsidR="00B56FC4">
        <w:t>management’s</w:t>
      </w:r>
      <w:r>
        <w:t xml:space="preserve"> understanding of virtual employee monitoring</w:t>
      </w:r>
      <w:r w:rsidR="005A5829">
        <w:t xml:space="preserve"> (</w:t>
      </w:r>
      <w:proofErr w:type="spellStart"/>
      <w:r w:rsidR="00F931C7">
        <w:t>Adisa</w:t>
      </w:r>
      <w:proofErr w:type="spellEnd"/>
      <w:r w:rsidR="005A5829">
        <w:t xml:space="preserve"> et al.,</w:t>
      </w:r>
      <w:r w:rsidR="00701A87">
        <w:t xml:space="preserve"> </w:t>
      </w:r>
      <w:r w:rsidR="005A5829">
        <w:t>2020)</w:t>
      </w:r>
      <w:r>
        <w:t xml:space="preserve">. The university or faculty should also implement good governance to minimize conflicts that arise during the ODL implementation and be committed to disseminating the information with regard to ODL to all academic and non-academic staff. </w:t>
      </w:r>
    </w:p>
    <w:p w14:paraId="3729279B" w14:textId="77777777" w:rsidR="008104F5" w:rsidRDefault="00AF1271" w:rsidP="000A4091">
      <w:pPr>
        <w:ind w:firstLine="720"/>
        <w:jc w:val="left"/>
      </w:pPr>
      <w:r>
        <w:t xml:space="preserve">According to </w:t>
      </w:r>
      <w:proofErr w:type="spellStart"/>
      <w:r>
        <w:t>Elsafty</w:t>
      </w:r>
      <w:proofErr w:type="spellEnd"/>
      <w:r>
        <w:t xml:space="preserve"> and </w:t>
      </w:r>
      <w:proofErr w:type="spellStart"/>
      <w:r>
        <w:t>Ragheb</w:t>
      </w:r>
      <w:proofErr w:type="spellEnd"/>
      <w:r>
        <w:t xml:space="preserve"> (2020), access to up-to-date information on the pandemic is highly correlated with employee retention. Nevertheless, owing to the unusual nature of this pandemic, this situation may be challenging to accomplish if organizations are unable to get this information, particularly while they are in a reactionary and survival mode. The educators are still transitioning from face-to-face to ODL mode. Thus, most educators face numerous challenges and difficulties adapting to this new norm. The management also does not provide strong support for human resources since most universities also lack experience conducting ODL mode. Remote working may lead to employee isolation owing to a lack of interaction among employees, peer guidance, and one-on-one communication, all of which may be causes of stress that may jeopardize educators' mental health (Prasad &amp; </w:t>
      </w:r>
      <w:r>
        <w:lastRenderedPageBreak/>
        <w:t>Vaidya, 2020). It may also be mentally taxing for educators due to the possibility of family distractions and the numerous responsibilities they play when working from home (Prasad &amp; Vaidya, 2020).</w:t>
      </w:r>
    </w:p>
    <w:p w14:paraId="40E13BED" w14:textId="77777777" w:rsidR="008104F5" w:rsidRDefault="00AF1271" w:rsidP="000A4091">
      <w:pPr>
        <w:ind w:firstLine="720"/>
        <w:jc w:val="left"/>
      </w:pPr>
      <w:r>
        <w:t xml:space="preserve">Based on the findings, the educators perceived that institutional isomorphism insignificantly influences ODL sustainability. The educators perceived that meeting renowned benchmarks of universities and complying with regulatory practices for audits and external assessments are not the main elements that could contribute toward ODL sustainability. This finding is in line with a study by Vidal and Ferreira (2020). They indicated that international university rankings should not be used as a reliable indicator of the quality of a university and provide future direction on ODL sustainability. </w:t>
      </w:r>
    </w:p>
    <w:p w14:paraId="1BC4CC0A" w14:textId="60FEA888" w:rsidR="008104F5" w:rsidRDefault="00AF1271" w:rsidP="00725550">
      <w:pPr>
        <w:ind w:firstLine="720"/>
        <w:jc w:val="left"/>
      </w:pPr>
      <w:r>
        <w:t>Universities should provide trustworthy and reliable information to stakeholders in order to gain a competitive advantage. Several studies (</w:t>
      </w:r>
      <w:proofErr w:type="spellStart"/>
      <w:r>
        <w:t>Erkkilä</w:t>
      </w:r>
      <w:proofErr w:type="spellEnd"/>
      <w:r>
        <w:t xml:space="preserve"> &amp; </w:t>
      </w:r>
      <w:proofErr w:type="spellStart"/>
      <w:r>
        <w:t>Piironen</w:t>
      </w:r>
      <w:proofErr w:type="spellEnd"/>
      <w:r>
        <w:t xml:space="preserve">, 2014; </w:t>
      </w:r>
      <w:proofErr w:type="spellStart"/>
      <w:r>
        <w:t>Yudkevich</w:t>
      </w:r>
      <w:proofErr w:type="spellEnd"/>
      <w:r>
        <w:t xml:space="preserve"> et al., 2015) discovered that isomorphic pressure </w:t>
      </w:r>
      <w:r w:rsidR="00CE404E">
        <w:t>affects</w:t>
      </w:r>
      <w:r>
        <w:t xml:space="preserve"> rankings in Europe, North America, and East Asia, which contradicts this finding. It is pointless to adopt similar structures, approaches, and processes with other worldwide educational institutions since contexts, locations, sizes, and cultures operate differently. When comparing themselves to others, universities should consider the scope for comparison, the proper techniques of comparison, and the structures that best support their operations (Inglis, 2005). </w:t>
      </w:r>
    </w:p>
    <w:p w14:paraId="235CF9DB" w14:textId="7702329D" w:rsidR="008104F5" w:rsidRDefault="00AF1271" w:rsidP="00725550">
      <w:pPr>
        <w:ind w:firstLine="720"/>
        <w:jc w:val="center"/>
        <w:rPr>
          <w:b/>
        </w:rPr>
      </w:pPr>
      <w:commentRangeStart w:id="26"/>
      <w:r>
        <w:rPr>
          <w:b/>
        </w:rPr>
        <w:t xml:space="preserve">Conclusion </w:t>
      </w:r>
      <w:commentRangeEnd w:id="26"/>
      <w:r w:rsidR="004B62BA">
        <w:rPr>
          <w:rStyle w:val="CommentReference"/>
        </w:rPr>
        <w:commentReference w:id="26"/>
      </w:r>
      <w:r>
        <w:rPr>
          <w:b/>
        </w:rPr>
        <w:t>and Recommendation</w:t>
      </w:r>
      <w:r w:rsidR="005F491B">
        <w:rPr>
          <w:b/>
        </w:rPr>
        <w:t>s</w:t>
      </w:r>
    </w:p>
    <w:p w14:paraId="6F62CC50" w14:textId="227C28B3" w:rsidR="008104F5" w:rsidRDefault="00AF1271" w:rsidP="00725550">
      <w:pPr>
        <w:ind w:firstLine="720"/>
        <w:jc w:val="left"/>
        <w:rPr>
          <w:b/>
        </w:rPr>
      </w:pPr>
      <w:r>
        <w:t xml:space="preserve">The findings of the present study indicate that institutional and technology resources contribute significantly to sustaining ODL practices. In contrast, human resources and institutional isomorphism do not substantially impact ODL sustainability. The emergence of ODL creates a challenge for HEIs, particularly for educators. Thus, a solid understanding of management capabilities and institutional isomorphism will help the management of HEIs to implement better strategies for sustaining effective ODL implementation in the future. </w:t>
      </w:r>
      <w:r>
        <w:lastRenderedPageBreak/>
        <w:t xml:space="preserve">Normalizing the emergence of ODL is not easy and requires good strategic planning to facilitate ODL implementation. According to the findings of this study, new knowledge is expected to emerge in supporting the implementation of ODL, especially to foster the emergence of innovative learning and knowledge-creating communities. In addition, HEIs must consider working, learning, and innovating as complementary forces to ensure long-term sustainability in an educational institution despite various challenges due to the COVID-19 pandemic. With dynamic management capabilities and institutional isomorphism, the ODL practice and knowledge management during the COVID-19 crisis could be shared between institutions. The management of HEIs could identify the value-added activities and remove the non-value activities of ODL during the COVID-19 crisis as indicators for better strategic control in the future, thus providing the institutions with a competitive advantage.  </w:t>
      </w:r>
      <w:bookmarkStart w:id="27" w:name="_heading=h.r5jmoiqygy9j" w:colFirst="0" w:colLast="0"/>
      <w:bookmarkEnd w:id="27"/>
    </w:p>
    <w:p w14:paraId="3C4509D5" w14:textId="668215B9" w:rsidR="008104F5" w:rsidRDefault="000A4091" w:rsidP="00C76F88">
      <w:pPr>
        <w:ind w:firstLine="720"/>
        <w:jc w:val="center"/>
        <w:rPr>
          <w:b/>
          <w:color w:val="000000"/>
        </w:rPr>
      </w:pPr>
      <w:r>
        <w:rPr>
          <w:b/>
        </w:rPr>
        <w:t>Acknowledgements</w:t>
      </w:r>
    </w:p>
    <w:p w14:paraId="492DBA0C" w14:textId="68118460" w:rsidR="008104F5" w:rsidRDefault="00AF1271" w:rsidP="000A4091">
      <w:pPr>
        <w:ind w:firstLine="720"/>
        <w:jc w:val="left"/>
      </w:pPr>
      <w:r>
        <w:t xml:space="preserve">The author gratefully acknowledges the contribution of </w:t>
      </w:r>
      <w:proofErr w:type="spellStart"/>
      <w:r>
        <w:t>Universiti</w:t>
      </w:r>
      <w:proofErr w:type="spellEnd"/>
      <w:r>
        <w:t xml:space="preserve"> </w:t>
      </w:r>
      <w:proofErr w:type="spellStart"/>
      <w:r>
        <w:t>Teknologi</w:t>
      </w:r>
      <w:proofErr w:type="spellEnd"/>
      <w:r>
        <w:t xml:space="preserve"> MARA</w:t>
      </w:r>
      <w:r w:rsidR="00AF1EBC">
        <w:t xml:space="preserve"> </w:t>
      </w:r>
      <w:proofErr w:type="spellStart"/>
      <w:r w:rsidR="00AF1EBC">
        <w:t>Cawangan</w:t>
      </w:r>
      <w:proofErr w:type="spellEnd"/>
      <w:r w:rsidR="00AF1EBC">
        <w:t xml:space="preserve"> </w:t>
      </w:r>
      <w:r>
        <w:t>Selangor</w:t>
      </w:r>
      <w:r w:rsidR="00AF1EBC">
        <w:t xml:space="preserve"> </w:t>
      </w:r>
      <w:proofErr w:type="spellStart"/>
      <w:r w:rsidR="00AF1EBC">
        <w:t>Kampus</w:t>
      </w:r>
      <w:proofErr w:type="spellEnd"/>
      <w:r>
        <w:t xml:space="preserve"> </w:t>
      </w:r>
      <w:proofErr w:type="spellStart"/>
      <w:r>
        <w:t>Puncak</w:t>
      </w:r>
      <w:proofErr w:type="spellEnd"/>
      <w:r>
        <w:t xml:space="preserve"> </w:t>
      </w:r>
      <w:proofErr w:type="spellStart"/>
      <w:r>
        <w:t>Alam</w:t>
      </w:r>
      <w:proofErr w:type="spellEnd"/>
      <w:r>
        <w:t xml:space="preserve"> for funding this research under the LESTARI </w:t>
      </w:r>
      <w:r w:rsidR="00AF1EBC">
        <w:t xml:space="preserve">COVID-19 </w:t>
      </w:r>
      <w:r>
        <w:t>grant.  We also thank all the research subjects who participated extensively in th</w:t>
      </w:r>
      <w:r w:rsidR="006874D7">
        <w:t>is</w:t>
      </w:r>
      <w:r>
        <w:t xml:space="preserve"> research, as well as colleagues, family, and friends for their support and guidance</w:t>
      </w:r>
      <w:r w:rsidR="00AF1EBC">
        <w:t>,</w:t>
      </w:r>
      <w:r>
        <w:t xml:space="preserve"> which contributed greatly to the quality of this study.</w:t>
      </w:r>
    </w:p>
    <w:p w14:paraId="7A474D66" w14:textId="77777777" w:rsidR="008104F5" w:rsidRDefault="008104F5">
      <w:pPr>
        <w:spacing w:line="240" w:lineRule="auto"/>
      </w:pPr>
    </w:p>
    <w:p w14:paraId="1C71499A" w14:textId="77777777" w:rsidR="008104F5" w:rsidRDefault="008104F5">
      <w:pPr>
        <w:spacing w:line="240" w:lineRule="auto"/>
        <w:sectPr w:rsidR="008104F5" w:rsidSect="000A409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pgNumType w:start="1"/>
          <w:cols w:space="720"/>
          <w:titlePg/>
          <w:docGrid w:linePitch="326"/>
        </w:sectPr>
      </w:pPr>
    </w:p>
    <w:p w14:paraId="4121630D" w14:textId="4D799D19" w:rsidR="008104F5" w:rsidRDefault="00AF1271" w:rsidP="00290A02">
      <w:pPr>
        <w:spacing w:before="200"/>
        <w:jc w:val="center"/>
        <w:rPr>
          <w:b/>
          <w:color w:val="000000"/>
        </w:rPr>
      </w:pPr>
      <w:bookmarkStart w:id="28" w:name="_heading=h.40ew0vw" w:colFirst="0" w:colLast="0"/>
      <w:bookmarkEnd w:id="28"/>
      <w:r>
        <w:rPr>
          <w:b/>
          <w:color w:val="000000"/>
        </w:rPr>
        <w:lastRenderedPageBreak/>
        <w:t>References </w:t>
      </w:r>
    </w:p>
    <w:p w14:paraId="7DE21F2D" w14:textId="77777777" w:rsidR="005E4BFA" w:rsidRDefault="005E4BFA" w:rsidP="00725550">
      <w:pPr>
        <w:spacing w:after="160"/>
        <w:ind w:left="709" w:hanging="709"/>
        <w:jc w:val="left"/>
        <w:rPr>
          <w:color w:val="222222"/>
        </w:rPr>
      </w:pPr>
      <w:commentRangeStart w:id="29"/>
      <w:proofErr w:type="spellStart"/>
      <w:r w:rsidRPr="00F931C7">
        <w:rPr>
          <w:color w:val="222222"/>
        </w:rPr>
        <w:t>Adisa</w:t>
      </w:r>
      <w:proofErr w:type="spellEnd"/>
      <w:r w:rsidRPr="00F931C7">
        <w:rPr>
          <w:color w:val="222222"/>
        </w:rPr>
        <w:t xml:space="preserve">, T. A., </w:t>
      </w:r>
      <w:proofErr w:type="spellStart"/>
      <w:r w:rsidRPr="00F931C7">
        <w:rPr>
          <w:color w:val="222222"/>
        </w:rPr>
        <w:t>Ogbonnaya</w:t>
      </w:r>
      <w:proofErr w:type="spellEnd"/>
      <w:r w:rsidRPr="00F931C7">
        <w:rPr>
          <w:color w:val="222222"/>
        </w:rPr>
        <w:t xml:space="preserve">, C., &amp; Adekoya, O. D. (2021). Remote working and employee engagement: A qualitative study of British workers during the pandemic. Information Technology &amp; People, ahead-of-print(ahead-of-print). </w:t>
      </w:r>
      <w:hyperlink r:id="rId21" w:history="1">
        <w:r w:rsidRPr="00712BE3">
          <w:rPr>
            <w:rStyle w:val="Hyperlink"/>
          </w:rPr>
          <w:t>https://doi.org/10.1108/ITP-122020-0850</w:t>
        </w:r>
      </w:hyperlink>
      <w:r w:rsidRPr="00F931C7">
        <w:rPr>
          <w:color w:val="222222"/>
        </w:rPr>
        <w:t xml:space="preserve"> </w:t>
      </w:r>
    </w:p>
    <w:p w14:paraId="66D3037F" w14:textId="77777777" w:rsidR="005E4BFA" w:rsidRDefault="005E4BFA" w:rsidP="00725550">
      <w:pPr>
        <w:spacing w:after="160"/>
        <w:ind w:left="709" w:hanging="709"/>
        <w:jc w:val="left"/>
      </w:pPr>
      <w:r w:rsidRPr="00422910">
        <w:t>Alonso-García, M., Garrido-</w:t>
      </w:r>
      <w:proofErr w:type="spellStart"/>
      <w:r w:rsidRPr="00422910">
        <w:t>Letrán</w:t>
      </w:r>
      <w:proofErr w:type="spellEnd"/>
      <w:r w:rsidRPr="00422910">
        <w:t xml:space="preserve">, T. M., &amp; Sánchez-Alzola, A. (2021). Impact of covid-19 on educational sustainability. initial perceptions of the university community of the university of </w:t>
      </w:r>
      <w:proofErr w:type="spellStart"/>
      <w:r w:rsidRPr="00422910">
        <w:t>cádiz</w:t>
      </w:r>
      <w:proofErr w:type="spellEnd"/>
      <w:r w:rsidRPr="00422910">
        <w:t>. </w:t>
      </w:r>
      <w:r w:rsidRPr="00422910">
        <w:rPr>
          <w:i/>
          <w:iCs/>
        </w:rPr>
        <w:t>Sustainability</w:t>
      </w:r>
      <w:r w:rsidRPr="00422910">
        <w:t>, </w:t>
      </w:r>
      <w:r w:rsidRPr="00422910">
        <w:rPr>
          <w:i/>
          <w:iCs/>
        </w:rPr>
        <w:t>13</w:t>
      </w:r>
      <w:r w:rsidRPr="00422910">
        <w:t>(11), 5938.</w:t>
      </w:r>
      <w:r w:rsidRPr="003B206E">
        <w:t xml:space="preserve"> </w:t>
      </w:r>
      <w:hyperlink r:id="rId22" w:history="1">
        <w:r w:rsidRPr="001B51C6">
          <w:rPr>
            <w:rStyle w:val="Hyperlink"/>
          </w:rPr>
          <w:t>https://doi.org/10.3390/su13115938</w:t>
        </w:r>
      </w:hyperlink>
    </w:p>
    <w:p w14:paraId="483A0C9B" w14:textId="77777777" w:rsidR="005E4BFA" w:rsidRDefault="005E4BFA" w:rsidP="00725550">
      <w:pPr>
        <w:spacing w:after="160"/>
        <w:ind w:left="709" w:hanging="709"/>
        <w:jc w:val="left"/>
        <w:rPr>
          <w:color w:val="222222"/>
        </w:rPr>
      </w:pPr>
      <w:proofErr w:type="spellStart"/>
      <w:r w:rsidRPr="00290A02">
        <w:rPr>
          <w:color w:val="000000" w:themeColor="text1"/>
          <w:highlight w:val="white"/>
        </w:rPr>
        <w:t>Alzahrani</w:t>
      </w:r>
      <w:proofErr w:type="spellEnd"/>
      <w:r w:rsidRPr="00290A02">
        <w:rPr>
          <w:color w:val="000000" w:themeColor="text1"/>
          <w:highlight w:val="white"/>
        </w:rPr>
        <w:t xml:space="preserve">, A. I., Mahmud, I., </w:t>
      </w:r>
      <w:proofErr w:type="spellStart"/>
      <w:r w:rsidRPr="00290A02">
        <w:rPr>
          <w:color w:val="000000" w:themeColor="text1"/>
          <w:highlight w:val="white"/>
        </w:rPr>
        <w:t>Ramayah</w:t>
      </w:r>
      <w:proofErr w:type="spellEnd"/>
      <w:r w:rsidRPr="00290A02">
        <w:rPr>
          <w:color w:val="000000" w:themeColor="text1"/>
          <w:highlight w:val="white"/>
        </w:rPr>
        <w:t xml:space="preserve">, T., </w:t>
      </w:r>
      <w:proofErr w:type="spellStart"/>
      <w:r w:rsidRPr="00290A02">
        <w:rPr>
          <w:color w:val="000000" w:themeColor="text1"/>
          <w:highlight w:val="white"/>
        </w:rPr>
        <w:t>Alfarraj</w:t>
      </w:r>
      <w:proofErr w:type="spellEnd"/>
      <w:r w:rsidRPr="00290A02">
        <w:rPr>
          <w:color w:val="000000" w:themeColor="text1"/>
          <w:highlight w:val="white"/>
        </w:rPr>
        <w:t xml:space="preserve">, O., &amp; </w:t>
      </w:r>
      <w:proofErr w:type="spellStart"/>
      <w:r w:rsidRPr="00290A02">
        <w:rPr>
          <w:color w:val="000000" w:themeColor="text1"/>
          <w:highlight w:val="white"/>
        </w:rPr>
        <w:t>Alalwan</w:t>
      </w:r>
      <w:proofErr w:type="spellEnd"/>
      <w:r w:rsidRPr="00290A02">
        <w:rPr>
          <w:color w:val="000000" w:themeColor="text1"/>
          <w:highlight w:val="white"/>
        </w:rPr>
        <w:t xml:space="preserve">, N. (2017). Extending the </w:t>
      </w:r>
      <w:r w:rsidRPr="00725550">
        <w:rPr>
          <w:highlight w:val="white"/>
        </w:rPr>
        <w:t>theory of planned behavior (TPB) to explain online game playing among Malaysian undergraduate students. </w:t>
      </w:r>
      <w:r w:rsidRPr="00725550">
        <w:rPr>
          <w:i/>
          <w:highlight w:val="white"/>
        </w:rPr>
        <w:t>Telematics and Informatics</w:t>
      </w:r>
      <w:r w:rsidRPr="00725550">
        <w:rPr>
          <w:highlight w:val="white"/>
        </w:rPr>
        <w:t>, </w:t>
      </w:r>
      <w:r w:rsidRPr="00725550">
        <w:rPr>
          <w:i/>
          <w:highlight w:val="white"/>
        </w:rPr>
        <w:t>34</w:t>
      </w:r>
      <w:r w:rsidRPr="00725550">
        <w:rPr>
          <w:highlight w:val="white"/>
        </w:rPr>
        <w:t>(4), 239-251.</w:t>
      </w:r>
      <w:r w:rsidRPr="00725550">
        <w:t xml:space="preserve"> </w:t>
      </w:r>
      <w:hyperlink r:id="rId23" w:history="1">
        <w:r w:rsidRPr="001B51C6">
          <w:rPr>
            <w:rStyle w:val="Hyperlink"/>
          </w:rPr>
          <w:t>https://doi.org/10.1016/j.tele.2016.07.001</w:t>
        </w:r>
      </w:hyperlink>
    </w:p>
    <w:p w14:paraId="76027E9B" w14:textId="77777777" w:rsidR="005E4BFA" w:rsidRDefault="005E4BFA" w:rsidP="00725550">
      <w:pPr>
        <w:spacing w:after="240"/>
        <w:ind w:left="709" w:hanging="709"/>
        <w:jc w:val="left"/>
        <w:rPr>
          <w:color w:val="000000"/>
        </w:rPr>
      </w:pPr>
      <w:proofErr w:type="spellStart"/>
      <w:r>
        <w:rPr>
          <w:color w:val="000000"/>
        </w:rPr>
        <w:t>Ambrosini</w:t>
      </w:r>
      <w:proofErr w:type="spellEnd"/>
      <w:r>
        <w:rPr>
          <w:color w:val="000000"/>
        </w:rPr>
        <w:t xml:space="preserve">, V. &amp; Bowman, C. 2009. What are dynamic capabilities, and are they a useful construct in strategic management? </w:t>
      </w:r>
      <w:r>
        <w:rPr>
          <w:i/>
          <w:color w:val="000000"/>
        </w:rPr>
        <w:t>International Journal of Management Reviews</w:t>
      </w:r>
      <w:r>
        <w:rPr>
          <w:color w:val="000000"/>
        </w:rPr>
        <w:t xml:space="preserve"> 11(1): 29-49. </w:t>
      </w:r>
      <w:hyperlink r:id="rId24" w:history="1">
        <w:r w:rsidRPr="001B51C6">
          <w:rPr>
            <w:rStyle w:val="Hyperlink"/>
          </w:rPr>
          <w:t>https://doi.org/10.1111/j.1468-2370.2008.00251.x</w:t>
        </w:r>
      </w:hyperlink>
    </w:p>
    <w:p w14:paraId="58BFFA84" w14:textId="77777777" w:rsidR="005E4BFA" w:rsidRDefault="005E4BFA" w:rsidP="00725550">
      <w:pPr>
        <w:spacing w:after="160"/>
        <w:ind w:left="709" w:hanging="709"/>
        <w:jc w:val="left"/>
        <w:rPr>
          <w:color w:val="000000"/>
        </w:rPr>
      </w:pPr>
      <w:proofErr w:type="spellStart"/>
      <w:r>
        <w:rPr>
          <w:color w:val="000000"/>
        </w:rPr>
        <w:t>Anafinova</w:t>
      </w:r>
      <w:proofErr w:type="spellEnd"/>
      <w:r>
        <w:rPr>
          <w:color w:val="000000"/>
        </w:rPr>
        <w:t xml:space="preserve">, S. (2020). The role of rankings in higher education policy: Coercive and normative isomorphism in Kazakhstani higher education. </w:t>
      </w:r>
      <w:r w:rsidRPr="00A6510D">
        <w:rPr>
          <w:i/>
          <w:iCs/>
          <w:color w:val="000000"/>
        </w:rPr>
        <w:t>International Journal of Educational Development</w:t>
      </w:r>
      <w:r>
        <w:rPr>
          <w:color w:val="000000"/>
        </w:rPr>
        <w:t>, 78, 102246.</w:t>
      </w:r>
      <w:r w:rsidRPr="003B206E">
        <w:t xml:space="preserve"> </w:t>
      </w:r>
      <w:hyperlink r:id="rId25" w:history="1">
        <w:r w:rsidRPr="001B51C6">
          <w:rPr>
            <w:rStyle w:val="Hyperlink"/>
          </w:rPr>
          <w:t>https://doi.org/10.1016/j.ijedudev.2020.102246</w:t>
        </w:r>
      </w:hyperlink>
    </w:p>
    <w:p w14:paraId="57FA7DAE" w14:textId="77777777" w:rsidR="005E4BFA" w:rsidRDefault="005E4BFA" w:rsidP="00725550">
      <w:pPr>
        <w:spacing w:after="160"/>
        <w:ind w:left="709" w:hanging="709"/>
        <w:jc w:val="left"/>
        <w:rPr>
          <w:color w:val="000000"/>
        </w:rPr>
      </w:pPr>
      <w:proofErr w:type="spellStart"/>
      <w:r>
        <w:rPr>
          <w:color w:val="000000"/>
        </w:rPr>
        <w:t>Appolloni</w:t>
      </w:r>
      <w:proofErr w:type="spellEnd"/>
      <w:r>
        <w:rPr>
          <w:color w:val="000000"/>
        </w:rPr>
        <w:t xml:space="preserve">, A., </w:t>
      </w:r>
      <w:proofErr w:type="spellStart"/>
      <w:r>
        <w:rPr>
          <w:color w:val="000000"/>
        </w:rPr>
        <w:t>Colasanti</w:t>
      </w:r>
      <w:proofErr w:type="spellEnd"/>
      <w:r>
        <w:rPr>
          <w:color w:val="000000"/>
        </w:rPr>
        <w:t xml:space="preserve">, N., </w:t>
      </w:r>
      <w:proofErr w:type="spellStart"/>
      <w:r>
        <w:rPr>
          <w:color w:val="000000"/>
        </w:rPr>
        <w:t>Fantauzzi</w:t>
      </w:r>
      <w:proofErr w:type="spellEnd"/>
      <w:r>
        <w:rPr>
          <w:color w:val="000000"/>
        </w:rPr>
        <w:t xml:space="preserve">, C., </w:t>
      </w:r>
      <w:proofErr w:type="spellStart"/>
      <w:r>
        <w:rPr>
          <w:color w:val="000000"/>
        </w:rPr>
        <w:t>Fiorani</w:t>
      </w:r>
      <w:proofErr w:type="spellEnd"/>
      <w:r>
        <w:rPr>
          <w:color w:val="000000"/>
        </w:rPr>
        <w:t xml:space="preserve">, G., &amp; Frondizi, R. (2021). Distance learning as a resilience strategy during Covid-19: An analysis of the Italian context. </w:t>
      </w:r>
      <w:r w:rsidRPr="00A6510D">
        <w:rPr>
          <w:i/>
          <w:iCs/>
          <w:color w:val="000000"/>
        </w:rPr>
        <w:t>Sustainability</w:t>
      </w:r>
      <w:r>
        <w:rPr>
          <w:color w:val="000000"/>
        </w:rPr>
        <w:t>, 13(3), 1388.</w:t>
      </w:r>
      <w:r w:rsidRPr="007F7D39">
        <w:t xml:space="preserve"> </w:t>
      </w:r>
      <w:hyperlink r:id="rId26" w:history="1">
        <w:r w:rsidRPr="001B51C6">
          <w:rPr>
            <w:rStyle w:val="Hyperlink"/>
          </w:rPr>
          <w:t>https://doi.org/10.3390/su13031388</w:t>
        </w:r>
      </w:hyperlink>
    </w:p>
    <w:p w14:paraId="3FB47359" w14:textId="77777777" w:rsidR="005E4BFA" w:rsidRDefault="005E4BFA" w:rsidP="00725550">
      <w:pPr>
        <w:spacing w:after="160"/>
        <w:ind w:left="709" w:hanging="709"/>
        <w:jc w:val="left"/>
      </w:pPr>
      <w:proofErr w:type="spellStart"/>
      <w:r>
        <w:rPr>
          <w:color w:val="000000"/>
        </w:rPr>
        <w:lastRenderedPageBreak/>
        <w:t>Bagozzi</w:t>
      </w:r>
      <w:proofErr w:type="spellEnd"/>
      <w:r>
        <w:rPr>
          <w:color w:val="000000"/>
        </w:rPr>
        <w:t>, R. P., &amp; Yi, Y. (1988). On the evaluation of structural equation models</w:t>
      </w:r>
      <w:r w:rsidRPr="00A6510D">
        <w:rPr>
          <w:i/>
          <w:iCs/>
          <w:color w:val="000000"/>
        </w:rPr>
        <w:t xml:space="preserve">. Journal of the </w:t>
      </w:r>
      <w:r>
        <w:rPr>
          <w:i/>
          <w:iCs/>
          <w:color w:val="000000"/>
        </w:rPr>
        <w:t>A</w:t>
      </w:r>
      <w:r w:rsidRPr="00A6510D">
        <w:rPr>
          <w:i/>
          <w:iCs/>
          <w:color w:val="000000"/>
        </w:rPr>
        <w:t xml:space="preserve">cademy of </w:t>
      </w:r>
      <w:r>
        <w:rPr>
          <w:i/>
          <w:iCs/>
          <w:color w:val="000000"/>
        </w:rPr>
        <w:t>M</w:t>
      </w:r>
      <w:r w:rsidRPr="00A6510D">
        <w:rPr>
          <w:i/>
          <w:iCs/>
          <w:color w:val="000000"/>
        </w:rPr>
        <w:t xml:space="preserve">arketing </w:t>
      </w:r>
      <w:r>
        <w:rPr>
          <w:i/>
          <w:iCs/>
          <w:color w:val="000000"/>
        </w:rPr>
        <w:t>S</w:t>
      </w:r>
      <w:r w:rsidRPr="00A6510D">
        <w:rPr>
          <w:i/>
          <w:iCs/>
          <w:color w:val="000000"/>
        </w:rPr>
        <w:t>cience,</w:t>
      </w:r>
      <w:r>
        <w:rPr>
          <w:color w:val="000000"/>
        </w:rPr>
        <w:t xml:space="preserve"> 16(1), 74-94.</w:t>
      </w:r>
      <w:r w:rsidRPr="007F7D39">
        <w:t xml:space="preserve"> </w:t>
      </w:r>
      <w:hyperlink r:id="rId27" w:history="1">
        <w:r w:rsidRPr="009D52F3">
          <w:rPr>
            <w:rStyle w:val="Hyperlink"/>
          </w:rPr>
          <w:t>https://link.springer.com/article/10.1007/BF02723327</w:t>
        </w:r>
      </w:hyperlink>
    </w:p>
    <w:p w14:paraId="08B9EFD5" w14:textId="77777777" w:rsidR="005E4BFA" w:rsidRDefault="005E4BFA" w:rsidP="00725550">
      <w:pPr>
        <w:spacing w:after="160"/>
        <w:ind w:left="709" w:hanging="709"/>
        <w:jc w:val="left"/>
        <w:rPr>
          <w:color w:val="000000"/>
        </w:rPr>
      </w:pPr>
      <w:r w:rsidRPr="00C55EB6">
        <w:rPr>
          <w:color w:val="000000"/>
        </w:rPr>
        <w:t xml:space="preserve">Brown, W. J. (2010). Student multicultural awareness in online community college classes. </w:t>
      </w:r>
      <w:r w:rsidRPr="00C55EB6">
        <w:rPr>
          <w:i/>
          <w:iCs/>
          <w:color w:val="000000"/>
        </w:rPr>
        <w:t>Multicultural Education &amp; Technology Journal</w:t>
      </w:r>
      <w:r>
        <w:rPr>
          <w:color w:val="000000"/>
        </w:rPr>
        <w:t>, 4, 99–112.</w:t>
      </w:r>
      <w:r w:rsidRPr="003300D9">
        <w:t xml:space="preserve"> </w:t>
      </w:r>
      <w:hyperlink r:id="rId28" w:history="1">
        <w:r w:rsidRPr="001B51C6">
          <w:rPr>
            <w:rStyle w:val="Hyperlink"/>
          </w:rPr>
          <w:t>https://doi.org/10.1108/17504971011052313</w:t>
        </w:r>
      </w:hyperlink>
    </w:p>
    <w:p w14:paraId="60327154" w14:textId="77777777" w:rsidR="005E4BFA" w:rsidRDefault="005E4BFA" w:rsidP="00725550">
      <w:pPr>
        <w:spacing w:after="160"/>
        <w:ind w:left="709" w:hanging="709"/>
        <w:jc w:val="left"/>
        <w:rPr>
          <w:color w:val="222222"/>
          <w:shd w:val="clear" w:color="auto" w:fill="FFFFFF"/>
        </w:rPr>
      </w:pPr>
      <w:bookmarkStart w:id="30" w:name="_Hlk115366284"/>
      <w:proofErr w:type="spellStart"/>
      <w:r w:rsidRPr="002C65F3">
        <w:rPr>
          <w:color w:val="222222"/>
          <w:shd w:val="clear" w:color="auto" w:fill="FFFFFF"/>
        </w:rPr>
        <w:t>Cañabate</w:t>
      </w:r>
      <w:bookmarkEnd w:id="30"/>
      <w:proofErr w:type="spellEnd"/>
      <w:r w:rsidRPr="002C65F3">
        <w:rPr>
          <w:color w:val="222222"/>
          <w:shd w:val="clear" w:color="auto" w:fill="FFFFFF"/>
        </w:rPr>
        <w:t xml:space="preserve">, D., </w:t>
      </w:r>
      <w:proofErr w:type="spellStart"/>
      <w:r w:rsidRPr="002C65F3">
        <w:rPr>
          <w:color w:val="222222"/>
          <w:shd w:val="clear" w:color="auto" w:fill="FFFFFF"/>
        </w:rPr>
        <w:t>Nogué</w:t>
      </w:r>
      <w:proofErr w:type="spellEnd"/>
      <w:r w:rsidRPr="002C65F3">
        <w:rPr>
          <w:color w:val="222222"/>
          <w:shd w:val="clear" w:color="auto" w:fill="FFFFFF"/>
        </w:rPr>
        <w:t xml:space="preserve">, L., Serra, T., &amp; </w:t>
      </w:r>
      <w:proofErr w:type="spellStart"/>
      <w:r w:rsidRPr="002C65F3">
        <w:rPr>
          <w:color w:val="222222"/>
          <w:shd w:val="clear" w:color="auto" w:fill="FFFFFF"/>
        </w:rPr>
        <w:t>Colomer</w:t>
      </w:r>
      <w:proofErr w:type="spellEnd"/>
      <w:r w:rsidRPr="002C65F3">
        <w:rPr>
          <w:color w:val="222222"/>
          <w:shd w:val="clear" w:color="auto" w:fill="FFFFFF"/>
        </w:rPr>
        <w:t>, J. (2019). Supportive peer feedback in tertiary education: Analysis of pre-service teachers’ perceptions. </w:t>
      </w:r>
      <w:r w:rsidRPr="002C65F3">
        <w:rPr>
          <w:i/>
          <w:iCs/>
          <w:color w:val="222222"/>
          <w:shd w:val="clear" w:color="auto" w:fill="FFFFFF"/>
        </w:rPr>
        <w:t>Education Sciences</w:t>
      </w:r>
      <w:r w:rsidRPr="002C65F3">
        <w:rPr>
          <w:color w:val="222222"/>
          <w:shd w:val="clear" w:color="auto" w:fill="FFFFFF"/>
        </w:rPr>
        <w:t>, </w:t>
      </w:r>
      <w:r w:rsidRPr="002C65F3">
        <w:rPr>
          <w:i/>
          <w:iCs/>
          <w:color w:val="222222"/>
          <w:shd w:val="clear" w:color="auto" w:fill="FFFFFF"/>
        </w:rPr>
        <w:t>9</w:t>
      </w:r>
      <w:r w:rsidRPr="002C65F3">
        <w:rPr>
          <w:color w:val="222222"/>
          <w:shd w:val="clear" w:color="auto" w:fill="FFFFFF"/>
        </w:rPr>
        <w:t>(4), 280.</w:t>
      </w:r>
      <w:r>
        <w:rPr>
          <w:color w:val="222222"/>
          <w:shd w:val="clear" w:color="auto" w:fill="FFFFFF"/>
        </w:rPr>
        <w:t xml:space="preserve"> </w:t>
      </w:r>
      <w:hyperlink r:id="rId29" w:history="1">
        <w:r w:rsidRPr="001B51C6">
          <w:rPr>
            <w:rStyle w:val="Hyperlink"/>
            <w:shd w:val="clear" w:color="auto" w:fill="FFFFFF"/>
          </w:rPr>
          <w:t>https://doi.org/10.3390/educsci9040280</w:t>
        </w:r>
      </w:hyperlink>
    </w:p>
    <w:p w14:paraId="0A329124" w14:textId="77777777" w:rsidR="005E4BFA" w:rsidRDefault="005E4BFA" w:rsidP="00725550">
      <w:pPr>
        <w:spacing w:after="160"/>
        <w:ind w:left="709" w:hanging="709"/>
        <w:jc w:val="left"/>
        <w:rPr>
          <w:color w:val="000000"/>
        </w:rPr>
      </w:pPr>
      <w:proofErr w:type="spellStart"/>
      <w:r w:rsidRPr="007C04A9">
        <w:rPr>
          <w:color w:val="000000"/>
        </w:rPr>
        <w:t>Caravella</w:t>
      </w:r>
      <w:proofErr w:type="spellEnd"/>
      <w:r w:rsidRPr="007C04A9">
        <w:rPr>
          <w:color w:val="000000"/>
        </w:rPr>
        <w:t>, K.D.</w:t>
      </w:r>
      <w:r>
        <w:rPr>
          <w:color w:val="000000"/>
        </w:rPr>
        <w:t>,</w:t>
      </w:r>
      <w:r w:rsidRPr="007C04A9">
        <w:rPr>
          <w:color w:val="000000"/>
        </w:rPr>
        <w:t xml:space="preserve"> </w:t>
      </w:r>
      <w:r>
        <w:rPr>
          <w:color w:val="000000"/>
        </w:rPr>
        <w:t>(2011)</w:t>
      </w:r>
      <w:r w:rsidRPr="007C04A9">
        <w:rPr>
          <w:color w:val="000000"/>
        </w:rPr>
        <w:t xml:space="preserve">Mimetic, </w:t>
      </w:r>
      <w:r w:rsidRPr="007C04A9">
        <w:rPr>
          <w:i/>
          <w:iCs/>
          <w:color w:val="000000"/>
        </w:rPr>
        <w:t>Coercive, and Normative Influences in Institutionalization of Organizational Practices: The Case of Distance Learning in Higher Education</w:t>
      </w:r>
      <w:r>
        <w:rPr>
          <w:i/>
          <w:iCs/>
          <w:color w:val="000000"/>
        </w:rPr>
        <w:t>.</w:t>
      </w:r>
      <w:r w:rsidRPr="007C04A9">
        <w:rPr>
          <w:color w:val="000000"/>
        </w:rPr>
        <w:t xml:space="preserve"> Florida Atlantic University</w:t>
      </w:r>
      <w:r>
        <w:rPr>
          <w:color w:val="000000"/>
        </w:rPr>
        <w:t>.</w:t>
      </w:r>
      <w:r w:rsidRPr="005B0B27">
        <w:t xml:space="preserve"> </w:t>
      </w:r>
      <w:hyperlink r:id="rId30" w:history="1">
        <w:r w:rsidRPr="008F0523">
          <w:rPr>
            <w:rStyle w:val="Hyperlink"/>
          </w:rPr>
          <w:t>http://fau.digital.flvc.org/islandora/object/fau%3A3618/datastream/OBJ/view/Mimetic__coercive__and_normative_influences_in_institutionalization_of_organizational_practices.pdf</w:t>
        </w:r>
      </w:hyperlink>
    </w:p>
    <w:p w14:paraId="50F6BB96" w14:textId="77777777" w:rsidR="005E4BFA" w:rsidRDefault="005E4BFA" w:rsidP="00725550">
      <w:pPr>
        <w:ind w:left="709" w:hanging="709"/>
        <w:jc w:val="left"/>
        <w:rPr>
          <w:color w:val="000000"/>
        </w:rPr>
      </w:pPr>
      <w:r w:rsidRPr="007439CD">
        <w:rPr>
          <w:color w:val="000000"/>
        </w:rPr>
        <w:t xml:space="preserve">Cardona Mejía, L. M., Pardo del Val, M., &amp; </w:t>
      </w:r>
      <w:proofErr w:type="spellStart"/>
      <w:r w:rsidRPr="007439CD">
        <w:rPr>
          <w:color w:val="000000"/>
        </w:rPr>
        <w:t>Dasí</w:t>
      </w:r>
      <w:proofErr w:type="spellEnd"/>
      <w:r w:rsidRPr="007439CD">
        <w:rPr>
          <w:color w:val="000000"/>
        </w:rPr>
        <w:t xml:space="preserve"> </w:t>
      </w:r>
      <w:proofErr w:type="spellStart"/>
      <w:r w:rsidRPr="007439CD">
        <w:rPr>
          <w:color w:val="000000"/>
        </w:rPr>
        <w:t>Coscollar</w:t>
      </w:r>
      <w:proofErr w:type="spellEnd"/>
      <w:r w:rsidRPr="007439CD">
        <w:rPr>
          <w:color w:val="000000"/>
        </w:rPr>
        <w:t>, M. D. S. (2020). The Institutional Isomorphism in the Context of Organizational Changes in Higher Education Institutions. </w:t>
      </w:r>
      <w:r w:rsidRPr="007439CD">
        <w:rPr>
          <w:i/>
          <w:iCs/>
          <w:color w:val="000000"/>
        </w:rPr>
        <w:t>International Journal of Research in Education and Science</w:t>
      </w:r>
      <w:r w:rsidRPr="007439CD">
        <w:rPr>
          <w:color w:val="000000"/>
        </w:rPr>
        <w:t>, </w:t>
      </w:r>
      <w:r w:rsidRPr="007439CD">
        <w:rPr>
          <w:i/>
          <w:iCs/>
          <w:color w:val="000000"/>
        </w:rPr>
        <w:t>6</w:t>
      </w:r>
      <w:r w:rsidRPr="007439CD">
        <w:rPr>
          <w:color w:val="000000"/>
        </w:rPr>
        <w:t>(1), 61-73.</w:t>
      </w:r>
      <w:r>
        <w:rPr>
          <w:color w:val="000000"/>
        </w:rPr>
        <w:t xml:space="preserve"> </w:t>
      </w:r>
      <w:hyperlink r:id="rId31" w:history="1">
        <w:r w:rsidRPr="001B51C6">
          <w:rPr>
            <w:rStyle w:val="Hyperlink"/>
          </w:rPr>
          <w:t>https://files.eric.ed.gov/fulltext/EJ1229102.pdf</w:t>
        </w:r>
      </w:hyperlink>
    </w:p>
    <w:p w14:paraId="24875B76" w14:textId="77777777" w:rsidR="005E4BFA" w:rsidRDefault="005E4BFA" w:rsidP="00725550">
      <w:pPr>
        <w:ind w:left="709" w:hanging="709"/>
        <w:jc w:val="left"/>
        <w:rPr>
          <w:color w:val="000000"/>
        </w:rPr>
      </w:pPr>
      <w:r w:rsidRPr="007439CD">
        <w:rPr>
          <w:color w:val="000000"/>
        </w:rPr>
        <w:t>Casey, D. M. (2008). A journey to legitimacy: The historical development of distance education through technology. </w:t>
      </w:r>
      <w:proofErr w:type="spellStart"/>
      <w:r w:rsidRPr="007439CD">
        <w:rPr>
          <w:i/>
          <w:iCs/>
          <w:color w:val="000000"/>
        </w:rPr>
        <w:t>TechTrends</w:t>
      </w:r>
      <w:proofErr w:type="spellEnd"/>
      <w:r w:rsidRPr="007439CD">
        <w:rPr>
          <w:color w:val="000000"/>
        </w:rPr>
        <w:t>, </w:t>
      </w:r>
      <w:r w:rsidRPr="007439CD">
        <w:rPr>
          <w:i/>
          <w:iCs/>
          <w:color w:val="000000"/>
        </w:rPr>
        <w:t>52</w:t>
      </w:r>
      <w:r w:rsidRPr="007439CD">
        <w:rPr>
          <w:color w:val="000000"/>
        </w:rPr>
        <w:t>(2), 45.</w:t>
      </w:r>
      <w:r w:rsidRPr="005B0B27">
        <w:t xml:space="preserve"> </w:t>
      </w:r>
      <w:hyperlink r:id="rId32" w:history="1">
        <w:r w:rsidRPr="008F0523">
          <w:rPr>
            <w:rStyle w:val="Hyperlink"/>
          </w:rPr>
          <w:t>https://doi.org/10.1007/s11528-008-0135-z</w:t>
        </w:r>
      </w:hyperlink>
    </w:p>
    <w:p w14:paraId="77CC7BE8" w14:textId="77777777" w:rsidR="005E4BFA" w:rsidRDefault="005E4BFA" w:rsidP="00725550">
      <w:pPr>
        <w:ind w:left="709" w:hanging="709"/>
        <w:jc w:val="left"/>
        <w:rPr>
          <w:color w:val="000000"/>
        </w:rPr>
      </w:pPr>
      <w:proofErr w:type="spellStart"/>
      <w:r>
        <w:rPr>
          <w:color w:val="000000"/>
        </w:rPr>
        <w:lastRenderedPageBreak/>
        <w:t>Chikuya</w:t>
      </w:r>
      <w:proofErr w:type="spellEnd"/>
      <w:r>
        <w:rPr>
          <w:color w:val="000000"/>
        </w:rPr>
        <w:t xml:space="preserve">, H. (2015). Providing Productive and Sustainable (ODL) in (SADC) member states First things first. </w:t>
      </w:r>
      <w:r w:rsidRPr="007439CD">
        <w:rPr>
          <w:i/>
          <w:iCs/>
          <w:color w:val="000000"/>
        </w:rPr>
        <w:t>Journal for Studies in Humanities and Social Sciences</w:t>
      </w:r>
      <w:r>
        <w:rPr>
          <w:color w:val="000000"/>
        </w:rPr>
        <w:t>, 213-224.</w:t>
      </w:r>
      <w:r w:rsidRPr="00C05732">
        <w:t xml:space="preserve"> </w:t>
      </w:r>
      <w:hyperlink r:id="rId33" w:history="1">
        <w:r w:rsidRPr="001B51C6">
          <w:rPr>
            <w:rStyle w:val="Hyperlink"/>
          </w:rPr>
          <w:t>https://repository.unam.edu.na/handle/11070/1327</w:t>
        </w:r>
      </w:hyperlink>
    </w:p>
    <w:p w14:paraId="7ABA5C67" w14:textId="77777777" w:rsidR="005E4BFA" w:rsidRDefault="005E4BFA" w:rsidP="00725550">
      <w:pPr>
        <w:spacing w:after="160"/>
        <w:ind w:left="709" w:hanging="709"/>
        <w:jc w:val="left"/>
      </w:pPr>
      <w:r>
        <w:rPr>
          <w:color w:val="000000"/>
        </w:rPr>
        <w:t xml:space="preserve">Cohen, J. (1988). </w:t>
      </w:r>
      <w:r w:rsidRPr="002F31DD">
        <w:rPr>
          <w:i/>
          <w:iCs/>
          <w:color w:val="000000"/>
        </w:rPr>
        <w:t>Statistical power analysis for the behavioral sciences</w:t>
      </w:r>
      <w:r>
        <w:rPr>
          <w:color w:val="000000"/>
        </w:rPr>
        <w:t>. 2</w:t>
      </w:r>
      <w:r w:rsidRPr="000678EB">
        <w:rPr>
          <w:color w:val="000000"/>
          <w:vertAlign w:val="superscript"/>
        </w:rPr>
        <w:t xml:space="preserve">nd </w:t>
      </w:r>
      <w:r>
        <w:rPr>
          <w:color w:val="000000"/>
        </w:rPr>
        <w:t>Edition. Hillsdale, NJ: Lawrence Erlbaum Associates, Publishers.</w:t>
      </w:r>
    </w:p>
    <w:p w14:paraId="5A77D5A0" w14:textId="1DCA5F19" w:rsidR="005E4BFA" w:rsidRPr="00C05732" w:rsidRDefault="00CF1DE0" w:rsidP="00725550">
      <w:pPr>
        <w:ind w:left="709" w:hanging="709"/>
        <w:jc w:val="left"/>
      </w:pPr>
      <w:r w:rsidRPr="00CF1DE0">
        <w:t>Cummings, G. A. (2010). </w:t>
      </w:r>
      <w:r w:rsidRPr="00CF1DE0">
        <w:rPr>
          <w:i/>
          <w:iCs/>
        </w:rPr>
        <w:t>Turning higher education green from the inside out: A qualitative study of four colleges and universities who “made green happen”</w:t>
      </w:r>
      <w:r w:rsidRPr="00CF1DE0">
        <w:t>. University of Pennsylvania.</w:t>
      </w:r>
      <w:r w:rsidR="005E4BFA" w:rsidRPr="00C05732">
        <w:t xml:space="preserve"> </w:t>
      </w:r>
      <w:hyperlink r:id="rId34" w:history="1">
        <w:r w:rsidR="005E4BFA" w:rsidRPr="001B51C6">
          <w:rPr>
            <w:rStyle w:val="Hyperlink"/>
          </w:rPr>
          <w:t>https://www.proquest.com/pagepdf/756454015?accountid=42518</w:t>
        </w:r>
      </w:hyperlink>
    </w:p>
    <w:p w14:paraId="424B3EDB" w14:textId="77777777" w:rsidR="005E4BFA" w:rsidRDefault="005E4BFA" w:rsidP="00725550">
      <w:pPr>
        <w:ind w:left="709" w:hanging="709"/>
        <w:jc w:val="left"/>
        <w:rPr>
          <w:color w:val="000000"/>
        </w:rPr>
      </w:pPr>
      <w:r w:rsidRPr="001218B1">
        <w:t xml:space="preserve">Daniel, J.A.S., 2004: </w:t>
      </w:r>
      <w:r w:rsidRPr="001218B1">
        <w:rPr>
          <w:i/>
          <w:iCs/>
        </w:rPr>
        <w:t>The Sustainable development of Open and Distance Learning for Sustainable development</w:t>
      </w:r>
      <w:r w:rsidRPr="001218B1">
        <w:t>. Being a text of a paper presented at the Commonwealth of Learning Institute, Strategies for Sustainable Open and Distance Learning, Dunsmuir Lodge, Sydney. 9 June</w:t>
      </w:r>
      <w:r>
        <w:rPr>
          <w:color w:val="000000"/>
        </w:rPr>
        <w:t xml:space="preserve">. </w:t>
      </w:r>
      <w:hyperlink r:id="rId35" w:history="1">
        <w:r w:rsidRPr="001B51C6">
          <w:rPr>
            <w:rStyle w:val="Hyperlink"/>
          </w:rPr>
          <w:t>http://hdl.handle.net/11599/1460</w:t>
        </w:r>
      </w:hyperlink>
    </w:p>
    <w:p w14:paraId="5BB72854" w14:textId="77777777" w:rsidR="005E4BFA" w:rsidRDefault="005E4BFA" w:rsidP="00725550">
      <w:pPr>
        <w:ind w:left="709" w:hanging="709"/>
        <w:jc w:val="left"/>
        <w:rPr>
          <w:color w:val="000000"/>
        </w:rPr>
      </w:pPr>
      <w:r>
        <w:rPr>
          <w:color w:val="000000"/>
        </w:rPr>
        <w:t xml:space="preserve">DiMaggio, P. J., &amp; Powell, W. W. (1983). The iron cage revisited: Institutional isomorphism and collective rationality in organizational fields. </w:t>
      </w:r>
      <w:r w:rsidRPr="00375FA5">
        <w:rPr>
          <w:i/>
          <w:iCs/>
          <w:color w:val="000000"/>
        </w:rPr>
        <w:t>American Sociological Review</w:t>
      </w:r>
      <w:r>
        <w:rPr>
          <w:color w:val="000000"/>
        </w:rPr>
        <w:t xml:space="preserve">, 48(2), 147-160. </w:t>
      </w:r>
      <w:hyperlink r:id="rId36" w:history="1">
        <w:r w:rsidRPr="001B51C6">
          <w:rPr>
            <w:rStyle w:val="Hyperlink"/>
          </w:rPr>
          <w:t>https://doi.org/10.2307/2095101</w:t>
        </w:r>
      </w:hyperlink>
    </w:p>
    <w:p w14:paraId="1C931761" w14:textId="77777777" w:rsidR="005E4BFA" w:rsidRDefault="005E4BFA" w:rsidP="00725550">
      <w:pPr>
        <w:spacing w:after="160"/>
        <w:ind w:left="709" w:hanging="709"/>
        <w:jc w:val="left"/>
        <w:rPr>
          <w:color w:val="000000"/>
        </w:rPr>
      </w:pPr>
      <w:r>
        <w:rPr>
          <w:color w:val="000000"/>
        </w:rPr>
        <w:t xml:space="preserve">Eisenhardt, K. M., &amp; Martin, J. A. (2000). Dynamic capabilities: what are they? </w:t>
      </w:r>
      <w:r w:rsidRPr="00375FA5">
        <w:rPr>
          <w:i/>
          <w:iCs/>
          <w:color w:val="000000"/>
        </w:rPr>
        <w:t xml:space="preserve">Strategic </w:t>
      </w:r>
      <w:r>
        <w:rPr>
          <w:i/>
          <w:iCs/>
          <w:color w:val="000000"/>
        </w:rPr>
        <w:t>M</w:t>
      </w:r>
      <w:r w:rsidRPr="00375FA5">
        <w:rPr>
          <w:i/>
          <w:iCs/>
          <w:color w:val="000000"/>
        </w:rPr>
        <w:t xml:space="preserve">anagement </w:t>
      </w:r>
      <w:r>
        <w:rPr>
          <w:i/>
          <w:iCs/>
          <w:color w:val="000000"/>
        </w:rPr>
        <w:t>J</w:t>
      </w:r>
      <w:r w:rsidRPr="00375FA5">
        <w:rPr>
          <w:i/>
          <w:iCs/>
          <w:color w:val="000000"/>
        </w:rPr>
        <w:t>ournal</w:t>
      </w:r>
      <w:r>
        <w:rPr>
          <w:color w:val="000000"/>
        </w:rPr>
        <w:t>, 21(10‐11), 1105-1121.</w:t>
      </w:r>
      <w:r w:rsidRPr="00462C59">
        <w:t xml:space="preserve"> </w:t>
      </w:r>
      <w:hyperlink r:id="rId37" w:history="1">
        <w:r w:rsidRPr="001B51C6">
          <w:rPr>
            <w:rStyle w:val="Hyperlink"/>
          </w:rPr>
          <w:t>https://doi.org/10.1002/1097-0266(200010/11)21:10/11%3C1105::AID-SMJ133%3E3.0.CO;2-E</w:t>
        </w:r>
      </w:hyperlink>
    </w:p>
    <w:p w14:paraId="51F49730" w14:textId="77777777" w:rsidR="005E4BFA" w:rsidRDefault="005E4BFA" w:rsidP="00725550">
      <w:pPr>
        <w:spacing w:after="160"/>
        <w:ind w:left="709" w:hanging="709"/>
        <w:jc w:val="left"/>
      </w:pPr>
      <w:proofErr w:type="spellStart"/>
      <w:r>
        <w:rPr>
          <w:color w:val="000000"/>
        </w:rPr>
        <w:t>Elsafty</w:t>
      </w:r>
      <w:proofErr w:type="spellEnd"/>
      <w:r>
        <w:rPr>
          <w:color w:val="000000"/>
        </w:rPr>
        <w:t xml:space="preserve">, A. S., &amp; </w:t>
      </w:r>
      <w:proofErr w:type="spellStart"/>
      <w:r>
        <w:rPr>
          <w:color w:val="000000"/>
        </w:rPr>
        <w:t>Ragheb</w:t>
      </w:r>
      <w:proofErr w:type="spellEnd"/>
      <w:r>
        <w:rPr>
          <w:color w:val="000000"/>
        </w:rPr>
        <w:t xml:space="preserve">, M. (2020). The role of human resource management towards employee’s retention during COVID-19 pandemic in the medical supplies sector.  Egypt. </w:t>
      </w:r>
      <w:r w:rsidRPr="00375FA5">
        <w:rPr>
          <w:i/>
          <w:iCs/>
          <w:color w:val="000000"/>
        </w:rPr>
        <w:t>Business and Management Studies</w:t>
      </w:r>
      <w:r>
        <w:rPr>
          <w:color w:val="000000"/>
        </w:rPr>
        <w:t xml:space="preserve">, 6(2), 5059–5059. </w:t>
      </w:r>
      <w:hyperlink r:id="rId38" w:history="1">
        <w:r w:rsidRPr="001B51C6">
          <w:rPr>
            <w:rStyle w:val="Hyperlink"/>
          </w:rPr>
          <w:t>https://doi.org/10.11114/bms.v6i2.4899</w:t>
        </w:r>
      </w:hyperlink>
    </w:p>
    <w:p w14:paraId="2F58FA0F" w14:textId="77777777" w:rsidR="005E4BFA" w:rsidRDefault="005E4BFA" w:rsidP="00725550">
      <w:pPr>
        <w:spacing w:after="160"/>
        <w:ind w:left="709" w:hanging="709"/>
        <w:jc w:val="left"/>
        <w:rPr>
          <w:color w:val="000000"/>
        </w:rPr>
      </w:pPr>
      <w:proofErr w:type="spellStart"/>
      <w:r>
        <w:rPr>
          <w:color w:val="000000"/>
        </w:rPr>
        <w:lastRenderedPageBreak/>
        <w:t>Erkkilä</w:t>
      </w:r>
      <w:proofErr w:type="spellEnd"/>
      <w:r>
        <w:rPr>
          <w:color w:val="000000"/>
        </w:rPr>
        <w:t xml:space="preserve">, T., &amp; </w:t>
      </w:r>
      <w:proofErr w:type="spellStart"/>
      <w:r>
        <w:rPr>
          <w:color w:val="000000"/>
        </w:rPr>
        <w:t>Piironen</w:t>
      </w:r>
      <w:proofErr w:type="spellEnd"/>
      <w:r>
        <w:rPr>
          <w:color w:val="000000"/>
        </w:rPr>
        <w:t xml:space="preserve">, O. (2014). Shifting fundamentals of European higher education governance: competition, ranking, autonomy, and accountability. </w:t>
      </w:r>
      <w:r w:rsidRPr="00375FA5">
        <w:rPr>
          <w:i/>
          <w:iCs/>
          <w:color w:val="000000"/>
        </w:rPr>
        <w:t xml:space="preserve">Comparative </w:t>
      </w:r>
      <w:r>
        <w:rPr>
          <w:i/>
          <w:iCs/>
          <w:color w:val="000000"/>
        </w:rPr>
        <w:t>Education</w:t>
      </w:r>
      <w:r>
        <w:rPr>
          <w:color w:val="000000"/>
        </w:rPr>
        <w:t>, 50(2), 177-191.</w:t>
      </w:r>
      <w:r w:rsidRPr="00462C59">
        <w:t xml:space="preserve"> </w:t>
      </w:r>
      <w:hyperlink r:id="rId39" w:history="1">
        <w:r w:rsidRPr="001B51C6">
          <w:rPr>
            <w:rStyle w:val="Hyperlink"/>
          </w:rPr>
          <w:t>https://doi.org/10.1080/03050068.2013.807643</w:t>
        </w:r>
      </w:hyperlink>
    </w:p>
    <w:p w14:paraId="037DE154" w14:textId="77777777" w:rsidR="005E4BFA" w:rsidRDefault="005E4BFA" w:rsidP="00725550">
      <w:pPr>
        <w:spacing w:after="160"/>
        <w:ind w:left="709" w:hanging="709"/>
        <w:jc w:val="left"/>
        <w:rPr>
          <w:color w:val="000000"/>
        </w:rPr>
      </w:pPr>
      <w:bookmarkStart w:id="31" w:name="_Hlk115424890"/>
      <w:proofErr w:type="spellStart"/>
      <w:r>
        <w:rPr>
          <w:color w:val="000000"/>
        </w:rPr>
        <w:t>Fornell</w:t>
      </w:r>
      <w:proofErr w:type="spellEnd"/>
      <w:r>
        <w:rPr>
          <w:color w:val="000000"/>
        </w:rPr>
        <w:t xml:space="preserve">, C., &amp; Larcker, D. F. (1981). Structural equation models with unobservable variables and measurement error. </w:t>
      </w:r>
      <w:r w:rsidRPr="002F69E2">
        <w:rPr>
          <w:i/>
          <w:iCs/>
          <w:color w:val="000000"/>
        </w:rPr>
        <w:t>Journal of Marketing Research</w:t>
      </w:r>
      <w:r w:rsidRPr="002F69E2">
        <w:rPr>
          <w:color w:val="000000"/>
        </w:rPr>
        <w:t>, 18 (1), 39–50</w:t>
      </w:r>
      <w:bookmarkEnd w:id="31"/>
      <w:r>
        <w:rPr>
          <w:color w:val="000000"/>
        </w:rPr>
        <w:t xml:space="preserve">. </w:t>
      </w:r>
      <w:hyperlink r:id="rId40" w:history="1">
        <w:r w:rsidRPr="00073EAD">
          <w:rPr>
            <w:rStyle w:val="Hyperlink"/>
          </w:rPr>
          <w:t>https://doi.org/10.1177/002224378101800313</w:t>
        </w:r>
      </w:hyperlink>
    </w:p>
    <w:p w14:paraId="0F39F8C2" w14:textId="77777777" w:rsidR="005E4BFA" w:rsidRDefault="005E4BFA" w:rsidP="00725550">
      <w:pPr>
        <w:spacing w:after="160"/>
        <w:ind w:left="709" w:hanging="709"/>
        <w:jc w:val="left"/>
        <w:rPr>
          <w:color w:val="000000"/>
        </w:rPr>
      </w:pPr>
      <w:r>
        <w:rPr>
          <w:color w:val="000000"/>
        </w:rPr>
        <w:t xml:space="preserve">Gefen, D., Straub, D., &amp; Boudreau, M. C. (2000). Structural equation modeling and regression: Guidelines for research practice. </w:t>
      </w:r>
      <w:r w:rsidRPr="00375FA5">
        <w:rPr>
          <w:i/>
          <w:iCs/>
          <w:color w:val="000000"/>
        </w:rPr>
        <w:t xml:space="preserve">Communications of the </w:t>
      </w:r>
      <w:r>
        <w:rPr>
          <w:i/>
          <w:iCs/>
          <w:color w:val="000000"/>
        </w:rPr>
        <w:t>A</w:t>
      </w:r>
      <w:r w:rsidRPr="00375FA5">
        <w:rPr>
          <w:i/>
          <w:iCs/>
          <w:color w:val="000000"/>
        </w:rPr>
        <w:t xml:space="preserve">ssociation for </w:t>
      </w:r>
      <w:r>
        <w:rPr>
          <w:i/>
          <w:iCs/>
          <w:color w:val="000000"/>
        </w:rPr>
        <w:t>I</w:t>
      </w:r>
      <w:r w:rsidRPr="00375FA5">
        <w:rPr>
          <w:i/>
          <w:iCs/>
          <w:color w:val="000000"/>
        </w:rPr>
        <w:t xml:space="preserve">nformation </w:t>
      </w:r>
      <w:r>
        <w:rPr>
          <w:i/>
          <w:iCs/>
          <w:color w:val="000000"/>
        </w:rPr>
        <w:t>S</w:t>
      </w:r>
      <w:r w:rsidRPr="00375FA5">
        <w:rPr>
          <w:i/>
          <w:iCs/>
          <w:color w:val="000000"/>
        </w:rPr>
        <w:t>ystems</w:t>
      </w:r>
      <w:r>
        <w:rPr>
          <w:color w:val="000000"/>
        </w:rPr>
        <w:t>, 4(1), 7.</w:t>
      </w:r>
      <w:r w:rsidRPr="00AE177C">
        <w:t xml:space="preserve"> </w:t>
      </w:r>
      <w:hyperlink r:id="rId41" w:history="1">
        <w:r w:rsidRPr="00073EAD">
          <w:rPr>
            <w:rStyle w:val="Hyperlink"/>
          </w:rPr>
          <w:t>https://doi.org/10.17705/1CAIS.00407</w:t>
        </w:r>
      </w:hyperlink>
    </w:p>
    <w:p w14:paraId="3E08E885" w14:textId="77777777" w:rsidR="005E4BFA" w:rsidRDefault="005E4BFA" w:rsidP="00725550">
      <w:pPr>
        <w:spacing w:after="240"/>
        <w:ind w:left="709" w:hanging="709"/>
        <w:jc w:val="left"/>
      </w:pPr>
      <w:r>
        <w:rPr>
          <w:color w:val="000000"/>
        </w:rPr>
        <w:t xml:space="preserve">Hair, J. F., </w:t>
      </w:r>
      <w:proofErr w:type="spellStart"/>
      <w:r>
        <w:rPr>
          <w:color w:val="000000"/>
        </w:rPr>
        <w:t>Hult</w:t>
      </w:r>
      <w:proofErr w:type="spellEnd"/>
      <w:r>
        <w:rPr>
          <w:color w:val="000000"/>
        </w:rPr>
        <w:t xml:space="preserve">, G. T. M., </w:t>
      </w:r>
      <w:proofErr w:type="spellStart"/>
      <w:r>
        <w:rPr>
          <w:color w:val="000000"/>
        </w:rPr>
        <w:t>Ringle</w:t>
      </w:r>
      <w:proofErr w:type="spellEnd"/>
      <w:r>
        <w:rPr>
          <w:color w:val="000000"/>
        </w:rPr>
        <w:t xml:space="preserve">, C. M. &amp; </w:t>
      </w:r>
      <w:proofErr w:type="spellStart"/>
      <w:r>
        <w:rPr>
          <w:color w:val="000000"/>
        </w:rPr>
        <w:t>Sarstedt</w:t>
      </w:r>
      <w:proofErr w:type="spellEnd"/>
      <w:r>
        <w:rPr>
          <w:color w:val="000000"/>
        </w:rPr>
        <w:t xml:space="preserve">, M. 2017. </w:t>
      </w:r>
      <w:r>
        <w:rPr>
          <w:i/>
          <w:color w:val="000000"/>
        </w:rPr>
        <w:t>A Primer on Partial Least Squares Structural Equation Modeling (PLS-SEM)</w:t>
      </w:r>
      <w:r>
        <w:rPr>
          <w:color w:val="000000"/>
        </w:rPr>
        <w:t>. 2</w:t>
      </w:r>
      <w:r>
        <w:rPr>
          <w:color w:val="000000"/>
          <w:vertAlign w:val="superscript"/>
        </w:rPr>
        <w:t>nd</w:t>
      </w:r>
      <w:r>
        <w:rPr>
          <w:color w:val="000000"/>
        </w:rPr>
        <w:t xml:space="preserve"> edition.</w:t>
      </w:r>
      <w:r>
        <w:rPr>
          <w:color w:val="FF0000"/>
        </w:rPr>
        <w:t xml:space="preserve"> </w:t>
      </w:r>
      <w:r>
        <w:rPr>
          <w:color w:val="000000"/>
        </w:rPr>
        <w:t>Thousand Oaks:  SAGE Publications.</w:t>
      </w:r>
    </w:p>
    <w:p w14:paraId="76CCF913" w14:textId="77777777" w:rsidR="005E4BFA" w:rsidRDefault="005E4BFA" w:rsidP="00725550">
      <w:pPr>
        <w:spacing w:after="160"/>
        <w:ind w:left="709" w:hanging="709"/>
        <w:jc w:val="left"/>
      </w:pPr>
      <w:proofErr w:type="spellStart"/>
      <w:r>
        <w:rPr>
          <w:color w:val="000000"/>
        </w:rPr>
        <w:t>Hamouche</w:t>
      </w:r>
      <w:proofErr w:type="spellEnd"/>
      <w:r>
        <w:rPr>
          <w:color w:val="000000"/>
        </w:rPr>
        <w:t xml:space="preserve"> S (2021). Human resource management and the COVID-19 crisis: implications, challenges, opportunities, and future organizational directions. </w:t>
      </w:r>
      <w:r w:rsidRPr="00375FA5">
        <w:rPr>
          <w:i/>
          <w:iCs/>
          <w:color w:val="000000"/>
        </w:rPr>
        <w:t>Journal of Management &amp; Organization</w:t>
      </w:r>
      <w:r>
        <w:rPr>
          <w:color w:val="000000"/>
        </w:rPr>
        <w:t xml:space="preserve"> 1–16. </w:t>
      </w:r>
      <w:hyperlink r:id="rId42">
        <w:r>
          <w:rPr>
            <w:color w:val="0000FF"/>
            <w:u w:val="single"/>
          </w:rPr>
          <w:t>https://doi.org/10.1017/jmo.2021.15</w:t>
        </w:r>
      </w:hyperlink>
    </w:p>
    <w:p w14:paraId="307C4809" w14:textId="77777777" w:rsidR="005E4BFA" w:rsidRDefault="005E4BFA" w:rsidP="00725550">
      <w:pPr>
        <w:spacing w:after="160"/>
        <w:ind w:left="709" w:hanging="709"/>
        <w:jc w:val="left"/>
        <w:rPr>
          <w:color w:val="000000"/>
        </w:rPr>
      </w:pPr>
      <w:proofErr w:type="spellStart"/>
      <w:r>
        <w:rPr>
          <w:color w:val="000000"/>
        </w:rPr>
        <w:t>Helfat</w:t>
      </w:r>
      <w:proofErr w:type="spellEnd"/>
      <w:r>
        <w:rPr>
          <w:color w:val="000000"/>
        </w:rPr>
        <w:t xml:space="preserve">, C. E., &amp; </w:t>
      </w:r>
      <w:proofErr w:type="spellStart"/>
      <w:r>
        <w:rPr>
          <w:color w:val="000000"/>
        </w:rPr>
        <w:t>Peteraf</w:t>
      </w:r>
      <w:proofErr w:type="spellEnd"/>
      <w:r>
        <w:rPr>
          <w:color w:val="000000"/>
        </w:rPr>
        <w:t xml:space="preserve">, M. A. (2003). The dynamic resource‐based view: Capability lifecycles. </w:t>
      </w:r>
      <w:r w:rsidRPr="00375FA5">
        <w:rPr>
          <w:i/>
          <w:iCs/>
          <w:color w:val="000000"/>
        </w:rPr>
        <w:t xml:space="preserve">Strategic </w:t>
      </w:r>
      <w:r>
        <w:rPr>
          <w:i/>
          <w:iCs/>
          <w:color w:val="000000"/>
        </w:rPr>
        <w:t>M</w:t>
      </w:r>
      <w:r w:rsidRPr="00375FA5">
        <w:rPr>
          <w:i/>
          <w:iCs/>
          <w:color w:val="000000"/>
        </w:rPr>
        <w:t xml:space="preserve">anagement </w:t>
      </w:r>
      <w:r>
        <w:rPr>
          <w:i/>
          <w:iCs/>
          <w:color w:val="000000"/>
        </w:rPr>
        <w:t>J</w:t>
      </w:r>
      <w:r w:rsidRPr="00375FA5">
        <w:rPr>
          <w:i/>
          <w:iCs/>
          <w:color w:val="000000"/>
        </w:rPr>
        <w:t>ournal</w:t>
      </w:r>
      <w:r>
        <w:rPr>
          <w:color w:val="000000"/>
        </w:rPr>
        <w:t xml:space="preserve">, 24(10), 997-1010. </w:t>
      </w:r>
      <w:hyperlink r:id="rId43" w:history="1">
        <w:r w:rsidRPr="00073EAD">
          <w:rPr>
            <w:rStyle w:val="Hyperlink"/>
          </w:rPr>
          <w:t>https://doi.org/10.1002/smj.332</w:t>
        </w:r>
      </w:hyperlink>
    </w:p>
    <w:p w14:paraId="2AE45E1B" w14:textId="77777777" w:rsidR="005E4BFA" w:rsidRDefault="005E4BFA" w:rsidP="00725550">
      <w:pPr>
        <w:spacing w:after="240"/>
        <w:ind w:left="709" w:hanging="709"/>
        <w:jc w:val="left"/>
      </w:pPr>
      <w:proofErr w:type="spellStart"/>
      <w:r>
        <w:rPr>
          <w:color w:val="000000"/>
        </w:rPr>
        <w:t>Helfat</w:t>
      </w:r>
      <w:proofErr w:type="spellEnd"/>
      <w:r>
        <w:rPr>
          <w:color w:val="000000"/>
        </w:rPr>
        <w:t xml:space="preserve">, C., Finkelstein, S., Mitchell, W., </w:t>
      </w:r>
      <w:proofErr w:type="spellStart"/>
      <w:r>
        <w:rPr>
          <w:color w:val="000000"/>
        </w:rPr>
        <w:t>Peteraf</w:t>
      </w:r>
      <w:proofErr w:type="spellEnd"/>
      <w:r>
        <w:rPr>
          <w:color w:val="000000"/>
        </w:rPr>
        <w:t xml:space="preserve">, M., Singh, H., Teece, D. &amp; Winter, S. 2007. </w:t>
      </w:r>
      <w:r>
        <w:rPr>
          <w:i/>
          <w:color w:val="000000"/>
        </w:rPr>
        <w:t>Dynamic Capabilities Understanding strategic change in organizations</w:t>
      </w:r>
      <w:r>
        <w:rPr>
          <w:color w:val="000000"/>
        </w:rPr>
        <w:t>. Blackwell Publishing</w:t>
      </w:r>
    </w:p>
    <w:p w14:paraId="182E2179" w14:textId="33FF2CED" w:rsidR="00CF1DE0" w:rsidRPr="00CF1DE0" w:rsidRDefault="005E4BFA" w:rsidP="00725550">
      <w:pPr>
        <w:spacing w:after="160"/>
        <w:ind w:left="709" w:hanging="709"/>
        <w:jc w:val="left"/>
        <w:rPr>
          <w:rStyle w:val="Hyperlink"/>
          <w:color w:val="4472C4" w:themeColor="accent1"/>
        </w:rPr>
      </w:pPr>
      <w:proofErr w:type="spellStart"/>
      <w:r>
        <w:rPr>
          <w:color w:val="000000"/>
        </w:rPr>
        <w:t>Henseler</w:t>
      </w:r>
      <w:proofErr w:type="spellEnd"/>
      <w:r>
        <w:rPr>
          <w:color w:val="000000"/>
        </w:rPr>
        <w:t xml:space="preserve">, J., </w:t>
      </w:r>
      <w:proofErr w:type="spellStart"/>
      <w:r>
        <w:rPr>
          <w:color w:val="000000"/>
        </w:rPr>
        <w:t>Ringle</w:t>
      </w:r>
      <w:proofErr w:type="spellEnd"/>
      <w:r>
        <w:rPr>
          <w:color w:val="000000"/>
        </w:rPr>
        <w:t xml:space="preserve">, C. M., &amp; </w:t>
      </w:r>
      <w:proofErr w:type="spellStart"/>
      <w:r>
        <w:rPr>
          <w:color w:val="000000"/>
        </w:rPr>
        <w:t>Sarstedt</w:t>
      </w:r>
      <w:proofErr w:type="spellEnd"/>
      <w:r>
        <w:rPr>
          <w:color w:val="000000"/>
        </w:rPr>
        <w:t xml:space="preserve">, M. (2015). A new criterion for assessing discriminant validity in variance-based structural equation modeling. </w:t>
      </w:r>
      <w:r w:rsidRPr="000678EB">
        <w:rPr>
          <w:i/>
          <w:iCs/>
          <w:color w:val="000000"/>
        </w:rPr>
        <w:t xml:space="preserve">Journal </w:t>
      </w:r>
      <w:r>
        <w:rPr>
          <w:i/>
          <w:iCs/>
          <w:color w:val="000000"/>
        </w:rPr>
        <w:t>o</w:t>
      </w:r>
      <w:r w:rsidRPr="000678EB">
        <w:rPr>
          <w:i/>
          <w:iCs/>
          <w:color w:val="000000"/>
        </w:rPr>
        <w:t xml:space="preserve">f the Academy </w:t>
      </w:r>
      <w:r>
        <w:rPr>
          <w:i/>
          <w:iCs/>
          <w:color w:val="000000"/>
        </w:rPr>
        <w:t>o</w:t>
      </w:r>
      <w:r w:rsidRPr="000678EB">
        <w:rPr>
          <w:i/>
          <w:iCs/>
          <w:color w:val="000000"/>
        </w:rPr>
        <w:t xml:space="preserve">f </w:t>
      </w:r>
      <w:r w:rsidRPr="000678EB">
        <w:rPr>
          <w:i/>
          <w:iCs/>
          <w:color w:val="000000"/>
        </w:rPr>
        <w:lastRenderedPageBreak/>
        <w:t>Marketing Science</w:t>
      </w:r>
      <w:r>
        <w:rPr>
          <w:color w:val="000000"/>
        </w:rPr>
        <w:t xml:space="preserve">, 43(1), 115-135. </w:t>
      </w:r>
      <w:hyperlink r:id="rId44" w:history="1">
        <w:r w:rsidR="00CF1DE0" w:rsidRPr="00CF1DE0">
          <w:rPr>
            <w:rStyle w:val="Hyperlink"/>
            <w:color w:val="4472C4" w:themeColor="accent1"/>
          </w:rPr>
          <w:t>https://link.springer.com/article/10.1007/s11747-014-0403-8</w:t>
        </w:r>
      </w:hyperlink>
    </w:p>
    <w:p w14:paraId="7FD16B41" w14:textId="77777777" w:rsidR="005E4BFA" w:rsidRDefault="005E4BFA" w:rsidP="00725550">
      <w:pPr>
        <w:spacing w:after="160"/>
        <w:ind w:left="709" w:hanging="709"/>
        <w:jc w:val="left"/>
        <w:rPr>
          <w:color w:val="000000"/>
        </w:rPr>
      </w:pPr>
      <w:r>
        <w:rPr>
          <w:color w:val="000000"/>
        </w:rPr>
        <w:t>Inglis, A. (2005). Quality Improvement, Quality Assurance, and Benchmarking: Comparing two frameworks for managing quality processes in open and distance learning</w:t>
      </w:r>
      <w:r w:rsidRPr="000678EB">
        <w:rPr>
          <w:i/>
          <w:iCs/>
          <w:color w:val="000000"/>
        </w:rPr>
        <w:t>. International Review of Research in Open and Distributed Learning,</w:t>
      </w:r>
      <w:r>
        <w:rPr>
          <w:color w:val="000000"/>
        </w:rPr>
        <w:t xml:space="preserve"> 6(1), 1–13. </w:t>
      </w:r>
      <w:hyperlink r:id="rId45" w:history="1">
        <w:r w:rsidRPr="00712BE3">
          <w:rPr>
            <w:rStyle w:val="Hyperlink"/>
          </w:rPr>
          <w:t>https://doi.org/10.19173/irrodl.v6i1.221</w:t>
        </w:r>
      </w:hyperlink>
    </w:p>
    <w:p w14:paraId="200C9B52" w14:textId="77777777" w:rsidR="005E4BFA" w:rsidRDefault="005E4BFA" w:rsidP="00725550">
      <w:pPr>
        <w:ind w:left="709" w:hanging="709"/>
        <w:jc w:val="left"/>
        <w:rPr>
          <w:color w:val="000000" w:themeColor="text1"/>
        </w:rPr>
      </w:pPr>
      <w:proofErr w:type="spellStart"/>
      <w:proofErr w:type="gramStart"/>
      <w:r w:rsidRPr="00BA191E">
        <w:t>Ipaye,</w:t>
      </w:r>
      <w:r>
        <w:t>B</w:t>
      </w:r>
      <w:proofErr w:type="spellEnd"/>
      <w:r>
        <w:t>.</w:t>
      </w:r>
      <w:proofErr w:type="gramEnd"/>
      <w:r w:rsidRPr="00BA191E">
        <w:t xml:space="preserve"> (2007)</w:t>
      </w:r>
      <w:r w:rsidRPr="00BA191E">
        <w:rPr>
          <w:i/>
          <w:iCs/>
        </w:rPr>
        <w:t>. Strategies for Sustainable Learners Support Services in Developing Nations, Nigeria</w:t>
      </w:r>
      <w:r w:rsidRPr="00BA191E">
        <w:t>: National Open University of Nigeria, 111-117</w:t>
      </w:r>
      <w:r w:rsidRPr="005B0B27">
        <w:rPr>
          <w:color w:val="000000" w:themeColor="text1"/>
        </w:rPr>
        <w:t xml:space="preserve">. </w:t>
      </w:r>
      <w:hyperlink r:id="rId46" w:history="1">
        <w:r w:rsidRPr="008F0523">
          <w:rPr>
            <w:rStyle w:val="Hyperlink"/>
          </w:rPr>
          <w:t>http://pcf4.dec.uwi.edu/viewpaper.php?id=57</w:t>
        </w:r>
      </w:hyperlink>
    </w:p>
    <w:p w14:paraId="1EAF5243" w14:textId="77777777" w:rsidR="005E4BFA" w:rsidRDefault="005E4BFA" w:rsidP="00725550">
      <w:pPr>
        <w:spacing w:after="160"/>
        <w:ind w:left="709" w:hanging="709"/>
        <w:jc w:val="left"/>
        <w:rPr>
          <w:color w:val="000000"/>
        </w:rPr>
      </w:pPr>
      <w:r>
        <w:rPr>
          <w:color w:val="000000"/>
        </w:rPr>
        <w:t xml:space="preserve">Jarvis, D. S. (2014). Policy transfer, neo-liberalism, or coercive institutional isomorphism? Explaining the emergence of a regulatory regime for quality assurance in the Hong Kong higher education sector. </w:t>
      </w:r>
      <w:r w:rsidRPr="004C25CF">
        <w:rPr>
          <w:i/>
          <w:iCs/>
          <w:color w:val="000000"/>
        </w:rPr>
        <w:t>Policy and Society</w:t>
      </w:r>
      <w:r>
        <w:rPr>
          <w:color w:val="000000"/>
        </w:rPr>
        <w:t>, 33(3), 237-252.</w:t>
      </w:r>
      <w:r w:rsidRPr="00AE177C">
        <w:t xml:space="preserve"> </w:t>
      </w:r>
      <w:hyperlink r:id="rId47" w:history="1">
        <w:r w:rsidRPr="00073EAD">
          <w:rPr>
            <w:rStyle w:val="Hyperlink"/>
          </w:rPr>
          <w:t>http://dx.doi.org/10.1016/j.polsoc.2014.09.003</w:t>
        </w:r>
      </w:hyperlink>
    </w:p>
    <w:p w14:paraId="46F39407" w14:textId="77777777" w:rsidR="005E4BFA" w:rsidRDefault="005E4BFA" w:rsidP="00725550">
      <w:pPr>
        <w:ind w:left="709" w:hanging="709"/>
        <w:jc w:val="left"/>
        <w:rPr>
          <w:color w:val="000000"/>
        </w:rPr>
      </w:pPr>
      <w:r>
        <w:rPr>
          <w:color w:val="000000"/>
        </w:rPr>
        <w:t xml:space="preserve">Kant, N. (2019). Competitiveness in ODL from stakeholders’ perspective: a review and research agenda. </w:t>
      </w:r>
      <w:r w:rsidRPr="004C25CF">
        <w:rPr>
          <w:i/>
          <w:iCs/>
          <w:color w:val="000000"/>
        </w:rPr>
        <w:t>Turkish Online Journal of Distance Education</w:t>
      </w:r>
      <w:r>
        <w:rPr>
          <w:color w:val="000000"/>
        </w:rPr>
        <w:t>, Vol. 20 No. 3, pp. 59-72.</w:t>
      </w:r>
      <w:r w:rsidRPr="00AE177C">
        <w:rPr>
          <w:color w:val="000000"/>
        </w:rPr>
        <w:t xml:space="preserve"> </w:t>
      </w:r>
      <w:r>
        <w:rPr>
          <w:color w:val="000000"/>
        </w:rPr>
        <w:t xml:space="preserve"> </w:t>
      </w:r>
      <w:hyperlink r:id="rId48" w:history="1">
        <w:r w:rsidRPr="00073EAD">
          <w:rPr>
            <w:rStyle w:val="Hyperlink"/>
          </w:rPr>
          <w:t>https://doi.org/10.17718/tojde.598221</w:t>
        </w:r>
      </w:hyperlink>
    </w:p>
    <w:p w14:paraId="0982B985" w14:textId="77777777" w:rsidR="005E4BFA" w:rsidRDefault="005E4BFA" w:rsidP="00725550">
      <w:pPr>
        <w:spacing w:after="160"/>
        <w:ind w:left="709" w:hanging="709"/>
        <w:jc w:val="left"/>
        <w:rPr>
          <w:color w:val="000000"/>
        </w:rPr>
      </w:pPr>
      <w:r>
        <w:rPr>
          <w:color w:val="000000"/>
        </w:rPr>
        <w:t xml:space="preserve">Kauppi, K. (2013). Extending the use of institutional theory in operations and supply chain management research: Review and research suggestions. </w:t>
      </w:r>
      <w:r w:rsidRPr="004C25CF">
        <w:rPr>
          <w:i/>
          <w:iCs/>
          <w:color w:val="000000"/>
        </w:rPr>
        <w:t>International Journal of Operations &amp; Production Management</w:t>
      </w:r>
      <w:r>
        <w:rPr>
          <w:i/>
          <w:iCs/>
          <w:color w:val="000000"/>
        </w:rPr>
        <w:t>,</w:t>
      </w:r>
      <w:r w:rsidRPr="004C25CF">
        <w:t xml:space="preserve"> </w:t>
      </w:r>
      <w:r w:rsidRPr="004C25CF">
        <w:rPr>
          <w:color w:val="000000"/>
        </w:rPr>
        <w:t>33(10), 1318–1345.</w:t>
      </w:r>
      <w:r>
        <w:rPr>
          <w:color w:val="000000"/>
        </w:rPr>
        <w:t xml:space="preserve"> </w:t>
      </w:r>
      <w:hyperlink r:id="rId49" w:history="1">
        <w:r w:rsidRPr="00073EAD">
          <w:rPr>
            <w:rStyle w:val="Hyperlink"/>
          </w:rPr>
          <w:t>https://doi.org/10.1108/IJOPM-10-2011-0364</w:t>
        </w:r>
      </w:hyperlink>
    </w:p>
    <w:p w14:paraId="7713E926" w14:textId="77777777" w:rsidR="005E4BFA" w:rsidRDefault="005E4BFA" w:rsidP="00725550">
      <w:pPr>
        <w:ind w:left="709" w:hanging="709"/>
        <w:jc w:val="left"/>
        <w:rPr>
          <w:color w:val="000000"/>
        </w:rPr>
      </w:pPr>
      <w:r>
        <w:rPr>
          <w:color w:val="000000"/>
        </w:rPr>
        <w:t>Kearns, L. R. (2012). Student assessment in online learning: Challenges and effective practices</w:t>
      </w:r>
      <w:r w:rsidRPr="0014341F">
        <w:rPr>
          <w:i/>
          <w:iCs/>
          <w:color w:val="000000"/>
        </w:rPr>
        <w:t>. Journal of Online Learning and Teaching</w:t>
      </w:r>
      <w:r>
        <w:rPr>
          <w:color w:val="000000"/>
        </w:rPr>
        <w:t xml:space="preserve">, 8(3), 198. </w:t>
      </w:r>
      <w:hyperlink r:id="rId50" w:history="1">
        <w:r w:rsidRPr="00073EAD">
          <w:rPr>
            <w:rStyle w:val="Hyperlink"/>
          </w:rPr>
          <w:t>https://jolt.merlot.org/vol8no3/kearns_0912.pdf</w:t>
        </w:r>
      </w:hyperlink>
    </w:p>
    <w:p w14:paraId="51E43BBB" w14:textId="77777777" w:rsidR="005E4BFA" w:rsidRDefault="005E4BFA" w:rsidP="00725550">
      <w:pPr>
        <w:spacing w:after="160"/>
        <w:ind w:left="709" w:hanging="709"/>
        <w:jc w:val="left"/>
        <w:rPr>
          <w:rStyle w:val="Hyperlink"/>
        </w:rPr>
      </w:pPr>
      <w:r>
        <w:rPr>
          <w:color w:val="000000"/>
        </w:rPr>
        <w:lastRenderedPageBreak/>
        <w:t xml:space="preserve">Levy, S. (2003). Factors to consider when planning online distance learning programs in higher education. </w:t>
      </w:r>
      <w:r w:rsidRPr="0014341F">
        <w:rPr>
          <w:i/>
          <w:iCs/>
          <w:color w:val="000000"/>
        </w:rPr>
        <w:t>Online Journal of Distance Learning Administration</w:t>
      </w:r>
      <w:r>
        <w:rPr>
          <w:color w:val="000000"/>
        </w:rPr>
        <w:t xml:space="preserve">, VI (1), 1-19. </w:t>
      </w:r>
      <w:hyperlink r:id="rId51" w:history="1">
        <w:r w:rsidRPr="00073EAD">
          <w:rPr>
            <w:rStyle w:val="Hyperlink"/>
          </w:rPr>
          <w:t>https://citeseerx.ist.psu.edu/viewdoc/summary?doi=10.1.1.628.8594</w:t>
        </w:r>
      </w:hyperlink>
    </w:p>
    <w:p w14:paraId="3BD4688C" w14:textId="77777777" w:rsidR="005E4BFA" w:rsidRDefault="005E4BFA" w:rsidP="00725550">
      <w:pPr>
        <w:spacing w:after="160"/>
        <w:ind w:left="709" w:hanging="709"/>
        <w:jc w:val="left"/>
        <w:rPr>
          <w:color w:val="000000"/>
        </w:rPr>
      </w:pPr>
      <w:proofErr w:type="spellStart"/>
      <w:r w:rsidRPr="009265AF">
        <w:rPr>
          <w:color w:val="000000"/>
        </w:rPr>
        <w:t>Lim.M</w:t>
      </w:r>
      <w:proofErr w:type="spellEnd"/>
      <w:r w:rsidRPr="009265AF">
        <w:rPr>
          <w:color w:val="000000"/>
        </w:rPr>
        <w:t xml:space="preserve">., (2020). The educating despite the COVID-19 outbreak: lessons from Singapore. </w:t>
      </w:r>
      <w:r w:rsidRPr="00CF1DE0">
        <w:rPr>
          <w:i/>
          <w:iCs/>
          <w:color w:val="000000"/>
        </w:rPr>
        <w:t>Times Higher Education</w:t>
      </w:r>
      <w:r w:rsidRPr="009265AF">
        <w:rPr>
          <w:color w:val="000000"/>
        </w:rPr>
        <w:t xml:space="preserve">. 2020. </w:t>
      </w:r>
      <w:hyperlink r:id="rId52" w:history="1">
        <w:r w:rsidRPr="00AF4F1E">
          <w:rPr>
            <w:rStyle w:val="Hyperlink"/>
          </w:rPr>
          <w:t>https://www.timeshighereducation.com/blog/educating-despite-covid-19-outbreak-lessons-singapore</w:t>
        </w:r>
      </w:hyperlink>
    </w:p>
    <w:p w14:paraId="5EBBA71D" w14:textId="77777777" w:rsidR="005E4BFA" w:rsidRDefault="005E4BFA" w:rsidP="00725550">
      <w:pPr>
        <w:spacing w:after="160"/>
        <w:ind w:left="709" w:hanging="709"/>
        <w:jc w:val="left"/>
        <w:rPr>
          <w:color w:val="000000"/>
        </w:rPr>
      </w:pPr>
      <w:r w:rsidRPr="002E0EAC">
        <w:rPr>
          <w:color w:val="000000"/>
        </w:rPr>
        <w:t xml:space="preserve">Liu, Y., Lee, J. M., &amp; Lee, C. (2020). The challenges and opportunities of a global health crisis: The management and business implications of COVID-19 from an Asian perspective. </w:t>
      </w:r>
      <w:r w:rsidRPr="002E0EAC">
        <w:rPr>
          <w:i/>
          <w:iCs/>
          <w:color w:val="000000"/>
        </w:rPr>
        <w:t>Asian Business &amp; Management</w:t>
      </w:r>
      <w:r w:rsidRPr="002E0EAC">
        <w:rPr>
          <w:color w:val="000000"/>
        </w:rPr>
        <w:t xml:space="preserve">, 19, 277–297. </w:t>
      </w:r>
      <w:hyperlink r:id="rId53" w:history="1">
        <w:r w:rsidRPr="002E0EAC">
          <w:rPr>
            <w:rStyle w:val="Hyperlink"/>
          </w:rPr>
          <w:t>https://link.springer.com/article/10.1057/s41291-020-00119-x</w:t>
        </w:r>
      </w:hyperlink>
    </w:p>
    <w:p w14:paraId="6006DEB9" w14:textId="77777777" w:rsidR="005E4BFA" w:rsidRDefault="005E4BFA" w:rsidP="00725550">
      <w:pPr>
        <w:ind w:left="709" w:hanging="709"/>
        <w:jc w:val="left"/>
        <w:rPr>
          <w:color w:val="000000"/>
        </w:rPr>
      </w:pPr>
      <w:r>
        <w:rPr>
          <w:color w:val="000000"/>
        </w:rPr>
        <w:t xml:space="preserve">Mayanja, J. (2019). Promoting student support in Open and Distance learning using Information and Communication Technologies. </w:t>
      </w:r>
      <w:r w:rsidRPr="0014341F">
        <w:rPr>
          <w:i/>
          <w:iCs/>
          <w:color w:val="000000"/>
        </w:rPr>
        <w:t>Journal of Learning for Development</w:t>
      </w:r>
      <w:r>
        <w:rPr>
          <w:i/>
          <w:iCs/>
          <w:color w:val="000000"/>
        </w:rPr>
        <w:t>,</w:t>
      </w:r>
      <w:r w:rsidRPr="0014341F">
        <w:t xml:space="preserve"> </w:t>
      </w:r>
      <w:r w:rsidRPr="0014341F">
        <w:rPr>
          <w:color w:val="000000"/>
        </w:rPr>
        <w:t>6(2), 177-186.</w:t>
      </w:r>
      <w:r w:rsidRPr="005D2598">
        <w:t xml:space="preserve"> </w:t>
      </w:r>
      <w:hyperlink r:id="rId54" w:history="1">
        <w:r w:rsidRPr="00073EAD">
          <w:rPr>
            <w:rStyle w:val="Hyperlink"/>
          </w:rPr>
          <w:t>https://jl4d.org/index.php/ejl4d/article/download/360/407?inline=1</w:t>
        </w:r>
      </w:hyperlink>
    </w:p>
    <w:p w14:paraId="029B3B39" w14:textId="77777777" w:rsidR="005E4BFA" w:rsidRDefault="005E4BFA" w:rsidP="00725550">
      <w:pPr>
        <w:ind w:left="709" w:hanging="709"/>
        <w:jc w:val="left"/>
      </w:pPr>
      <w:r w:rsidRPr="00BA191E">
        <w:t xml:space="preserve">McKay, V., &amp; </w:t>
      </w:r>
      <w:proofErr w:type="spellStart"/>
      <w:r w:rsidRPr="00BA191E">
        <w:t>Makhanya</w:t>
      </w:r>
      <w:proofErr w:type="spellEnd"/>
      <w:r w:rsidRPr="00BA191E">
        <w:t xml:space="preserve">, M. (2008). Making it work for the South: Using open and distance learning in the context of development. In T. Evans, M. </w:t>
      </w:r>
      <w:proofErr w:type="spellStart"/>
      <w:r w:rsidRPr="00BA191E">
        <w:t>Haughey</w:t>
      </w:r>
      <w:proofErr w:type="spellEnd"/>
      <w:r w:rsidRPr="00BA191E">
        <w:t xml:space="preserve"> &amp; D. Murphy (Eds.), </w:t>
      </w:r>
      <w:r w:rsidRPr="00BA191E">
        <w:rPr>
          <w:i/>
          <w:iCs/>
        </w:rPr>
        <w:t>International handbook of distance education</w:t>
      </w:r>
      <w:r w:rsidRPr="00BA191E">
        <w:t xml:space="preserve"> (pp. 29-48). Bingley: Emerald.</w:t>
      </w:r>
    </w:p>
    <w:p w14:paraId="183BAF49" w14:textId="77777777" w:rsidR="005E4BFA" w:rsidRDefault="005E4BFA" w:rsidP="00725550">
      <w:pPr>
        <w:ind w:left="709" w:hanging="709"/>
        <w:jc w:val="left"/>
        <w:rPr>
          <w:color w:val="000000"/>
        </w:rPr>
      </w:pPr>
      <w:proofErr w:type="spellStart"/>
      <w:r>
        <w:rPr>
          <w:color w:val="000000"/>
        </w:rPr>
        <w:t>Minnaar</w:t>
      </w:r>
      <w:proofErr w:type="spellEnd"/>
      <w:r>
        <w:rPr>
          <w:color w:val="000000"/>
        </w:rPr>
        <w:t xml:space="preserve">, A. (2013). Challenges for Successful Planning of Open and Distance Learning (ODL): A Template Analysis. </w:t>
      </w:r>
      <w:r w:rsidRPr="008C130B">
        <w:rPr>
          <w:i/>
          <w:iCs/>
          <w:color w:val="000000"/>
        </w:rPr>
        <w:t>International Review of Research in Open and Distance Learning</w:t>
      </w:r>
      <w:r>
        <w:rPr>
          <w:color w:val="000000"/>
        </w:rPr>
        <w:t xml:space="preserve">. 14. 81-108. </w:t>
      </w:r>
      <w:hyperlink r:id="rId55" w:history="1">
        <w:r w:rsidRPr="00073EAD">
          <w:rPr>
            <w:rStyle w:val="Hyperlink"/>
          </w:rPr>
          <w:t>https://doi.org/10.19173/irrodl.v14i3.1387</w:t>
        </w:r>
      </w:hyperlink>
    </w:p>
    <w:p w14:paraId="44C03221" w14:textId="77777777" w:rsidR="005E4BFA" w:rsidRDefault="005E4BFA" w:rsidP="00725550">
      <w:pPr>
        <w:ind w:left="709" w:hanging="709"/>
        <w:jc w:val="left"/>
        <w:rPr>
          <w:color w:val="000000"/>
        </w:rPr>
      </w:pPr>
      <w:r>
        <w:rPr>
          <w:color w:val="000000"/>
        </w:rPr>
        <w:t xml:space="preserve">Mkhize, P., </w:t>
      </w:r>
      <w:proofErr w:type="spellStart"/>
      <w:r>
        <w:rPr>
          <w:color w:val="000000"/>
        </w:rPr>
        <w:t>Mtsweni</w:t>
      </w:r>
      <w:proofErr w:type="spellEnd"/>
      <w:r>
        <w:rPr>
          <w:color w:val="000000"/>
        </w:rPr>
        <w:t xml:space="preserve">, E. S., &amp; Buthelezi, P. (2016). Diffusion of innovations approach to the evaluation of learning management system usage in an open distance learning institution. </w:t>
      </w:r>
      <w:r w:rsidRPr="008C130B">
        <w:rPr>
          <w:i/>
          <w:iCs/>
          <w:color w:val="000000"/>
        </w:rPr>
        <w:t>International Review of Research in Open and Distributed Learning</w:t>
      </w:r>
      <w:r>
        <w:rPr>
          <w:color w:val="000000"/>
        </w:rPr>
        <w:t>, 17(3), 295-312.</w:t>
      </w:r>
      <w:r w:rsidRPr="005D2598">
        <w:t xml:space="preserve"> </w:t>
      </w:r>
      <w:hyperlink r:id="rId56" w:history="1">
        <w:r w:rsidRPr="00073EAD">
          <w:rPr>
            <w:rStyle w:val="Hyperlink"/>
          </w:rPr>
          <w:t>https://doi.org/10.19173/irrodl.v17i3.2191</w:t>
        </w:r>
      </w:hyperlink>
    </w:p>
    <w:p w14:paraId="1C4FE5B8" w14:textId="77777777" w:rsidR="005E4BFA" w:rsidRDefault="005E4BFA" w:rsidP="00725550">
      <w:pPr>
        <w:ind w:left="709" w:hanging="709"/>
        <w:jc w:val="left"/>
        <w:rPr>
          <w:color w:val="000000"/>
        </w:rPr>
      </w:pPr>
      <w:r w:rsidRPr="0081483B">
        <w:rPr>
          <w:color w:val="000000"/>
        </w:rPr>
        <w:lastRenderedPageBreak/>
        <w:t>Murphy, M. P. (2020). COVID-19 and emergency eLearning: Consequences of the securitization of higher education for post-pandemic pedagogy. </w:t>
      </w:r>
      <w:r w:rsidRPr="0081483B">
        <w:rPr>
          <w:i/>
          <w:iCs/>
          <w:color w:val="000000"/>
        </w:rPr>
        <w:t>Contemporary Security Policy</w:t>
      </w:r>
      <w:r w:rsidRPr="0081483B">
        <w:rPr>
          <w:color w:val="000000"/>
        </w:rPr>
        <w:t>, </w:t>
      </w:r>
      <w:r w:rsidRPr="0081483B">
        <w:rPr>
          <w:i/>
          <w:iCs/>
          <w:color w:val="000000"/>
        </w:rPr>
        <w:t>41</w:t>
      </w:r>
      <w:r w:rsidRPr="0081483B">
        <w:rPr>
          <w:color w:val="000000"/>
        </w:rPr>
        <w:t>(3), 492-505.</w:t>
      </w:r>
      <w:r>
        <w:rPr>
          <w:color w:val="000000"/>
        </w:rPr>
        <w:t xml:space="preserve"> </w:t>
      </w:r>
      <w:hyperlink r:id="rId57" w:history="1">
        <w:r w:rsidRPr="00073EAD">
          <w:rPr>
            <w:rStyle w:val="Hyperlink"/>
          </w:rPr>
          <w:t>https://doi.org/10.1080/13523260.2020.1761749</w:t>
        </w:r>
      </w:hyperlink>
    </w:p>
    <w:p w14:paraId="402C937E" w14:textId="77777777" w:rsidR="005E4BFA" w:rsidRDefault="005E4BFA" w:rsidP="00725550">
      <w:pPr>
        <w:ind w:left="709" w:hanging="709"/>
        <w:jc w:val="left"/>
      </w:pPr>
      <w:proofErr w:type="spellStart"/>
      <w:r>
        <w:t>Nyangarika</w:t>
      </w:r>
      <w:proofErr w:type="spellEnd"/>
      <w:r>
        <w:t xml:space="preserve">, A., &amp; Bundala, F. S. (2020). Challenges Facing Administration System for Quality Improvement on ODL Programs in Tanzania. </w:t>
      </w:r>
      <w:r w:rsidRPr="008C130B">
        <w:rPr>
          <w:i/>
          <w:iCs/>
        </w:rPr>
        <w:t>International Journal of Advance Research and Innovative Ideas in Education</w:t>
      </w:r>
      <w:r>
        <w:t>, 6(2), 1259-1272.</w:t>
      </w:r>
      <w:r w:rsidRPr="005E4BFA">
        <w:t xml:space="preserve"> </w:t>
      </w:r>
      <w:hyperlink r:id="rId58" w:history="1">
        <w:r w:rsidRPr="008F0523">
          <w:rPr>
            <w:rStyle w:val="Hyperlink"/>
          </w:rPr>
          <w:t>https://www.researchgate.net/publication/340502594</w:t>
        </w:r>
      </w:hyperlink>
    </w:p>
    <w:p w14:paraId="092325D7" w14:textId="77777777" w:rsidR="005E4BFA" w:rsidRDefault="005E4BFA" w:rsidP="00725550">
      <w:pPr>
        <w:pStyle w:val="NoSpacing"/>
        <w:spacing w:line="480" w:lineRule="auto"/>
        <w:ind w:left="709" w:hanging="709"/>
        <w:jc w:val="left"/>
      </w:pPr>
      <w:r w:rsidRPr="003137A0">
        <w:t>Powell, T. C., &amp; Dent‐Micallef, A. (1997). Information technology as competitive advantage: The role of human, business, and technology resources. </w:t>
      </w:r>
      <w:r w:rsidRPr="003137A0">
        <w:rPr>
          <w:i/>
          <w:iCs/>
        </w:rPr>
        <w:t>Strategic Management Journal</w:t>
      </w:r>
      <w:r w:rsidRPr="003137A0">
        <w:t>, 18(5),375-405.</w:t>
      </w:r>
      <w:r>
        <w:t xml:space="preserve"> </w:t>
      </w:r>
    </w:p>
    <w:p w14:paraId="246F4D26" w14:textId="77777777" w:rsidR="005E4BFA" w:rsidRDefault="005E4BFA" w:rsidP="00725550">
      <w:pPr>
        <w:spacing w:after="160"/>
        <w:ind w:left="709" w:hanging="709"/>
        <w:jc w:val="left"/>
        <w:rPr>
          <w:color w:val="000000"/>
        </w:rPr>
      </w:pPr>
      <w:r>
        <w:rPr>
          <w:color w:val="000000"/>
        </w:rPr>
        <w:t xml:space="preserve">Prasad, K., &amp; Vaidya, R.W. (2020). Association among COVID-19 parameters, occupational stress and employee performance: An empirical study with reference to the agricultural research sector in Hyderabad Metro. </w:t>
      </w:r>
      <w:r w:rsidRPr="008C130B">
        <w:rPr>
          <w:i/>
          <w:iCs/>
          <w:color w:val="000000"/>
        </w:rPr>
        <w:t xml:space="preserve">Sustainable Human </w:t>
      </w:r>
      <w:r>
        <w:rPr>
          <w:i/>
          <w:iCs/>
          <w:color w:val="000000"/>
        </w:rPr>
        <w:t>S</w:t>
      </w:r>
      <w:r w:rsidRPr="008C130B">
        <w:rPr>
          <w:i/>
          <w:iCs/>
          <w:color w:val="000000"/>
        </w:rPr>
        <w:t>phere</w:t>
      </w:r>
      <w:r>
        <w:rPr>
          <w:color w:val="000000"/>
        </w:rPr>
        <w:t>, 16(2), 235–253.</w:t>
      </w:r>
      <w:r w:rsidRPr="005E4BFA">
        <w:rPr>
          <w:color w:val="000000"/>
        </w:rPr>
        <w:t xml:space="preserve"> </w:t>
      </w:r>
      <w:hyperlink r:id="rId59" w:history="1">
        <w:r w:rsidRPr="008F0523">
          <w:rPr>
            <w:rStyle w:val="Hyperlink"/>
          </w:rPr>
          <w:t>https://www.researchgate.net/publication/341211360</w:t>
        </w:r>
      </w:hyperlink>
    </w:p>
    <w:p w14:paraId="5CEF6C71" w14:textId="77777777" w:rsidR="005E4BFA" w:rsidRDefault="005E4BFA" w:rsidP="00725550">
      <w:pPr>
        <w:spacing w:after="160"/>
        <w:ind w:left="709" w:hanging="709"/>
        <w:jc w:val="left"/>
        <w:rPr>
          <w:color w:val="000000"/>
        </w:rPr>
      </w:pPr>
      <w:proofErr w:type="spellStart"/>
      <w:r>
        <w:rPr>
          <w:color w:val="000000"/>
        </w:rPr>
        <w:t>Prasetyo</w:t>
      </w:r>
      <w:proofErr w:type="spellEnd"/>
      <w:r>
        <w:rPr>
          <w:color w:val="000000"/>
        </w:rPr>
        <w:t xml:space="preserve">, A. R., </w:t>
      </w:r>
      <w:proofErr w:type="spellStart"/>
      <w:r>
        <w:rPr>
          <w:color w:val="000000"/>
        </w:rPr>
        <w:t>Nurtjahjanti</w:t>
      </w:r>
      <w:proofErr w:type="spellEnd"/>
      <w:r>
        <w:rPr>
          <w:color w:val="000000"/>
        </w:rPr>
        <w:t xml:space="preserve">, H., &amp; </w:t>
      </w:r>
      <w:proofErr w:type="spellStart"/>
      <w:r>
        <w:rPr>
          <w:color w:val="000000"/>
        </w:rPr>
        <w:t>Ardhiani</w:t>
      </w:r>
      <w:proofErr w:type="spellEnd"/>
      <w:r>
        <w:rPr>
          <w:color w:val="000000"/>
        </w:rPr>
        <w:t xml:space="preserve">, L. N. (2021). Impact of changes in teaching methods during the COVID-19 pandemic: the effect of integrative e-learning on readiness for change and interest in learning among Indonesian university students. </w:t>
      </w:r>
      <w:r w:rsidRPr="008C130B">
        <w:rPr>
          <w:i/>
          <w:iCs/>
          <w:color w:val="000000"/>
        </w:rPr>
        <w:t>International Review of Research in Open and Distributed Learning</w:t>
      </w:r>
      <w:r>
        <w:rPr>
          <w:color w:val="000000"/>
        </w:rPr>
        <w:t>, 22(2), 87-101.</w:t>
      </w:r>
      <w:r w:rsidRPr="005D2598">
        <w:t xml:space="preserve"> </w:t>
      </w:r>
      <w:hyperlink r:id="rId60" w:history="1">
        <w:r w:rsidRPr="00AF4F1E">
          <w:rPr>
            <w:rStyle w:val="Hyperlink"/>
          </w:rPr>
          <w:t>https://doi.org/10.19173/irrodl.v22i2.5143</w:t>
        </w:r>
      </w:hyperlink>
    </w:p>
    <w:p w14:paraId="68200962" w14:textId="77777777" w:rsidR="005E4BFA" w:rsidRDefault="005E4BFA" w:rsidP="00725550">
      <w:pPr>
        <w:ind w:left="709" w:hanging="709"/>
        <w:jc w:val="left"/>
        <w:rPr>
          <w:color w:val="000000"/>
        </w:rPr>
      </w:pPr>
      <w:proofErr w:type="spellStart"/>
      <w:r>
        <w:rPr>
          <w:color w:val="000000"/>
        </w:rPr>
        <w:t>Puspitasari</w:t>
      </w:r>
      <w:proofErr w:type="spellEnd"/>
      <w:r>
        <w:rPr>
          <w:color w:val="000000"/>
        </w:rPr>
        <w:t xml:space="preserve">, K. A., &amp; </w:t>
      </w:r>
      <w:proofErr w:type="spellStart"/>
      <w:r>
        <w:rPr>
          <w:color w:val="000000"/>
        </w:rPr>
        <w:t>Oetoyo</w:t>
      </w:r>
      <w:proofErr w:type="spellEnd"/>
      <w:r>
        <w:rPr>
          <w:color w:val="000000"/>
        </w:rPr>
        <w:t xml:space="preserve">, B. (2018). Successful Students in an Open and Distance Learning System. </w:t>
      </w:r>
      <w:r w:rsidRPr="008C130B">
        <w:rPr>
          <w:i/>
          <w:iCs/>
          <w:color w:val="000000"/>
        </w:rPr>
        <w:t>Turkish Online Journal of Distance Education</w:t>
      </w:r>
      <w:r>
        <w:rPr>
          <w:color w:val="000000"/>
        </w:rPr>
        <w:t>, 19(2), 189-200.</w:t>
      </w:r>
      <w:r w:rsidRPr="005D2598">
        <w:t xml:space="preserve"> </w:t>
      </w:r>
      <w:hyperlink r:id="rId61" w:history="1">
        <w:r w:rsidRPr="00073EAD">
          <w:rPr>
            <w:rStyle w:val="Hyperlink"/>
          </w:rPr>
          <w:t>https://doi.org/10.17718/tojde.415837</w:t>
        </w:r>
      </w:hyperlink>
    </w:p>
    <w:p w14:paraId="3014E8BE" w14:textId="77777777" w:rsidR="005E4BFA" w:rsidRDefault="005E4BFA" w:rsidP="00725550">
      <w:pPr>
        <w:spacing w:after="160"/>
        <w:ind w:left="709" w:hanging="709"/>
        <w:jc w:val="left"/>
        <w:rPr>
          <w:color w:val="000000" w:themeColor="text1"/>
        </w:rPr>
      </w:pPr>
      <w:r w:rsidRPr="00A62564">
        <w:rPr>
          <w:color w:val="000000" w:themeColor="text1"/>
        </w:rPr>
        <w:t>Quick Facts Malaysia Educational Statistics, (2020). Education Micro Data Planning Sector, Education Planning and Research Division, Ministry of Education Malaysia</w:t>
      </w:r>
      <w:r w:rsidRPr="008C130B">
        <w:rPr>
          <w:color w:val="FF0000"/>
        </w:rPr>
        <w:t>.</w:t>
      </w:r>
      <w:r w:rsidRPr="005E4BFA">
        <w:t xml:space="preserve"> </w:t>
      </w:r>
      <w:hyperlink r:id="rId62" w:history="1">
        <w:r w:rsidRPr="008F0523">
          <w:rPr>
            <w:rStyle w:val="Hyperlink"/>
          </w:rPr>
          <w:t>https://www.moe.gov.my/menumedia/media-cetak/penerbitan/quick-facts/3719-quick-facts-2020/file</w:t>
        </w:r>
      </w:hyperlink>
    </w:p>
    <w:p w14:paraId="2D318955" w14:textId="77777777" w:rsidR="005E4BFA" w:rsidRDefault="005E4BFA" w:rsidP="00725550">
      <w:pPr>
        <w:ind w:left="709" w:hanging="709"/>
        <w:jc w:val="left"/>
        <w:rPr>
          <w:color w:val="000000"/>
        </w:rPr>
      </w:pPr>
      <w:proofErr w:type="spellStart"/>
      <w:r>
        <w:rPr>
          <w:color w:val="000000"/>
        </w:rPr>
        <w:t>Raaheim</w:t>
      </w:r>
      <w:proofErr w:type="spellEnd"/>
      <w:r>
        <w:rPr>
          <w:color w:val="000000"/>
        </w:rPr>
        <w:t xml:space="preserve">, A., </w:t>
      </w:r>
      <w:proofErr w:type="spellStart"/>
      <w:r>
        <w:rPr>
          <w:color w:val="000000"/>
        </w:rPr>
        <w:t>Mathiassen</w:t>
      </w:r>
      <w:proofErr w:type="spellEnd"/>
      <w:r>
        <w:rPr>
          <w:color w:val="000000"/>
        </w:rPr>
        <w:t xml:space="preserve">, K., Moen, V., Lona, I., </w:t>
      </w:r>
      <w:proofErr w:type="spellStart"/>
      <w:r>
        <w:rPr>
          <w:color w:val="000000"/>
        </w:rPr>
        <w:t>Gynnild</w:t>
      </w:r>
      <w:proofErr w:type="spellEnd"/>
      <w:r>
        <w:rPr>
          <w:color w:val="000000"/>
        </w:rPr>
        <w:t xml:space="preserve">, V., </w:t>
      </w:r>
      <w:proofErr w:type="spellStart"/>
      <w:r>
        <w:rPr>
          <w:color w:val="000000"/>
        </w:rPr>
        <w:t>Bunæs</w:t>
      </w:r>
      <w:proofErr w:type="spellEnd"/>
      <w:r>
        <w:rPr>
          <w:color w:val="000000"/>
        </w:rPr>
        <w:t xml:space="preserve">, B. R., &amp; </w:t>
      </w:r>
      <w:proofErr w:type="spellStart"/>
      <w:r>
        <w:rPr>
          <w:color w:val="000000"/>
        </w:rPr>
        <w:t>Hasle</w:t>
      </w:r>
      <w:proofErr w:type="spellEnd"/>
      <w:r>
        <w:rPr>
          <w:color w:val="000000"/>
        </w:rPr>
        <w:t xml:space="preserve">, E. T. (2019). Digital assessment–how does it challenge local practices and national law? A Norwegian case </w:t>
      </w:r>
      <w:proofErr w:type="gramStart"/>
      <w:r>
        <w:rPr>
          <w:color w:val="000000"/>
        </w:rPr>
        <w:t>study</w:t>
      </w:r>
      <w:proofErr w:type="gramEnd"/>
      <w:r w:rsidRPr="008C130B">
        <w:rPr>
          <w:i/>
          <w:iCs/>
          <w:color w:val="000000"/>
        </w:rPr>
        <w:t>. European Journal of Higher Education</w:t>
      </w:r>
      <w:r>
        <w:rPr>
          <w:color w:val="000000"/>
        </w:rPr>
        <w:t>, 9(2), 219-231.</w:t>
      </w:r>
      <w:r w:rsidRPr="004C6B4B">
        <w:t xml:space="preserve"> </w:t>
      </w:r>
      <w:hyperlink r:id="rId63" w:history="1">
        <w:r w:rsidRPr="00073EAD">
          <w:rPr>
            <w:rStyle w:val="Hyperlink"/>
          </w:rPr>
          <w:t>https://doi.org/10.1080/21568235.2018.1541420</w:t>
        </w:r>
      </w:hyperlink>
    </w:p>
    <w:p w14:paraId="606E4038" w14:textId="77777777" w:rsidR="005E4BFA" w:rsidRDefault="005E4BFA" w:rsidP="00725550">
      <w:pPr>
        <w:ind w:left="709" w:hanging="709"/>
        <w:jc w:val="left"/>
        <w:rPr>
          <w:color w:val="000000"/>
        </w:rPr>
      </w:pPr>
      <w:proofErr w:type="spellStart"/>
      <w:r>
        <w:rPr>
          <w:color w:val="000000"/>
        </w:rPr>
        <w:t>Rudhumbu</w:t>
      </w:r>
      <w:proofErr w:type="spellEnd"/>
      <w:r>
        <w:rPr>
          <w:color w:val="000000"/>
        </w:rPr>
        <w:t xml:space="preserve">, N. (2021). University Students’ Persistence with Technology-Mediated Distance Education: A Response to COVID-19 and beyond in Zimbabwe. </w:t>
      </w:r>
      <w:r w:rsidRPr="008C130B">
        <w:rPr>
          <w:i/>
          <w:iCs/>
          <w:color w:val="000000"/>
        </w:rPr>
        <w:t>International Review of Research in Open and Distributed Learning</w:t>
      </w:r>
      <w:r>
        <w:rPr>
          <w:color w:val="000000"/>
        </w:rPr>
        <w:t xml:space="preserve">, 22(4), 89-108. </w:t>
      </w:r>
      <w:hyperlink r:id="rId64" w:history="1">
        <w:r w:rsidRPr="00073EAD">
          <w:rPr>
            <w:rStyle w:val="Hyperlink"/>
          </w:rPr>
          <w:t>https://doi.org/10.19173/irrodl.v23i1.5758</w:t>
        </w:r>
      </w:hyperlink>
    </w:p>
    <w:p w14:paraId="00A282FB" w14:textId="77777777" w:rsidR="005E4BFA" w:rsidRDefault="005E4BFA" w:rsidP="00725550">
      <w:pPr>
        <w:spacing w:after="160"/>
        <w:ind w:left="709" w:hanging="709"/>
        <w:jc w:val="left"/>
        <w:rPr>
          <w:color w:val="000000"/>
        </w:rPr>
      </w:pPr>
      <w:r w:rsidRPr="002F69E2">
        <w:rPr>
          <w:color w:val="000000" w:themeColor="text1"/>
        </w:rPr>
        <w:t xml:space="preserve">Sales de Aguiar, T. R., &amp; Paterson, A. </w:t>
      </w:r>
      <w:r w:rsidRPr="00375FA5">
        <w:rPr>
          <w:color w:val="000000"/>
        </w:rPr>
        <w:t>S. (2018). Sustainability on campus: knowledge creation through social and environmental reporting. </w:t>
      </w:r>
      <w:r w:rsidRPr="00375FA5">
        <w:rPr>
          <w:i/>
          <w:iCs/>
          <w:color w:val="000000"/>
        </w:rPr>
        <w:t>Studies in Higher Education</w:t>
      </w:r>
      <w:r w:rsidRPr="00375FA5">
        <w:rPr>
          <w:color w:val="000000"/>
        </w:rPr>
        <w:t>, </w:t>
      </w:r>
      <w:r w:rsidRPr="00375FA5">
        <w:rPr>
          <w:i/>
          <w:iCs/>
          <w:color w:val="000000"/>
        </w:rPr>
        <w:t>43</w:t>
      </w:r>
      <w:r w:rsidRPr="00375FA5">
        <w:rPr>
          <w:color w:val="000000"/>
        </w:rPr>
        <w:t>(11), 1882-1894.</w:t>
      </w:r>
      <w:r w:rsidRPr="00C05732">
        <w:t xml:space="preserve"> </w:t>
      </w:r>
      <w:hyperlink r:id="rId65" w:history="1">
        <w:r w:rsidRPr="001B51C6">
          <w:rPr>
            <w:rStyle w:val="Hyperlink"/>
          </w:rPr>
          <w:t>https://doi.org/10.1080/03075079.2017.1289506</w:t>
        </w:r>
      </w:hyperlink>
    </w:p>
    <w:p w14:paraId="75879A77" w14:textId="77777777" w:rsidR="005E4BFA" w:rsidRDefault="005E4BFA" w:rsidP="00725550">
      <w:pPr>
        <w:ind w:left="709" w:hanging="709"/>
        <w:jc w:val="left"/>
        <w:rPr>
          <w:color w:val="000000"/>
        </w:rPr>
      </w:pPr>
      <w:r w:rsidRPr="008C130B">
        <w:rPr>
          <w:color w:val="FF0000"/>
        </w:rPr>
        <w:t> </w:t>
      </w:r>
      <w:r>
        <w:rPr>
          <w:color w:val="000000"/>
        </w:rPr>
        <w:t xml:space="preserve">Santoso, A., &amp; Lestari, S. (2019). The roles of technology literacy and technology integration to improve students’ teaching competencies. </w:t>
      </w:r>
      <w:proofErr w:type="spellStart"/>
      <w:r w:rsidRPr="004F3CC3">
        <w:rPr>
          <w:i/>
          <w:iCs/>
          <w:color w:val="000000"/>
        </w:rPr>
        <w:t>KnE</w:t>
      </w:r>
      <w:proofErr w:type="spellEnd"/>
      <w:r w:rsidRPr="004F3CC3">
        <w:rPr>
          <w:i/>
          <w:iCs/>
          <w:color w:val="000000"/>
        </w:rPr>
        <w:t xml:space="preserve"> Social Sciences</w:t>
      </w:r>
      <w:r>
        <w:rPr>
          <w:color w:val="000000"/>
        </w:rPr>
        <w:t>, 243-256.</w:t>
      </w:r>
      <w:r w:rsidRPr="004C6B4B">
        <w:t xml:space="preserve"> </w:t>
      </w:r>
      <w:hyperlink r:id="rId66" w:history="1">
        <w:r w:rsidRPr="00073EAD">
          <w:rPr>
            <w:rStyle w:val="Hyperlink"/>
          </w:rPr>
          <w:t>https://doi.org/10.18502/kss.v3i11.4010</w:t>
        </w:r>
      </w:hyperlink>
    </w:p>
    <w:p w14:paraId="6E3DCBC7" w14:textId="77777777" w:rsidR="005E4BFA" w:rsidRDefault="005E4BFA" w:rsidP="00725550">
      <w:pPr>
        <w:spacing w:after="160"/>
        <w:ind w:left="709" w:hanging="709"/>
        <w:jc w:val="left"/>
      </w:pPr>
      <w:r>
        <w:rPr>
          <w:color w:val="000000"/>
        </w:rPr>
        <w:t xml:space="preserve">Sekaran, U., &amp; Bougie, R. (2016). </w:t>
      </w:r>
      <w:r w:rsidRPr="004F3CC3">
        <w:rPr>
          <w:i/>
          <w:iCs/>
          <w:color w:val="000000"/>
        </w:rPr>
        <w:t>Research methods for business: A skill-building approach</w:t>
      </w:r>
      <w:r>
        <w:rPr>
          <w:color w:val="000000"/>
        </w:rPr>
        <w:t>. John Wiley &amp; Sons.</w:t>
      </w:r>
    </w:p>
    <w:p w14:paraId="53BF831C" w14:textId="77777777" w:rsidR="005E4BFA" w:rsidRDefault="005E4BFA" w:rsidP="00725550">
      <w:pPr>
        <w:spacing w:after="160"/>
        <w:ind w:left="709" w:hanging="709"/>
        <w:jc w:val="left"/>
        <w:rPr>
          <w:color w:val="000000"/>
        </w:rPr>
      </w:pPr>
      <w:proofErr w:type="spellStart"/>
      <w:r>
        <w:rPr>
          <w:color w:val="000000"/>
        </w:rPr>
        <w:t>Seyfried</w:t>
      </w:r>
      <w:proofErr w:type="spellEnd"/>
      <w:r>
        <w:rPr>
          <w:color w:val="000000"/>
        </w:rPr>
        <w:t xml:space="preserve">, M., </w:t>
      </w:r>
      <w:proofErr w:type="spellStart"/>
      <w:r>
        <w:rPr>
          <w:color w:val="000000"/>
        </w:rPr>
        <w:t>Ansmann</w:t>
      </w:r>
      <w:proofErr w:type="spellEnd"/>
      <w:r>
        <w:rPr>
          <w:color w:val="000000"/>
        </w:rPr>
        <w:t xml:space="preserve">, M., &amp; </w:t>
      </w:r>
      <w:proofErr w:type="spellStart"/>
      <w:r>
        <w:rPr>
          <w:color w:val="000000"/>
        </w:rPr>
        <w:t>Pohlenz</w:t>
      </w:r>
      <w:proofErr w:type="spellEnd"/>
      <w:r>
        <w:rPr>
          <w:color w:val="000000"/>
        </w:rPr>
        <w:t xml:space="preserve">, P. (2019). Institutional isomorphism, entrepreneurship, and effectiveness: the adoption and implementation of quality management in teaching and learning in Germany. </w:t>
      </w:r>
      <w:r w:rsidRPr="004F3CC3">
        <w:rPr>
          <w:i/>
          <w:iCs/>
          <w:color w:val="000000"/>
        </w:rPr>
        <w:t xml:space="preserve">Tertiary </w:t>
      </w:r>
      <w:r>
        <w:rPr>
          <w:i/>
          <w:iCs/>
          <w:color w:val="000000"/>
        </w:rPr>
        <w:t>E</w:t>
      </w:r>
      <w:r w:rsidRPr="004F3CC3">
        <w:rPr>
          <w:i/>
          <w:iCs/>
          <w:color w:val="000000"/>
        </w:rPr>
        <w:t xml:space="preserve">ducation and </w:t>
      </w:r>
      <w:r>
        <w:rPr>
          <w:i/>
          <w:iCs/>
          <w:color w:val="000000"/>
        </w:rPr>
        <w:t>M</w:t>
      </w:r>
      <w:r w:rsidRPr="004F3CC3">
        <w:rPr>
          <w:i/>
          <w:iCs/>
          <w:color w:val="000000"/>
        </w:rPr>
        <w:t>anagement</w:t>
      </w:r>
      <w:r>
        <w:rPr>
          <w:color w:val="000000"/>
        </w:rPr>
        <w:t xml:space="preserve">, 25(2), 115-129. </w:t>
      </w:r>
      <w:hyperlink r:id="rId67" w:history="1">
        <w:r w:rsidRPr="00073EAD">
          <w:rPr>
            <w:rStyle w:val="Hyperlink"/>
          </w:rPr>
          <w:t>https://link.springer.com/article/10.1007/s11233-019-09022-3</w:t>
        </w:r>
      </w:hyperlink>
    </w:p>
    <w:p w14:paraId="75159FB6" w14:textId="77777777" w:rsidR="005E4BFA" w:rsidRDefault="005E4BFA" w:rsidP="00725550">
      <w:pPr>
        <w:spacing w:after="160"/>
        <w:ind w:left="709" w:hanging="709"/>
        <w:jc w:val="left"/>
        <w:rPr>
          <w:color w:val="000000"/>
        </w:rPr>
      </w:pPr>
      <w:proofErr w:type="spellStart"/>
      <w:r>
        <w:rPr>
          <w:color w:val="000000"/>
        </w:rPr>
        <w:lastRenderedPageBreak/>
        <w:t>Siron</w:t>
      </w:r>
      <w:proofErr w:type="spellEnd"/>
      <w:r>
        <w:rPr>
          <w:color w:val="000000"/>
        </w:rPr>
        <w:t xml:space="preserve">, Y., Wibowo, A., &amp; </w:t>
      </w:r>
      <w:proofErr w:type="spellStart"/>
      <w:r>
        <w:rPr>
          <w:color w:val="000000"/>
        </w:rPr>
        <w:t>Narmaditya</w:t>
      </w:r>
      <w:proofErr w:type="spellEnd"/>
      <w:r>
        <w:rPr>
          <w:color w:val="000000"/>
        </w:rPr>
        <w:t xml:space="preserve">, B. S. (2020). Factors affecting the adoption of e-learning in Indonesia: Lesson from Covid-19. </w:t>
      </w:r>
      <w:r w:rsidRPr="004F3CC3">
        <w:rPr>
          <w:i/>
          <w:iCs/>
          <w:color w:val="000000"/>
        </w:rPr>
        <w:t>Journal of Technology and Science Education</w:t>
      </w:r>
      <w:r>
        <w:rPr>
          <w:color w:val="000000"/>
        </w:rPr>
        <w:t xml:space="preserve">, 10(2), 282-295. </w:t>
      </w:r>
      <w:hyperlink r:id="rId68" w:history="1">
        <w:r w:rsidRPr="00073EAD">
          <w:rPr>
            <w:rStyle w:val="Hyperlink"/>
          </w:rPr>
          <w:t>http://dx.doi.org/10.3926/jotse.1025</w:t>
        </w:r>
      </w:hyperlink>
    </w:p>
    <w:p w14:paraId="599D0173" w14:textId="77777777" w:rsidR="005E4BFA" w:rsidRDefault="005E4BFA" w:rsidP="00725550">
      <w:pPr>
        <w:spacing w:after="240"/>
        <w:ind w:left="709" w:hanging="709"/>
        <w:jc w:val="left"/>
        <w:rPr>
          <w:color w:val="000000"/>
        </w:rPr>
      </w:pPr>
      <w:r>
        <w:rPr>
          <w:color w:val="000000"/>
        </w:rPr>
        <w:t xml:space="preserve">Teece, D. J., Pisano, G. &amp; </w:t>
      </w:r>
      <w:proofErr w:type="spellStart"/>
      <w:r>
        <w:rPr>
          <w:color w:val="000000"/>
        </w:rPr>
        <w:t>Shuen</w:t>
      </w:r>
      <w:proofErr w:type="spellEnd"/>
      <w:r>
        <w:rPr>
          <w:color w:val="000000"/>
        </w:rPr>
        <w:t xml:space="preserve">, A. 1997. Dynamic capabilities and strategic management. </w:t>
      </w:r>
      <w:r>
        <w:rPr>
          <w:i/>
          <w:color w:val="000000"/>
        </w:rPr>
        <w:t>Strategic Management Journal</w:t>
      </w:r>
      <w:r>
        <w:rPr>
          <w:color w:val="000000"/>
        </w:rPr>
        <w:t xml:space="preserve"> 18(7): 509-533. </w:t>
      </w:r>
      <w:hyperlink r:id="rId69" w:history="1">
        <w:r w:rsidRPr="00073EAD">
          <w:rPr>
            <w:rStyle w:val="Hyperlink"/>
          </w:rPr>
          <w:t>https://doi.org/10.1002/(SICI)1097-0266(199708)18:7%3C509::AID-SMJ882%3E3.0.CO;2-Z</w:t>
        </w:r>
      </w:hyperlink>
    </w:p>
    <w:p w14:paraId="774D8E30" w14:textId="77777777" w:rsidR="005E4BFA" w:rsidRDefault="005E4BFA" w:rsidP="00725550">
      <w:pPr>
        <w:ind w:left="709" w:hanging="709"/>
        <w:jc w:val="left"/>
        <w:rPr>
          <w:color w:val="000000"/>
        </w:rPr>
      </w:pPr>
      <w:proofErr w:type="spellStart"/>
      <w:r>
        <w:rPr>
          <w:color w:val="000000"/>
        </w:rPr>
        <w:t>Timmis</w:t>
      </w:r>
      <w:proofErr w:type="spellEnd"/>
      <w:r>
        <w:rPr>
          <w:color w:val="000000"/>
        </w:rPr>
        <w:t xml:space="preserve">, S., </w:t>
      </w:r>
      <w:proofErr w:type="spellStart"/>
      <w:r>
        <w:rPr>
          <w:color w:val="000000"/>
        </w:rPr>
        <w:t>Broadfoot</w:t>
      </w:r>
      <w:proofErr w:type="spellEnd"/>
      <w:r>
        <w:rPr>
          <w:color w:val="000000"/>
        </w:rPr>
        <w:t xml:space="preserve">, P., Sutherland, R., &amp; Oldfield, A. (2016). Rethinking assessment in a digital age: Opportunities, challenges, and risks. </w:t>
      </w:r>
      <w:r w:rsidRPr="004F3CC3">
        <w:rPr>
          <w:i/>
          <w:iCs/>
          <w:color w:val="000000"/>
        </w:rPr>
        <w:t>British Educational Research Journal</w:t>
      </w:r>
      <w:r>
        <w:rPr>
          <w:color w:val="000000"/>
        </w:rPr>
        <w:t xml:space="preserve">, 42(3), 454-476.  </w:t>
      </w:r>
      <w:hyperlink r:id="rId70" w:history="1">
        <w:r w:rsidRPr="00073EAD">
          <w:rPr>
            <w:rStyle w:val="Hyperlink"/>
          </w:rPr>
          <w:t>https://doi.org/10.1002/berj.3215</w:t>
        </w:r>
      </w:hyperlink>
    </w:p>
    <w:p w14:paraId="7554B97A" w14:textId="77777777" w:rsidR="005E4BFA" w:rsidRDefault="005E4BFA" w:rsidP="00725550">
      <w:pPr>
        <w:spacing w:after="160"/>
        <w:ind w:left="709" w:hanging="709"/>
        <w:jc w:val="left"/>
        <w:rPr>
          <w:color w:val="000000"/>
        </w:rPr>
      </w:pPr>
      <w:proofErr w:type="spellStart"/>
      <w:r>
        <w:rPr>
          <w:color w:val="000000"/>
        </w:rPr>
        <w:t>Ukpo</w:t>
      </w:r>
      <w:proofErr w:type="spellEnd"/>
      <w:r>
        <w:rPr>
          <w:color w:val="000000"/>
        </w:rPr>
        <w:t xml:space="preserve">, E. O. (2006). Support for distance learners in a Nigerian distance education </w:t>
      </w:r>
      <w:proofErr w:type="spellStart"/>
      <w:r>
        <w:rPr>
          <w:color w:val="000000"/>
        </w:rPr>
        <w:t>programme</w:t>
      </w:r>
      <w:proofErr w:type="spellEnd"/>
      <w:r>
        <w:rPr>
          <w:color w:val="000000"/>
        </w:rPr>
        <w:t xml:space="preserve">. Open Learning: </w:t>
      </w:r>
      <w:r w:rsidRPr="004F3CC3">
        <w:rPr>
          <w:i/>
          <w:iCs/>
          <w:color w:val="000000"/>
        </w:rPr>
        <w:t>The Journal of Open, Distance and e-Learning</w:t>
      </w:r>
      <w:r>
        <w:rPr>
          <w:color w:val="000000"/>
        </w:rPr>
        <w:t>, 21(3), 253-261.</w:t>
      </w:r>
      <w:r w:rsidRPr="004C6B4B">
        <w:t xml:space="preserve"> </w:t>
      </w:r>
      <w:hyperlink r:id="rId71" w:history="1">
        <w:r w:rsidRPr="00073EAD">
          <w:rPr>
            <w:rStyle w:val="Hyperlink"/>
          </w:rPr>
          <w:t>https://doi.org/10.1080/02680510600953237</w:t>
        </w:r>
      </w:hyperlink>
    </w:p>
    <w:p w14:paraId="4E5C68D8" w14:textId="77777777" w:rsidR="005E4BFA" w:rsidRDefault="005E4BFA" w:rsidP="00725550">
      <w:pPr>
        <w:spacing w:after="160"/>
        <w:ind w:left="709" w:hanging="709"/>
        <w:jc w:val="left"/>
        <w:rPr>
          <w:color w:val="000000"/>
        </w:rPr>
      </w:pPr>
      <w:r>
        <w:rPr>
          <w:color w:val="000000"/>
        </w:rPr>
        <w:t xml:space="preserve">Van </w:t>
      </w:r>
      <w:proofErr w:type="spellStart"/>
      <w:r>
        <w:rPr>
          <w:color w:val="000000"/>
        </w:rPr>
        <w:t>Vught</w:t>
      </w:r>
      <w:proofErr w:type="spellEnd"/>
      <w:r>
        <w:rPr>
          <w:color w:val="000000"/>
        </w:rPr>
        <w:t>, F. (2008). Mission diversity and reputation in higher education</w:t>
      </w:r>
      <w:r w:rsidRPr="004F3CC3">
        <w:rPr>
          <w:i/>
          <w:iCs/>
          <w:color w:val="000000"/>
        </w:rPr>
        <w:t>. Higher Education</w:t>
      </w:r>
      <w:r>
        <w:rPr>
          <w:color w:val="000000"/>
        </w:rPr>
        <w:t xml:space="preserve"> </w:t>
      </w:r>
      <w:r w:rsidRPr="004F3CC3">
        <w:rPr>
          <w:i/>
          <w:iCs/>
          <w:color w:val="000000"/>
        </w:rPr>
        <w:t>Policy</w:t>
      </w:r>
      <w:r>
        <w:rPr>
          <w:color w:val="000000"/>
        </w:rPr>
        <w:t>, 21(2), 151-174.</w:t>
      </w:r>
      <w:r w:rsidRPr="004C6B4B">
        <w:t xml:space="preserve"> </w:t>
      </w:r>
      <w:hyperlink r:id="rId72" w:history="1">
        <w:r w:rsidRPr="00073EAD">
          <w:rPr>
            <w:rStyle w:val="Hyperlink"/>
          </w:rPr>
          <w:t>https://link.springer.com/article/10.1057/hep.2008.5</w:t>
        </w:r>
      </w:hyperlink>
    </w:p>
    <w:p w14:paraId="4A2EF31F" w14:textId="77777777" w:rsidR="005E4BFA" w:rsidRDefault="005E4BFA" w:rsidP="00725550">
      <w:pPr>
        <w:spacing w:after="160"/>
        <w:ind w:left="709" w:hanging="709"/>
        <w:jc w:val="left"/>
        <w:rPr>
          <w:color w:val="000000"/>
        </w:rPr>
      </w:pPr>
      <w:r w:rsidRPr="00EF7E3D">
        <w:rPr>
          <w:color w:val="000000"/>
        </w:rPr>
        <w:t>Vidal, J., &amp; Ferreira, C. (2020). Universities under pressure: the impact of international university rankings. </w:t>
      </w:r>
      <w:r w:rsidRPr="00EF7E3D">
        <w:rPr>
          <w:i/>
          <w:iCs/>
          <w:color w:val="000000"/>
        </w:rPr>
        <w:t>Journal of New Approaches in Educational Research (NAER Journal)</w:t>
      </w:r>
      <w:r w:rsidRPr="00EF7E3D">
        <w:rPr>
          <w:color w:val="000000"/>
        </w:rPr>
        <w:t>, </w:t>
      </w:r>
      <w:r w:rsidRPr="00EF7E3D">
        <w:rPr>
          <w:i/>
          <w:iCs/>
          <w:color w:val="000000"/>
        </w:rPr>
        <w:t>9</w:t>
      </w:r>
      <w:r w:rsidRPr="00EF7E3D">
        <w:rPr>
          <w:color w:val="000000"/>
        </w:rPr>
        <w:t>(2), 181-193.</w:t>
      </w:r>
      <w:r w:rsidRPr="004C6B4B">
        <w:t xml:space="preserve"> </w:t>
      </w:r>
      <w:hyperlink r:id="rId73" w:history="1">
        <w:r w:rsidRPr="00073EAD">
          <w:rPr>
            <w:rStyle w:val="Hyperlink"/>
          </w:rPr>
          <w:t>https://www.learntechlib.org/p/217624/</w:t>
        </w:r>
      </w:hyperlink>
    </w:p>
    <w:p w14:paraId="0631BF23" w14:textId="77777777" w:rsidR="005E4BFA" w:rsidRDefault="005E4BFA" w:rsidP="00725550">
      <w:pPr>
        <w:spacing w:after="160"/>
        <w:ind w:left="709" w:hanging="709"/>
        <w:jc w:val="left"/>
        <w:rPr>
          <w:color w:val="000000"/>
        </w:rPr>
      </w:pPr>
      <w:r w:rsidRPr="00EF7E3D">
        <w:rPr>
          <w:color w:val="000000"/>
        </w:rPr>
        <w:t xml:space="preserve">Wagner, M., &amp; </w:t>
      </w:r>
      <w:proofErr w:type="spellStart"/>
      <w:r w:rsidRPr="00EF7E3D">
        <w:rPr>
          <w:color w:val="000000"/>
        </w:rPr>
        <w:t>Schaltegger</w:t>
      </w:r>
      <w:proofErr w:type="spellEnd"/>
      <w:r w:rsidRPr="00EF7E3D">
        <w:rPr>
          <w:color w:val="000000"/>
        </w:rPr>
        <w:t>, S. (2004). The effect of corporate environmental strategy choice and environmental performance on competitiveness and economic performance: an empirical study of EU manufacturing. </w:t>
      </w:r>
      <w:r w:rsidRPr="00EF7E3D">
        <w:rPr>
          <w:i/>
          <w:iCs/>
          <w:color w:val="000000"/>
        </w:rPr>
        <w:t xml:space="preserve">European </w:t>
      </w:r>
      <w:r>
        <w:rPr>
          <w:i/>
          <w:iCs/>
          <w:color w:val="000000"/>
        </w:rPr>
        <w:t>M</w:t>
      </w:r>
      <w:r w:rsidRPr="00EF7E3D">
        <w:rPr>
          <w:i/>
          <w:iCs/>
          <w:color w:val="000000"/>
        </w:rPr>
        <w:t xml:space="preserve">anagement </w:t>
      </w:r>
      <w:r>
        <w:rPr>
          <w:i/>
          <w:iCs/>
          <w:color w:val="000000"/>
        </w:rPr>
        <w:t>J</w:t>
      </w:r>
      <w:r w:rsidRPr="00EF7E3D">
        <w:rPr>
          <w:i/>
          <w:iCs/>
          <w:color w:val="000000"/>
        </w:rPr>
        <w:t>ournal</w:t>
      </w:r>
      <w:r w:rsidRPr="00EF7E3D">
        <w:rPr>
          <w:color w:val="000000"/>
        </w:rPr>
        <w:t>, </w:t>
      </w:r>
      <w:r w:rsidRPr="00EF7E3D">
        <w:rPr>
          <w:i/>
          <w:iCs/>
          <w:color w:val="000000"/>
        </w:rPr>
        <w:t>22</w:t>
      </w:r>
      <w:r w:rsidRPr="00EF7E3D">
        <w:rPr>
          <w:color w:val="000000"/>
        </w:rPr>
        <w:t>(5), 557-572.</w:t>
      </w:r>
      <w:r>
        <w:rPr>
          <w:color w:val="000000"/>
        </w:rPr>
        <w:t xml:space="preserve"> </w:t>
      </w:r>
      <w:hyperlink r:id="rId74" w:history="1">
        <w:r w:rsidRPr="00073EAD">
          <w:rPr>
            <w:rStyle w:val="Hyperlink"/>
          </w:rPr>
          <w:t>https://doi.org/10.1016/j.emj.2004.09.013</w:t>
        </w:r>
      </w:hyperlink>
    </w:p>
    <w:p w14:paraId="3D7E5125" w14:textId="77777777" w:rsidR="005E4BFA" w:rsidRDefault="005E4BFA" w:rsidP="00725550">
      <w:pPr>
        <w:ind w:left="709" w:hanging="709"/>
        <w:jc w:val="left"/>
        <w:rPr>
          <w:color w:val="000000"/>
        </w:rPr>
      </w:pPr>
      <w:r>
        <w:rPr>
          <w:color w:val="000000"/>
        </w:rPr>
        <w:lastRenderedPageBreak/>
        <w:t xml:space="preserve">Wang, J., Hutchins, H. M., &amp; </w:t>
      </w:r>
      <w:proofErr w:type="spellStart"/>
      <w:r>
        <w:rPr>
          <w:color w:val="000000"/>
        </w:rPr>
        <w:t>Garavan</w:t>
      </w:r>
      <w:proofErr w:type="spellEnd"/>
      <w:r>
        <w:rPr>
          <w:color w:val="000000"/>
        </w:rPr>
        <w:t xml:space="preserve">, T. N. (2009). Exploring the strategic role of human resource development in organizational crisis management. </w:t>
      </w:r>
      <w:r w:rsidRPr="00EF7E3D">
        <w:rPr>
          <w:i/>
          <w:iCs/>
          <w:color w:val="000000"/>
        </w:rPr>
        <w:t>Human Resource Development Review</w:t>
      </w:r>
      <w:r>
        <w:rPr>
          <w:color w:val="000000"/>
        </w:rPr>
        <w:t>, 8(1), 22–53.</w:t>
      </w:r>
      <w:r w:rsidRPr="00290A02">
        <w:t xml:space="preserve"> </w:t>
      </w:r>
      <w:hyperlink r:id="rId75" w:history="1">
        <w:r w:rsidRPr="00073EAD">
          <w:rPr>
            <w:rStyle w:val="Hyperlink"/>
          </w:rPr>
          <w:t>https://doi.org/10.1177/1534484308330018</w:t>
        </w:r>
      </w:hyperlink>
    </w:p>
    <w:p w14:paraId="31FBD175" w14:textId="77777777" w:rsidR="005E4BFA" w:rsidRDefault="005E4BFA" w:rsidP="00725550">
      <w:pPr>
        <w:spacing w:after="160"/>
        <w:ind w:left="709" w:hanging="709"/>
        <w:jc w:val="left"/>
      </w:pPr>
      <w:r>
        <w:rPr>
          <w:color w:val="000000"/>
        </w:rPr>
        <w:t xml:space="preserve">Wong, E., Ho, K., Wong, S., Cheung, A., &amp; Yeoh, E. (2020). Workplace safety and coronavirus disease (COVID-19) pandemic: a survey of employees. </w:t>
      </w:r>
      <w:r w:rsidRPr="00EF7E3D">
        <w:rPr>
          <w:i/>
          <w:iCs/>
        </w:rPr>
        <w:t xml:space="preserve">Bulletin </w:t>
      </w:r>
      <w:r>
        <w:rPr>
          <w:i/>
          <w:iCs/>
        </w:rPr>
        <w:t>o</w:t>
      </w:r>
      <w:r w:rsidRPr="00EF7E3D">
        <w:rPr>
          <w:i/>
          <w:iCs/>
        </w:rPr>
        <w:t xml:space="preserve">f </w:t>
      </w:r>
      <w:r>
        <w:rPr>
          <w:i/>
          <w:iCs/>
        </w:rPr>
        <w:t>t</w:t>
      </w:r>
      <w:r w:rsidRPr="00EF7E3D">
        <w:rPr>
          <w:i/>
          <w:iCs/>
        </w:rPr>
        <w:t>he World Health Organization</w:t>
      </w:r>
      <w:r>
        <w:rPr>
          <w:color w:val="000000"/>
        </w:rPr>
        <w:t>, 2020.</w:t>
      </w:r>
    </w:p>
    <w:p w14:paraId="249F4741" w14:textId="77777777" w:rsidR="005E4BFA" w:rsidRDefault="005E4BFA" w:rsidP="00725550">
      <w:pPr>
        <w:spacing w:after="160"/>
        <w:ind w:left="709" w:hanging="709"/>
        <w:jc w:val="left"/>
        <w:rPr>
          <w:color w:val="000000"/>
        </w:rPr>
      </w:pPr>
      <w:proofErr w:type="spellStart"/>
      <w:r>
        <w:rPr>
          <w:color w:val="000000"/>
        </w:rPr>
        <w:t>Yudkevich</w:t>
      </w:r>
      <w:proofErr w:type="spellEnd"/>
      <w:r>
        <w:rPr>
          <w:color w:val="000000"/>
        </w:rPr>
        <w:t xml:space="preserve">, M., </w:t>
      </w:r>
      <w:proofErr w:type="spellStart"/>
      <w:r>
        <w:rPr>
          <w:color w:val="000000"/>
        </w:rPr>
        <w:t>Altbach</w:t>
      </w:r>
      <w:proofErr w:type="spellEnd"/>
      <w:r>
        <w:rPr>
          <w:color w:val="000000"/>
        </w:rPr>
        <w:t xml:space="preserve">, P. G., &amp; </w:t>
      </w:r>
      <w:proofErr w:type="spellStart"/>
      <w:r>
        <w:rPr>
          <w:color w:val="000000"/>
        </w:rPr>
        <w:t>Rumbley</w:t>
      </w:r>
      <w:proofErr w:type="spellEnd"/>
      <w:r>
        <w:rPr>
          <w:color w:val="000000"/>
        </w:rPr>
        <w:t xml:space="preserve">, L. E. (2015). Global university rankings: The “Olympic Games” of higher education? </w:t>
      </w:r>
      <w:r w:rsidRPr="006E566A">
        <w:rPr>
          <w:i/>
          <w:iCs/>
          <w:color w:val="000000"/>
        </w:rPr>
        <w:t>Prospects</w:t>
      </w:r>
      <w:r>
        <w:rPr>
          <w:color w:val="000000"/>
        </w:rPr>
        <w:t>, 45(4), 411-419.</w:t>
      </w:r>
      <w:r w:rsidRPr="00290A02">
        <w:t xml:space="preserve"> </w:t>
      </w:r>
      <w:hyperlink r:id="rId76" w:history="1">
        <w:r w:rsidRPr="00073EAD">
          <w:rPr>
            <w:rStyle w:val="Hyperlink"/>
          </w:rPr>
          <w:t>https://link.springer.com/article/10.1007/s11125-015-9365-y</w:t>
        </w:r>
      </w:hyperlink>
    </w:p>
    <w:p w14:paraId="0D7D429C" w14:textId="77777777" w:rsidR="005E4BFA" w:rsidRDefault="005E4BFA" w:rsidP="00725550">
      <w:pPr>
        <w:spacing w:after="160"/>
        <w:ind w:left="709" w:hanging="709"/>
        <w:jc w:val="left"/>
        <w:rPr>
          <w:color w:val="000000"/>
        </w:rPr>
      </w:pPr>
      <w:r>
        <w:rPr>
          <w:color w:val="000000"/>
        </w:rPr>
        <w:t xml:space="preserve">Zen, I.S. (2017). Exploring the living learning laboratory: an approach to strengthen campus sustainability initiatives by using sustainability science approach.  </w:t>
      </w:r>
      <w:r w:rsidRPr="006E566A">
        <w:rPr>
          <w:i/>
          <w:iCs/>
          <w:color w:val="000000"/>
        </w:rPr>
        <w:t>International Journal of Sustainability in Higher Education</w:t>
      </w:r>
      <w:r>
        <w:rPr>
          <w:color w:val="000000"/>
        </w:rPr>
        <w:t>, Vol. 18 No. 6, pp. 939-955.</w:t>
      </w:r>
      <w:r w:rsidRPr="00290A02">
        <w:t xml:space="preserve"> </w:t>
      </w:r>
      <w:hyperlink r:id="rId77" w:history="1">
        <w:r w:rsidRPr="00073EAD">
          <w:rPr>
            <w:rStyle w:val="Hyperlink"/>
          </w:rPr>
          <w:t>https://doi.org/10.1108/IJSHE-09-2015-0154</w:t>
        </w:r>
      </w:hyperlink>
      <w:commentRangeEnd w:id="29"/>
      <w:r w:rsidR="004B62BA">
        <w:rPr>
          <w:rStyle w:val="CommentReference"/>
        </w:rPr>
        <w:commentReference w:id="29"/>
      </w:r>
    </w:p>
    <w:sectPr w:rsidR="005E4BFA" w:rsidSect="000A4091">
      <w:pgSz w:w="11906" w:h="16838"/>
      <w:pgMar w:top="1440" w:right="1440" w:bottom="1440" w:left="144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eviewer 1" w:date="2023-02-04T22:28:00Z" w:initials="R1">
    <w:p w14:paraId="2D39902F" w14:textId="30209AD6" w:rsidR="004B62BA" w:rsidRDefault="004B62BA">
      <w:pPr>
        <w:pStyle w:val="CommentText"/>
      </w:pPr>
      <w:r>
        <w:rPr>
          <w:rStyle w:val="CommentReference"/>
        </w:rPr>
        <w:annotationRef/>
      </w:r>
      <w:r>
        <w:t>Kindly cite 5 papers from the</w:t>
      </w:r>
      <w:r>
        <w:t xml:space="preserve"> IRRODL</w:t>
      </w:r>
    </w:p>
  </w:comment>
  <w:comment w:id="2" w:author="Reviewer 1" w:date="2023-02-04T22:27:00Z" w:initials="R1">
    <w:p w14:paraId="0106DCCD" w14:textId="77777777" w:rsidR="004B62BA" w:rsidRDefault="004B62BA" w:rsidP="004B62BA">
      <w:pPr>
        <w:pStyle w:val="CommentText"/>
      </w:pPr>
      <w:r>
        <w:rPr>
          <w:rStyle w:val="CommentReference"/>
        </w:rPr>
        <w:annotationRef/>
      </w:r>
      <w:r>
        <w:rPr>
          <w:rStyle w:val="CommentReference"/>
        </w:rPr>
        <w:annotationRef/>
      </w:r>
      <w:r w:rsidRPr="001B1F90">
        <w:t>This part includes at least one statement summarizing the research problem, objectives, methodology, and findings.</w:t>
      </w:r>
    </w:p>
    <w:p w14:paraId="57E0AE84" w14:textId="7F5146DC" w:rsidR="004B62BA" w:rsidRDefault="004B62BA">
      <w:pPr>
        <w:pStyle w:val="CommentText"/>
      </w:pPr>
    </w:p>
  </w:comment>
  <w:comment w:id="4" w:author="Reviewer 1" w:date="2023-02-04T22:28:00Z" w:initials="R1">
    <w:p w14:paraId="6DE0C96C" w14:textId="3A7443F9" w:rsidR="004B62BA" w:rsidRDefault="004B62BA">
      <w:pPr>
        <w:pStyle w:val="CommentText"/>
      </w:pPr>
      <w:r>
        <w:rPr>
          <w:rStyle w:val="CommentReference"/>
        </w:rPr>
        <w:annotationRef/>
      </w:r>
      <w:r w:rsidRPr="001B1F90">
        <w:t>In this section the researcher has not conducted a gap analysis with findings from previous studies. Please do a gap analysis so that the urgency and novelty of the research is visible.</w:t>
      </w:r>
    </w:p>
  </w:comment>
  <w:comment w:id="5" w:author="Reviewer 1" w:date="2023-02-04T22:29:00Z" w:initials="R1">
    <w:p w14:paraId="34CD31A4" w14:textId="26023881" w:rsidR="004B62BA" w:rsidRDefault="004B62BA">
      <w:pPr>
        <w:pStyle w:val="CommentText"/>
      </w:pPr>
      <w:r>
        <w:rPr>
          <w:rStyle w:val="CommentReference"/>
        </w:rPr>
        <w:annotationRef/>
      </w:r>
      <w:r w:rsidRPr="001B1F90">
        <w:t>Researchers must also include references to strengthen the arguments that researchers build in this section.</w:t>
      </w:r>
    </w:p>
  </w:comment>
  <w:comment w:id="6" w:author="Reviewer 1" w:date="2023-02-04T22:29:00Z" w:initials="R1">
    <w:p w14:paraId="35BC74EC" w14:textId="77777777" w:rsidR="004B62BA" w:rsidRDefault="004B62BA" w:rsidP="004B62BA">
      <w:pPr>
        <w:pStyle w:val="CommentText"/>
      </w:pPr>
      <w:r>
        <w:rPr>
          <w:rStyle w:val="CommentReference"/>
        </w:rPr>
        <w:annotationRef/>
      </w:r>
      <w:r>
        <w:rPr>
          <w:rStyle w:val="CommentReference"/>
        </w:rPr>
        <w:annotationRef/>
      </w:r>
      <w:r>
        <w:t>In</w:t>
      </w:r>
      <w:r w:rsidRPr="001B1F90">
        <w:t xml:space="preserve"> the end, the researcher needs to write down the objectives of the research being conducted. In addition, also write down the research hypothesis (if any) in this section.</w:t>
      </w:r>
    </w:p>
    <w:p w14:paraId="7C2EF1EA" w14:textId="19DE6026" w:rsidR="004B62BA" w:rsidRDefault="004B62BA">
      <w:pPr>
        <w:pStyle w:val="CommentText"/>
      </w:pPr>
    </w:p>
  </w:comment>
  <w:comment w:id="10" w:author="Reviewer 1" w:date="2023-02-04T22:29:00Z" w:initials="R1">
    <w:p w14:paraId="7276581F" w14:textId="7544ABD6" w:rsidR="004B62BA" w:rsidRDefault="004B62BA">
      <w:pPr>
        <w:pStyle w:val="CommentText"/>
      </w:pPr>
      <w:r>
        <w:rPr>
          <w:rStyle w:val="CommentReference"/>
        </w:rPr>
        <w:annotationRef/>
      </w:r>
      <w:r w:rsidRPr="001B1F90">
        <w:t>Researchers in this section at least need to explain the definitions, indicators, and influencing factors related to the theory used.</w:t>
      </w:r>
    </w:p>
  </w:comment>
  <w:comment w:id="16" w:author="Reviewer 1" w:date="2023-02-04T22:30:00Z" w:initials="R1">
    <w:p w14:paraId="4BC1F388" w14:textId="2A5CD8EB" w:rsidR="004B62BA" w:rsidRDefault="004B62BA">
      <w:pPr>
        <w:pStyle w:val="CommentText"/>
      </w:pPr>
      <w:r>
        <w:rPr>
          <w:rStyle w:val="CommentReference"/>
        </w:rPr>
        <w:annotationRef/>
      </w:r>
      <w:r>
        <w:t>Add references.</w:t>
      </w:r>
    </w:p>
  </w:comment>
  <w:comment w:id="17" w:author="Reviewer 1" w:date="2023-02-04T22:31:00Z" w:initials="R1">
    <w:p w14:paraId="46FA68C4" w14:textId="1931DF28" w:rsidR="004B62BA" w:rsidRDefault="004B62BA">
      <w:pPr>
        <w:pStyle w:val="CommentText"/>
      </w:pPr>
      <w:r>
        <w:rPr>
          <w:rStyle w:val="CommentReference"/>
        </w:rPr>
        <w:annotationRef/>
      </w:r>
      <w:r>
        <w:t>Add references.</w:t>
      </w:r>
    </w:p>
  </w:comment>
  <w:comment w:id="19" w:author="Reviewer 1" w:date="2023-02-04T22:32:00Z" w:initials="R1">
    <w:p w14:paraId="294AC7BE" w14:textId="2F783595" w:rsidR="004B62BA" w:rsidRDefault="004B62BA">
      <w:pPr>
        <w:pStyle w:val="CommentText"/>
      </w:pPr>
      <w:r>
        <w:rPr>
          <w:rStyle w:val="CommentReference"/>
        </w:rPr>
        <w:annotationRef/>
      </w:r>
      <w:r w:rsidRPr="00744696">
        <w:t>Repeating the data's presentation when it is already in the table is not justifiable. Interpret again both before and after the table is set.</w:t>
      </w:r>
    </w:p>
  </w:comment>
  <w:comment w:id="20" w:author="Reviewer 1" w:date="2023-02-04T22:33:00Z" w:initials="R1">
    <w:p w14:paraId="2A78A5E6" w14:textId="744C470E" w:rsidR="004B62BA" w:rsidRDefault="004B62BA">
      <w:pPr>
        <w:pStyle w:val="CommentText"/>
      </w:pPr>
      <w:r>
        <w:rPr>
          <w:rStyle w:val="CommentReference"/>
        </w:rPr>
        <w:annotationRef/>
      </w:r>
      <w:r w:rsidRPr="002B7BE0">
        <w:t>All of the research findings are presented in this section. The discussion section should contain the quotations that were previously in this section. It is not justifiable to repeat the presentation of data that is previously included in the table, therefore please reinterpret before and after the table is presented.</w:t>
      </w:r>
    </w:p>
  </w:comment>
  <w:comment w:id="21" w:author="Reviewer 1" w:date="2023-02-04T22:34:00Z" w:initials="R1">
    <w:p w14:paraId="7ECE24F0" w14:textId="77777777" w:rsidR="004B62BA" w:rsidRDefault="004B62BA" w:rsidP="004B62BA">
      <w:pPr>
        <w:pStyle w:val="CommentText"/>
      </w:pPr>
      <w:r>
        <w:rPr>
          <w:rStyle w:val="CommentReference"/>
        </w:rPr>
        <w:annotationRef/>
      </w:r>
      <w:r w:rsidRPr="004E7380">
        <w:t>All kinds of quotes are moved to the discussion section. Please re-interpret before and after presenting the table and it is not justified to repeat the presentation of data already contained in the table.</w:t>
      </w:r>
    </w:p>
    <w:p w14:paraId="2CFD44DB" w14:textId="456C1654" w:rsidR="004B62BA" w:rsidRDefault="004B62BA">
      <w:pPr>
        <w:pStyle w:val="CommentText"/>
      </w:pPr>
    </w:p>
  </w:comment>
  <w:comment w:id="23" w:author="Reviewer 1" w:date="2023-02-04T22:34:00Z" w:initials="R1">
    <w:p w14:paraId="5359A03D" w14:textId="77777777" w:rsidR="004B62BA" w:rsidRDefault="004B62BA" w:rsidP="004B62BA">
      <w:pPr>
        <w:pStyle w:val="CommentText"/>
      </w:pPr>
      <w:r>
        <w:rPr>
          <w:rStyle w:val="CommentReference"/>
        </w:rPr>
        <w:annotationRef/>
      </w:r>
      <w:r>
        <w:rPr>
          <w:rStyle w:val="CommentReference"/>
        </w:rPr>
        <w:annotationRef/>
      </w:r>
      <w:r w:rsidRPr="0040220B">
        <w:t>This section presents all the findings obtained from research activities. Please move the quotations contained in this section to the discussion section. Please re-interpret before and after presenting the table or figure and it is not permissible to repeat the presentation of data already contained in the table.</w:t>
      </w:r>
    </w:p>
    <w:p w14:paraId="3E3AB5C5" w14:textId="30653082" w:rsidR="004B62BA" w:rsidRDefault="004B62BA">
      <w:pPr>
        <w:pStyle w:val="CommentText"/>
      </w:pPr>
    </w:p>
  </w:comment>
  <w:comment w:id="25" w:author="Reviewer 1" w:date="2023-02-04T22:35:00Z" w:initials="R1">
    <w:p w14:paraId="527E3B94" w14:textId="1FF9CD9F" w:rsidR="004B62BA" w:rsidRDefault="004B62BA">
      <w:pPr>
        <w:pStyle w:val="CommentText"/>
      </w:pPr>
      <w:r>
        <w:rPr>
          <w:rStyle w:val="CommentReference"/>
        </w:rPr>
        <w:annotationRef/>
      </w:r>
      <w:r w:rsidRPr="0040220B">
        <w:t>The discussion section is built by presenting arguments based on research findings, then discussing theories and findings from previous research. Please reorder this part of the discussion.</w:t>
      </w:r>
    </w:p>
  </w:comment>
  <w:comment w:id="26" w:author="Reviewer 1" w:date="2023-02-04T22:36:00Z" w:initials="R1">
    <w:p w14:paraId="1589A638" w14:textId="77777777" w:rsidR="004B62BA" w:rsidRDefault="004B62BA" w:rsidP="004B62BA">
      <w:pPr>
        <w:pStyle w:val="CommentText"/>
      </w:pPr>
      <w:r>
        <w:rPr>
          <w:rStyle w:val="CommentReference"/>
        </w:rPr>
        <w:annotationRef/>
      </w:r>
      <w:r w:rsidRPr="00037765">
        <w:t>The conclusion contains the delivery of a brief logic related to the research conducted. The conclusion does not contain a summary of the research. In addition, researchers must also provide recommendations based on the findings of the research conducted.</w:t>
      </w:r>
    </w:p>
    <w:p w14:paraId="1572A7E3" w14:textId="5CBA81E8" w:rsidR="004B62BA" w:rsidRDefault="004B62BA">
      <w:pPr>
        <w:pStyle w:val="CommentText"/>
      </w:pPr>
    </w:p>
  </w:comment>
  <w:comment w:id="29" w:author="Reviewer 1" w:date="2023-02-04T22:36:00Z" w:initials="R1">
    <w:p w14:paraId="67470F81" w14:textId="4AF2BD1C" w:rsidR="004B62BA" w:rsidRDefault="004B62BA">
      <w:pPr>
        <w:pStyle w:val="CommentText"/>
      </w:pPr>
      <w:r>
        <w:rPr>
          <w:rStyle w:val="CommentReference"/>
        </w:rPr>
        <w:annotationRef/>
      </w:r>
      <w:bookmarkStart w:id="32" w:name="_Hlk117890520"/>
      <w:r>
        <w:t>Ensure all references cited in the text and vice versa.</w:t>
      </w:r>
      <w:bookmarkEnd w:id="32"/>
      <w:r w:rsidR="006F4C37">
        <w:br/>
      </w:r>
      <w:r w:rsidR="006F4C37">
        <w:br/>
      </w:r>
      <w:r w:rsidR="006F4C37">
        <w:t xml:space="preserve">Kindly manage </w:t>
      </w:r>
      <w:r w:rsidR="006F4C37" w:rsidRPr="006F4C37">
        <w:t>reference manage</w:t>
      </w:r>
      <w:r w:rsidR="006F4C37">
        <w:t>r</w:t>
      </w:r>
      <w:r w:rsidR="006F4C37" w:rsidRPr="006F4C37">
        <w:t xml:space="preserve"> using Mendeley, Zotero</w:t>
      </w:r>
      <w:r w:rsidR="006F4C37">
        <w:t xml:space="preserve">, </w:t>
      </w:r>
      <w:r w:rsidR="006F4C37">
        <w:t>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39902F" w15:done="0"/>
  <w15:commentEx w15:paraId="57E0AE84" w15:done="0"/>
  <w15:commentEx w15:paraId="6DE0C96C" w15:done="0"/>
  <w15:commentEx w15:paraId="34CD31A4" w15:done="0"/>
  <w15:commentEx w15:paraId="7C2EF1EA" w15:done="0"/>
  <w15:commentEx w15:paraId="7276581F" w15:done="0"/>
  <w15:commentEx w15:paraId="4BC1F388" w15:done="0"/>
  <w15:commentEx w15:paraId="46FA68C4" w15:done="0"/>
  <w15:commentEx w15:paraId="294AC7BE" w15:done="0"/>
  <w15:commentEx w15:paraId="2A78A5E6" w15:done="0"/>
  <w15:commentEx w15:paraId="2CFD44DB" w15:done="0"/>
  <w15:commentEx w15:paraId="3E3AB5C5" w15:done="0"/>
  <w15:commentEx w15:paraId="527E3B94" w15:done="0"/>
  <w15:commentEx w15:paraId="1572A7E3" w15:done="0"/>
  <w15:commentEx w15:paraId="67470F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95A7A" w16cex:dateUtc="2023-02-04T15:28:00Z"/>
  <w16cex:commentExtensible w16cex:durableId="27895A5A" w16cex:dateUtc="2023-02-04T15:27:00Z"/>
  <w16cex:commentExtensible w16cex:durableId="27895AA6" w16cex:dateUtc="2023-02-04T15:28:00Z"/>
  <w16cex:commentExtensible w16cex:durableId="27895AB6" w16cex:dateUtc="2023-02-04T15:29:00Z"/>
  <w16cex:commentExtensible w16cex:durableId="27895AC4" w16cex:dateUtc="2023-02-04T15:29:00Z"/>
  <w16cex:commentExtensible w16cex:durableId="27895AE4" w16cex:dateUtc="2023-02-04T15:29:00Z"/>
  <w16cex:commentExtensible w16cex:durableId="27895B1C" w16cex:dateUtc="2023-02-04T15:30:00Z"/>
  <w16cex:commentExtensible w16cex:durableId="27895B49" w16cex:dateUtc="2023-02-04T15:31:00Z"/>
  <w16cex:commentExtensible w16cex:durableId="27895B64" w16cex:dateUtc="2023-02-04T15:32:00Z"/>
  <w16cex:commentExtensible w16cex:durableId="27895BB2" w16cex:dateUtc="2023-02-04T15:33:00Z"/>
  <w16cex:commentExtensible w16cex:durableId="27895BDC" w16cex:dateUtc="2023-02-04T15:34:00Z"/>
  <w16cex:commentExtensible w16cex:durableId="27895C0B" w16cex:dateUtc="2023-02-04T15:34:00Z"/>
  <w16cex:commentExtensible w16cex:durableId="27895C3C" w16cex:dateUtc="2023-02-04T15:35:00Z"/>
  <w16cex:commentExtensible w16cex:durableId="27895C5B" w16cex:dateUtc="2023-02-04T15:36:00Z"/>
  <w16cex:commentExtensible w16cex:durableId="27895C7C" w16cex:dateUtc="2023-02-04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39902F" w16cid:durableId="27895A7A"/>
  <w16cid:commentId w16cid:paraId="57E0AE84" w16cid:durableId="27895A5A"/>
  <w16cid:commentId w16cid:paraId="6DE0C96C" w16cid:durableId="27895AA6"/>
  <w16cid:commentId w16cid:paraId="34CD31A4" w16cid:durableId="27895AB6"/>
  <w16cid:commentId w16cid:paraId="7C2EF1EA" w16cid:durableId="27895AC4"/>
  <w16cid:commentId w16cid:paraId="7276581F" w16cid:durableId="27895AE4"/>
  <w16cid:commentId w16cid:paraId="4BC1F388" w16cid:durableId="27895B1C"/>
  <w16cid:commentId w16cid:paraId="46FA68C4" w16cid:durableId="27895B49"/>
  <w16cid:commentId w16cid:paraId="294AC7BE" w16cid:durableId="27895B64"/>
  <w16cid:commentId w16cid:paraId="2A78A5E6" w16cid:durableId="27895BB2"/>
  <w16cid:commentId w16cid:paraId="2CFD44DB" w16cid:durableId="27895BDC"/>
  <w16cid:commentId w16cid:paraId="3E3AB5C5" w16cid:durableId="27895C0B"/>
  <w16cid:commentId w16cid:paraId="527E3B94" w16cid:durableId="27895C3C"/>
  <w16cid:commentId w16cid:paraId="1572A7E3" w16cid:durableId="27895C5B"/>
  <w16cid:commentId w16cid:paraId="67470F81" w16cid:durableId="27895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FB6B" w14:textId="77777777" w:rsidR="00BC072C" w:rsidRDefault="00BC072C">
      <w:pPr>
        <w:spacing w:line="240" w:lineRule="auto"/>
      </w:pPr>
      <w:r>
        <w:separator/>
      </w:r>
    </w:p>
  </w:endnote>
  <w:endnote w:type="continuationSeparator" w:id="0">
    <w:p w14:paraId="135C088F" w14:textId="77777777" w:rsidR="00BC072C" w:rsidRDefault="00BC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FBF2" w14:textId="77777777" w:rsidR="0071324C" w:rsidRDefault="00713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0911" w14:textId="4971A9AA" w:rsidR="008104F5" w:rsidRDefault="008104F5">
    <w:pPr>
      <w:pBdr>
        <w:top w:val="nil"/>
        <w:left w:val="nil"/>
        <w:bottom w:val="nil"/>
        <w:right w:val="nil"/>
        <w:between w:val="nil"/>
      </w:pBdr>
      <w:tabs>
        <w:tab w:val="center" w:pos="4680"/>
        <w:tab w:val="right" w:pos="9360"/>
      </w:tabs>
      <w:spacing w:line="240" w:lineRule="auto"/>
      <w:jc w:val="center"/>
      <w:rPr>
        <w:color w:val="000000"/>
      </w:rPr>
    </w:pPr>
  </w:p>
  <w:p w14:paraId="1EDB9C2E" w14:textId="77777777" w:rsidR="008104F5" w:rsidRDefault="008104F5">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AA88" w14:textId="77777777" w:rsidR="008104F5" w:rsidRDefault="008104F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9C7E" w14:textId="77777777" w:rsidR="00BC072C" w:rsidRDefault="00BC072C">
      <w:pPr>
        <w:spacing w:line="240" w:lineRule="auto"/>
      </w:pPr>
      <w:r>
        <w:separator/>
      </w:r>
    </w:p>
  </w:footnote>
  <w:footnote w:type="continuationSeparator" w:id="0">
    <w:p w14:paraId="16FF7C46" w14:textId="77777777" w:rsidR="00BC072C" w:rsidRDefault="00BC0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A66B" w14:textId="3E00069F" w:rsidR="0071324C" w:rsidRDefault="00000000">
    <w:pPr>
      <w:pStyle w:val="Header"/>
    </w:pPr>
    <w:r>
      <w:rPr>
        <w:noProof/>
      </w:rPr>
      <w:pict w14:anchorId="1CC14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77797" o:spid="_x0000_s1026" type="#_x0000_t136" style="position:absolute;left:0;text-align:left;margin-left:0;margin-top:0;width:561.45pt;height:74.85pt;rotation:315;z-index:-251655168;mso-position-horizontal:center;mso-position-horizontal-relative:margin;mso-position-vertical:center;mso-position-vertical-relative:margin" o:allowincell="f" fillcolor="silver" stroked="f">
          <v:fill opacity=".5"/>
          <v:textpath style="font-family:&quot;Times New Roman&quot;;font-size:1pt" string="Fo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4F2D" w14:textId="4FCC70E1" w:rsidR="00CE2F09" w:rsidRDefault="00000000" w:rsidP="00CE2F09">
    <w:pPr>
      <w:pStyle w:val="Header"/>
      <w:jc w:val="left"/>
    </w:pPr>
    <w:r>
      <w:rPr>
        <w:noProof/>
      </w:rPr>
      <w:pict w14:anchorId="1567F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77798" o:spid="_x0000_s1027" type="#_x0000_t136" style="position:absolute;margin-left:0;margin-top:0;width:561.45pt;height:74.85pt;rotation:315;z-index:-251653120;mso-position-horizontal:center;mso-position-horizontal-relative:margin;mso-position-vertical:center;mso-position-vertical-relative:margin" o:allowincell="f" fillcolor="silver" stroked="f">
          <v:fill opacity=".5"/>
          <v:textpath style="font-family:&quot;Times New Roman&quot;;font-size:1pt" string="For Peer Review"/>
          <w10:wrap anchorx="margin" anchory="margin"/>
        </v:shape>
      </w:pict>
    </w:r>
    <w:sdt>
      <w:sdtPr>
        <w:id w:val="-230852367"/>
        <w:docPartObj>
          <w:docPartGallery w:val="Page Numbers (Top of Page)"/>
          <w:docPartUnique/>
        </w:docPartObj>
      </w:sdtPr>
      <w:sdtEndPr>
        <w:rPr>
          <w:noProof/>
        </w:rPr>
      </w:sdtEndPr>
      <w:sdtContent>
        <w:r w:rsidR="00CE2F09">
          <w:t>ODL SUSTAINABILITY</w:t>
        </w:r>
        <w:r w:rsidR="001279A8">
          <w:tab/>
        </w:r>
        <w:r w:rsidR="001279A8">
          <w:tab/>
        </w:r>
        <w:r w:rsidR="00CE2F09">
          <w:fldChar w:fldCharType="begin"/>
        </w:r>
        <w:r w:rsidR="00CE2F09">
          <w:instrText xml:space="preserve"> PAGE   \* MERGEFORMAT </w:instrText>
        </w:r>
        <w:r w:rsidR="00CE2F09">
          <w:fldChar w:fldCharType="separate"/>
        </w:r>
        <w:r w:rsidR="00CE2F09">
          <w:rPr>
            <w:noProof/>
          </w:rPr>
          <w:t>2</w:t>
        </w:r>
        <w:r w:rsidR="00CE2F09">
          <w:rPr>
            <w:noProof/>
          </w:rPr>
          <w:fldChar w:fldCharType="end"/>
        </w:r>
      </w:sdtContent>
    </w:sdt>
  </w:p>
  <w:p w14:paraId="22631C4D" w14:textId="77777777" w:rsidR="008104F5" w:rsidRDefault="008104F5">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93E4" w14:textId="2569D297" w:rsidR="0071324C" w:rsidRDefault="00000000">
    <w:pPr>
      <w:pStyle w:val="Header"/>
    </w:pPr>
    <w:r>
      <w:rPr>
        <w:noProof/>
      </w:rPr>
      <w:pict w14:anchorId="6F8D9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77796" o:spid="_x0000_s1025" type="#_x0000_t136" style="position:absolute;left:0;text-align:left;margin-left:0;margin-top:0;width:561.45pt;height:74.85pt;rotation:315;z-index:-251657216;mso-position-horizontal:center;mso-position-horizontal-relative:margin;mso-position-vertical:center;mso-position-vertical-relative:margin" o:allowincell="f" fillcolor="silver" stroked="f">
          <v:fill opacity=".5"/>
          <v:textpath style="font-family:&quot;Times New Roman&quot;;font-size:1pt" string="Fo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508CF"/>
    <w:multiLevelType w:val="multilevel"/>
    <w:tmpl w:val="5F8A99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481919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1">
    <w15:presenceInfo w15:providerId="None" w15:userId="Review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F5"/>
    <w:rsid w:val="000360EB"/>
    <w:rsid w:val="000678EB"/>
    <w:rsid w:val="000A4091"/>
    <w:rsid w:val="000A5ECB"/>
    <w:rsid w:val="000B7BFA"/>
    <w:rsid w:val="000D4EC1"/>
    <w:rsid w:val="001218B1"/>
    <w:rsid w:val="001279A8"/>
    <w:rsid w:val="0014341F"/>
    <w:rsid w:val="001A29D0"/>
    <w:rsid w:val="001E744E"/>
    <w:rsid w:val="00290A02"/>
    <w:rsid w:val="002C43C0"/>
    <w:rsid w:val="002C65F3"/>
    <w:rsid w:val="002E0EAC"/>
    <w:rsid w:val="002F31DD"/>
    <w:rsid w:val="002F69E2"/>
    <w:rsid w:val="003137A0"/>
    <w:rsid w:val="00321021"/>
    <w:rsid w:val="003300D9"/>
    <w:rsid w:val="00333F92"/>
    <w:rsid w:val="00352495"/>
    <w:rsid w:val="00375FA5"/>
    <w:rsid w:val="003905EC"/>
    <w:rsid w:val="003A062F"/>
    <w:rsid w:val="003B119B"/>
    <w:rsid w:val="003B206E"/>
    <w:rsid w:val="003C7CAD"/>
    <w:rsid w:val="003E1A61"/>
    <w:rsid w:val="00422910"/>
    <w:rsid w:val="00462C59"/>
    <w:rsid w:val="00475633"/>
    <w:rsid w:val="00482623"/>
    <w:rsid w:val="00483553"/>
    <w:rsid w:val="004A7EFF"/>
    <w:rsid w:val="004B62BA"/>
    <w:rsid w:val="004B7314"/>
    <w:rsid w:val="004C25CF"/>
    <w:rsid w:val="004C6B4B"/>
    <w:rsid w:val="004D6FD9"/>
    <w:rsid w:val="004F3CC3"/>
    <w:rsid w:val="0054679C"/>
    <w:rsid w:val="00560175"/>
    <w:rsid w:val="00566274"/>
    <w:rsid w:val="00583CB1"/>
    <w:rsid w:val="005A5829"/>
    <w:rsid w:val="005B0B27"/>
    <w:rsid w:val="005D2598"/>
    <w:rsid w:val="005E4BFA"/>
    <w:rsid w:val="005F491B"/>
    <w:rsid w:val="0063780F"/>
    <w:rsid w:val="006874D7"/>
    <w:rsid w:val="00697EDD"/>
    <w:rsid w:val="006A2E66"/>
    <w:rsid w:val="006B7766"/>
    <w:rsid w:val="006C7864"/>
    <w:rsid w:val="006E566A"/>
    <w:rsid w:val="006F4C37"/>
    <w:rsid w:val="00701A87"/>
    <w:rsid w:val="0071324C"/>
    <w:rsid w:val="00725550"/>
    <w:rsid w:val="007439CD"/>
    <w:rsid w:val="0077245B"/>
    <w:rsid w:val="0079483D"/>
    <w:rsid w:val="007C04A9"/>
    <w:rsid w:val="007C120A"/>
    <w:rsid w:val="007F7D39"/>
    <w:rsid w:val="008104F5"/>
    <w:rsid w:val="0081483B"/>
    <w:rsid w:val="008323E7"/>
    <w:rsid w:val="008B3088"/>
    <w:rsid w:val="008C130B"/>
    <w:rsid w:val="0090501C"/>
    <w:rsid w:val="009236A4"/>
    <w:rsid w:val="009265AF"/>
    <w:rsid w:val="00935EE4"/>
    <w:rsid w:val="00982E52"/>
    <w:rsid w:val="00995315"/>
    <w:rsid w:val="009D2920"/>
    <w:rsid w:val="009E305C"/>
    <w:rsid w:val="00A01CF5"/>
    <w:rsid w:val="00A13718"/>
    <w:rsid w:val="00A62564"/>
    <w:rsid w:val="00A6510D"/>
    <w:rsid w:val="00AC2408"/>
    <w:rsid w:val="00AE08CE"/>
    <w:rsid w:val="00AE177C"/>
    <w:rsid w:val="00AF1271"/>
    <w:rsid w:val="00AF1EBC"/>
    <w:rsid w:val="00AF4C65"/>
    <w:rsid w:val="00B2369B"/>
    <w:rsid w:val="00B32765"/>
    <w:rsid w:val="00B56FC4"/>
    <w:rsid w:val="00B742D9"/>
    <w:rsid w:val="00B75AD4"/>
    <w:rsid w:val="00BA191E"/>
    <w:rsid w:val="00BB5668"/>
    <w:rsid w:val="00BC072C"/>
    <w:rsid w:val="00C05732"/>
    <w:rsid w:val="00C55EB6"/>
    <w:rsid w:val="00C76F88"/>
    <w:rsid w:val="00CE2F09"/>
    <w:rsid w:val="00CE404E"/>
    <w:rsid w:val="00CF1DE0"/>
    <w:rsid w:val="00D17459"/>
    <w:rsid w:val="00D463E1"/>
    <w:rsid w:val="00DA04FA"/>
    <w:rsid w:val="00DA598A"/>
    <w:rsid w:val="00DD0BA0"/>
    <w:rsid w:val="00DD7607"/>
    <w:rsid w:val="00EA3619"/>
    <w:rsid w:val="00EC4A54"/>
    <w:rsid w:val="00EF0575"/>
    <w:rsid w:val="00EF7E3D"/>
    <w:rsid w:val="00F2049E"/>
    <w:rsid w:val="00F43FF4"/>
    <w:rsid w:val="00F907D9"/>
    <w:rsid w:val="00F931C7"/>
    <w:rsid w:val="00FC15E2"/>
    <w:rsid w:val="00FD057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BB1F6"/>
  <w15:docId w15:val="{CBE2FE6D-F860-4110-BC63-AE107529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MY"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02"/>
  </w:style>
  <w:style w:type="paragraph" w:styleId="Heading1">
    <w:name w:val="heading 1"/>
    <w:basedOn w:val="Normal"/>
    <w:next w:val="Normal"/>
    <w:link w:val="Heading1Char"/>
    <w:uiPriority w:val="9"/>
    <w:qFormat/>
    <w:rsid w:val="00A8239A"/>
    <w:pPr>
      <w:keepNext/>
      <w:keepLines/>
      <w:tabs>
        <w:tab w:val="left" w:pos="213"/>
        <w:tab w:val="center" w:pos="4166"/>
        <w:tab w:val="right" w:pos="8333"/>
      </w:tabs>
      <w:spacing w:before="240" w:after="240"/>
      <w:jc w:val="center"/>
      <w:outlineLvl w:val="0"/>
    </w:pPr>
    <w:rPr>
      <w:rFonts w:eastAsiaTheme="majorEastAsia"/>
      <w:b/>
      <w:bCs/>
      <w:caps/>
      <w:sz w:val="28"/>
    </w:rPr>
  </w:style>
  <w:style w:type="paragraph" w:styleId="Heading2">
    <w:name w:val="heading 2"/>
    <w:basedOn w:val="Normal"/>
    <w:next w:val="Normal"/>
    <w:link w:val="Heading2Char"/>
    <w:uiPriority w:val="9"/>
    <w:unhideWhenUsed/>
    <w:qFormat/>
    <w:rsid w:val="001E261E"/>
    <w:pPr>
      <w:keepNext/>
      <w:keepLines/>
      <w:spacing w:before="200" w:after="100" w:afterAutospacing="1"/>
      <w:jc w:val="center"/>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semiHidden/>
    <w:unhideWhenUsed/>
    <w:qFormat/>
    <w:rsid w:val="006A0324"/>
    <w:pPr>
      <w:keepNext/>
      <w:keepLines/>
      <w:numPr>
        <w:ilvl w:val="2"/>
        <w:numId w:val="1"/>
      </w:numPr>
      <w:spacing w:before="100" w:beforeAutospacing="1" w:after="100" w:afterAutospacing="1"/>
      <w:outlineLvl w:val="2"/>
    </w:pPr>
    <w:rPr>
      <w:rFonts w:eastAsiaTheme="majorEastAsia" w:cstheme="majorBidi"/>
      <w:b/>
      <w:bCs/>
      <w:color w:val="FF0000"/>
    </w:rPr>
  </w:style>
  <w:style w:type="paragraph" w:styleId="Heading4">
    <w:name w:val="heading 4"/>
    <w:basedOn w:val="Normal"/>
    <w:next w:val="Normal"/>
    <w:link w:val="Heading4Char"/>
    <w:uiPriority w:val="9"/>
    <w:semiHidden/>
    <w:unhideWhenUsed/>
    <w:qFormat/>
    <w:rsid w:val="00433F2B"/>
    <w:pPr>
      <w:keepNext/>
      <w:keepLines/>
      <w:numPr>
        <w:ilvl w:val="3"/>
        <w:numId w:val="1"/>
      </w:numPr>
      <w:spacing w:before="200" w:after="24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433F2B"/>
    <w:pPr>
      <w:keepNext/>
      <w:keepLines/>
      <w:numPr>
        <w:ilvl w:val="4"/>
        <w:numId w:val="1"/>
      </w:numPr>
      <w:spacing w:before="200" w:after="2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0E663F"/>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E663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663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E663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8239A"/>
    <w:rPr>
      <w:rFonts w:ascii="Times New Roman" w:eastAsiaTheme="majorEastAsia" w:hAnsi="Times New Roman" w:cs="Times New Roman"/>
      <w:b/>
      <w:bCs/>
      <w:caps/>
      <w:sz w:val="28"/>
      <w:szCs w:val="24"/>
      <w:lang w:val="en-US"/>
    </w:rPr>
  </w:style>
  <w:style w:type="character" w:customStyle="1" w:styleId="Heading2Char">
    <w:name w:val="Heading 2 Char"/>
    <w:basedOn w:val="DefaultParagraphFont"/>
    <w:link w:val="Heading2"/>
    <w:uiPriority w:val="9"/>
    <w:rsid w:val="001E261E"/>
    <w:rPr>
      <w:rFonts w:ascii="Times New Roman" w:eastAsiaTheme="majorEastAsia" w:hAnsi="Times New Roman" w:cstheme="majorBidi"/>
      <w:b/>
      <w:bCs/>
      <w:color w:val="000000" w:themeColor="text1"/>
      <w:sz w:val="28"/>
      <w:szCs w:val="26"/>
      <w:lang w:val="en-US"/>
    </w:rPr>
  </w:style>
  <w:style w:type="character" w:customStyle="1" w:styleId="Heading3Char">
    <w:name w:val="Heading 3 Char"/>
    <w:basedOn w:val="DefaultParagraphFont"/>
    <w:link w:val="Heading3"/>
    <w:uiPriority w:val="9"/>
    <w:rsid w:val="006A0324"/>
    <w:rPr>
      <w:rFonts w:ascii="Times New Roman" w:eastAsiaTheme="majorEastAsia" w:hAnsi="Times New Roman" w:cstheme="majorBidi"/>
      <w:b/>
      <w:bCs/>
      <w:color w:val="FF0000"/>
      <w:sz w:val="24"/>
      <w:lang w:val="en-US"/>
    </w:rPr>
  </w:style>
  <w:style w:type="character" w:customStyle="1" w:styleId="Heading4Char">
    <w:name w:val="Heading 4 Char"/>
    <w:basedOn w:val="DefaultParagraphFont"/>
    <w:link w:val="Heading4"/>
    <w:uiPriority w:val="9"/>
    <w:rsid w:val="00433F2B"/>
    <w:rPr>
      <w:rFonts w:ascii="Times New Roman" w:eastAsiaTheme="majorEastAsia" w:hAnsi="Times New Roman" w:cstheme="majorBidi"/>
      <w:b/>
      <w:bCs/>
      <w:iCs/>
      <w:sz w:val="24"/>
      <w:lang w:val="en-US"/>
    </w:rPr>
  </w:style>
  <w:style w:type="character" w:customStyle="1" w:styleId="Heading5Char">
    <w:name w:val="Heading 5 Char"/>
    <w:basedOn w:val="DefaultParagraphFont"/>
    <w:link w:val="Heading5"/>
    <w:uiPriority w:val="9"/>
    <w:rsid w:val="00433F2B"/>
    <w:rPr>
      <w:rFonts w:ascii="Times New Roman" w:eastAsiaTheme="majorEastAsia" w:hAnsi="Times New Roman" w:cstheme="majorBidi"/>
      <w:b/>
      <w:sz w:val="24"/>
      <w:lang w:val="en-US"/>
    </w:rPr>
  </w:style>
  <w:style w:type="character" w:customStyle="1" w:styleId="Heading6Char">
    <w:name w:val="Heading 6 Char"/>
    <w:basedOn w:val="DefaultParagraphFont"/>
    <w:link w:val="Heading6"/>
    <w:uiPriority w:val="9"/>
    <w:semiHidden/>
    <w:rsid w:val="000E663F"/>
    <w:rPr>
      <w:rFonts w:asciiTheme="majorHAnsi" w:eastAsiaTheme="majorEastAsia" w:hAnsiTheme="majorHAnsi" w:cstheme="majorBidi"/>
      <w:i/>
      <w:iCs/>
      <w:color w:val="1F3763" w:themeColor="accent1" w:themeShade="7F"/>
      <w:sz w:val="24"/>
      <w:lang w:val="en-US"/>
    </w:rPr>
  </w:style>
  <w:style w:type="character" w:customStyle="1" w:styleId="Heading7Char">
    <w:name w:val="Heading 7 Char"/>
    <w:basedOn w:val="DefaultParagraphFont"/>
    <w:link w:val="Heading7"/>
    <w:uiPriority w:val="9"/>
    <w:semiHidden/>
    <w:rsid w:val="000E663F"/>
    <w:rPr>
      <w:rFonts w:asciiTheme="majorHAnsi" w:eastAsiaTheme="majorEastAsia" w:hAnsiTheme="majorHAnsi" w:cstheme="majorBidi"/>
      <w:i/>
      <w:iCs/>
      <w:color w:val="404040" w:themeColor="text1" w:themeTint="BF"/>
      <w:sz w:val="24"/>
      <w:lang w:val="en-US"/>
    </w:rPr>
  </w:style>
  <w:style w:type="character" w:customStyle="1" w:styleId="Heading8Char">
    <w:name w:val="Heading 8 Char"/>
    <w:basedOn w:val="DefaultParagraphFont"/>
    <w:link w:val="Heading8"/>
    <w:uiPriority w:val="9"/>
    <w:semiHidden/>
    <w:rsid w:val="000E663F"/>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0E663F"/>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0E663F"/>
    <w:pPr>
      <w:ind w:left="720"/>
      <w:contextualSpacing/>
    </w:pPr>
  </w:style>
  <w:style w:type="character" w:styleId="IntenseEmphasis">
    <w:name w:val="Intense Emphasis"/>
    <w:basedOn w:val="DefaultParagraphFont"/>
    <w:uiPriority w:val="21"/>
    <w:qFormat/>
    <w:rsid w:val="000E663F"/>
    <w:rPr>
      <w:b/>
      <w:bCs/>
      <w:i/>
      <w:iCs/>
      <w:color w:val="4472C4" w:themeColor="accent1"/>
    </w:rPr>
  </w:style>
  <w:style w:type="character" w:styleId="IntenseReference">
    <w:name w:val="Intense Reference"/>
    <w:basedOn w:val="DefaultParagraphFont"/>
    <w:uiPriority w:val="32"/>
    <w:qFormat/>
    <w:rsid w:val="000E663F"/>
    <w:rPr>
      <w:b/>
      <w:bCs/>
      <w:smallCaps/>
      <w:color w:val="ED7D31" w:themeColor="accent2"/>
      <w:spacing w:val="5"/>
      <w:u w:val="single"/>
    </w:rPr>
  </w:style>
  <w:style w:type="character" w:styleId="SubtleReference">
    <w:name w:val="Subtle Reference"/>
    <w:basedOn w:val="DefaultParagraphFont"/>
    <w:uiPriority w:val="31"/>
    <w:qFormat/>
    <w:rsid w:val="000E663F"/>
    <w:rPr>
      <w:smallCaps/>
      <w:color w:val="ED7D31" w:themeColor="accent2"/>
      <w:u w:val="single"/>
    </w:rPr>
  </w:style>
  <w:style w:type="paragraph" w:styleId="BalloonText">
    <w:name w:val="Balloon Text"/>
    <w:basedOn w:val="Normal"/>
    <w:link w:val="BalloonTextChar"/>
    <w:uiPriority w:val="99"/>
    <w:semiHidden/>
    <w:unhideWhenUsed/>
    <w:rsid w:val="000E66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63F"/>
    <w:rPr>
      <w:rFonts w:ascii="Tahoma" w:hAnsi="Tahoma" w:cs="Tahoma"/>
      <w:sz w:val="16"/>
      <w:szCs w:val="16"/>
      <w:lang w:val="en-US"/>
    </w:rPr>
  </w:style>
  <w:style w:type="character" w:styleId="Hyperlink">
    <w:name w:val="Hyperlink"/>
    <w:basedOn w:val="DefaultParagraphFont"/>
    <w:uiPriority w:val="99"/>
    <w:unhideWhenUsed/>
    <w:rsid w:val="000E663F"/>
    <w:rPr>
      <w:color w:val="0000FF"/>
      <w:u w:val="single"/>
    </w:rPr>
  </w:style>
  <w:style w:type="paragraph" w:styleId="TOCHeading">
    <w:name w:val="TOC Heading"/>
    <w:basedOn w:val="Heading1"/>
    <w:next w:val="Normal"/>
    <w:uiPriority w:val="39"/>
    <w:unhideWhenUsed/>
    <w:qFormat/>
    <w:rsid w:val="000E663F"/>
    <w:pPr>
      <w:outlineLvl w:val="9"/>
    </w:pPr>
    <w:rPr>
      <w:color w:val="2F5496" w:themeColor="accent1" w:themeShade="BF"/>
      <w:lang w:eastAsia="ja-JP"/>
    </w:rPr>
  </w:style>
  <w:style w:type="paragraph" w:styleId="TOC1">
    <w:name w:val="toc 1"/>
    <w:basedOn w:val="Normal"/>
    <w:next w:val="Normal"/>
    <w:autoRedefine/>
    <w:uiPriority w:val="39"/>
    <w:unhideWhenUsed/>
    <w:rsid w:val="0010612E"/>
    <w:pPr>
      <w:tabs>
        <w:tab w:val="right" w:pos="8323"/>
      </w:tabs>
      <w:spacing w:line="276" w:lineRule="auto"/>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6E153C"/>
    <w:pPr>
      <w:tabs>
        <w:tab w:val="right" w:pos="8323"/>
      </w:tabs>
      <w:ind w:left="240"/>
      <w:jc w:val="left"/>
    </w:pPr>
    <w:rPr>
      <w:rFonts w:asciiTheme="minorHAnsi" w:hAnsiTheme="minorHAnsi" w:cstheme="minorHAnsi"/>
      <w:b/>
      <w:bCs/>
      <w:smallCaps/>
      <w:noProof/>
      <w:sz w:val="20"/>
      <w:szCs w:val="20"/>
    </w:rPr>
  </w:style>
  <w:style w:type="paragraph" w:styleId="TOC3">
    <w:name w:val="toc 3"/>
    <w:basedOn w:val="Normal"/>
    <w:next w:val="Normal"/>
    <w:autoRedefine/>
    <w:uiPriority w:val="39"/>
    <w:unhideWhenUsed/>
    <w:rsid w:val="00EA38BF"/>
    <w:pPr>
      <w:ind w:left="480"/>
      <w:jc w:val="left"/>
    </w:pPr>
    <w:rPr>
      <w:rFonts w:asciiTheme="minorHAnsi" w:hAnsiTheme="minorHAnsi" w:cstheme="minorHAnsi"/>
      <w:i/>
      <w:iCs/>
      <w:sz w:val="20"/>
      <w:szCs w:val="20"/>
    </w:rPr>
  </w:style>
  <w:style w:type="paragraph" w:styleId="Header">
    <w:name w:val="header"/>
    <w:basedOn w:val="Normal"/>
    <w:link w:val="HeaderChar"/>
    <w:uiPriority w:val="99"/>
    <w:unhideWhenUsed/>
    <w:rsid w:val="000E663F"/>
    <w:pPr>
      <w:tabs>
        <w:tab w:val="center" w:pos="4680"/>
        <w:tab w:val="right" w:pos="9360"/>
      </w:tabs>
      <w:spacing w:line="240" w:lineRule="auto"/>
    </w:pPr>
  </w:style>
  <w:style w:type="character" w:customStyle="1" w:styleId="HeaderChar">
    <w:name w:val="Header Char"/>
    <w:basedOn w:val="DefaultParagraphFont"/>
    <w:link w:val="Header"/>
    <w:uiPriority w:val="99"/>
    <w:rsid w:val="000E663F"/>
    <w:rPr>
      <w:lang w:val="en-US"/>
    </w:rPr>
  </w:style>
  <w:style w:type="paragraph" w:styleId="Footer">
    <w:name w:val="footer"/>
    <w:basedOn w:val="Normal"/>
    <w:link w:val="FooterChar"/>
    <w:uiPriority w:val="99"/>
    <w:unhideWhenUsed/>
    <w:rsid w:val="000E663F"/>
    <w:pPr>
      <w:tabs>
        <w:tab w:val="center" w:pos="4680"/>
        <w:tab w:val="right" w:pos="9360"/>
      </w:tabs>
      <w:spacing w:line="240" w:lineRule="auto"/>
    </w:pPr>
  </w:style>
  <w:style w:type="character" w:customStyle="1" w:styleId="FooterChar">
    <w:name w:val="Footer Char"/>
    <w:basedOn w:val="DefaultParagraphFont"/>
    <w:link w:val="Footer"/>
    <w:uiPriority w:val="99"/>
    <w:rsid w:val="000E663F"/>
    <w:rPr>
      <w:lang w:val="en-US"/>
    </w:rPr>
  </w:style>
  <w:style w:type="paragraph" w:styleId="NormalWeb">
    <w:name w:val="Normal (Web)"/>
    <w:basedOn w:val="Normal"/>
    <w:uiPriority w:val="99"/>
    <w:unhideWhenUsed/>
    <w:rsid w:val="000E663F"/>
  </w:style>
  <w:style w:type="character" w:customStyle="1" w:styleId="UnresolvedMention1">
    <w:name w:val="Unresolved Mention1"/>
    <w:basedOn w:val="DefaultParagraphFont"/>
    <w:uiPriority w:val="99"/>
    <w:semiHidden/>
    <w:unhideWhenUsed/>
    <w:rsid w:val="000E663F"/>
    <w:rPr>
      <w:color w:val="605E5C"/>
      <w:shd w:val="clear" w:color="auto" w:fill="E1DFDD"/>
    </w:rPr>
  </w:style>
  <w:style w:type="character" w:customStyle="1" w:styleId="ref-lnk">
    <w:name w:val="ref-lnk"/>
    <w:basedOn w:val="DefaultParagraphFont"/>
    <w:rsid w:val="000E663F"/>
  </w:style>
  <w:style w:type="table" w:styleId="TableGrid">
    <w:name w:val="Table Grid"/>
    <w:basedOn w:val="TableNormal"/>
    <w:uiPriority w:val="39"/>
    <w:rsid w:val="00563E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4E58"/>
    <w:pPr>
      <w:autoSpaceDE w:val="0"/>
      <w:autoSpaceDN w:val="0"/>
      <w:adjustRightInd w:val="0"/>
      <w:spacing w:line="240" w:lineRule="auto"/>
    </w:pPr>
    <w:rPr>
      <w:color w:val="000000"/>
    </w:rPr>
  </w:style>
  <w:style w:type="table" w:customStyle="1" w:styleId="LightShading2">
    <w:name w:val="Light Shading2"/>
    <w:basedOn w:val="TableNormal"/>
    <w:uiPriority w:val="60"/>
    <w:rsid w:val="00780503"/>
    <w:pPr>
      <w:spacing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basedOn w:val="DefaultParagraphFont"/>
    <w:uiPriority w:val="22"/>
    <w:qFormat/>
    <w:rsid w:val="002116D7"/>
    <w:rPr>
      <w:b/>
      <w:bCs/>
    </w:rPr>
  </w:style>
  <w:style w:type="character" w:styleId="Emphasis">
    <w:name w:val="Emphasis"/>
    <w:basedOn w:val="DefaultParagraphFont"/>
    <w:uiPriority w:val="20"/>
    <w:qFormat/>
    <w:rsid w:val="002F7A5B"/>
    <w:rPr>
      <w:i/>
      <w:iCs/>
    </w:rPr>
  </w:style>
  <w:style w:type="paragraph" w:styleId="NoSpacing">
    <w:name w:val="No Spacing"/>
    <w:uiPriority w:val="1"/>
    <w:qFormat/>
    <w:rsid w:val="002F7A5B"/>
    <w:pPr>
      <w:spacing w:line="240" w:lineRule="auto"/>
    </w:pPr>
  </w:style>
  <w:style w:type="character" w:customStyle="1" w:styleId="UnresolvedMention2">
    <w:name w:val="Unresolved Mention2"/>
    <w:basedOn w:val="DefaultParagraphFont"/>
    <w:uiPriority w:val="99"/>
    <w:semiHidden/>
    <w:unhideWhenUsed/>
    <w:rsid w:val="00C60F5A"/>
    <w:rPr>
      <w:color w:val="605E5C"/>
      <w:shd w:val="clear" w:color="auto" w:fill="E1DFDD"/>
    </w:rPr>
  </w:style>
  <w:style w:type="character" w:styleId="FollowedHyperlink">
    <w:name w:val="FollowedHyperlink"/>
    <w:basedOn w:val="DefaultParagraphFont"/>
    <w:uiPriority w:val="99"/>
    <w:semiHidden/>
    <w:unhideWhenUsed/>
    <w:rsid w:val="0087413C"/>
    <w:rPr>
      <w:color w:val="954F72" w:themeColor="followedHyperlink"/>
      <w:u w:val="single"/>
    </w:rPr>
  </w:style>
  <w:style w:type="paragraph" w:customStyle="1" w:styleId="APPENDIX1">
    <w:name w:val="APPENDIX 1"/>
    <w:basedOn w:val="Normal"/>
    <w:next w:val="Normal"/>
    <w:link w:val="APPENDIX1Char"/>
    <w:qFormat/>
    <w:rsid w:val="00E26A5A"/>
    <w:pPr>
      <w:spacing w:line="259" w:lineRule="auto"/>
      <w:jc w:val="center"/>
    </w:pPr>
    <w:rPr>
      <w:b/>
      <w:bCs/>
      <w:sz w:val="28"/>
      <w:szCs w:val="28"/>
    </w:rPr>
  </w:style>
  <w:style w:type="character" w:customStyle="1" w:styleId="APPENDIX1Char">
    <w:name w:val="APPENDIX 1 Char"/>
    <w:basedOn w:val="DefaultParagraphFont"/>
    <w:link w:val="APPENDIX1"/>
    <w:rsid w:val="00E26A5A"/>
    <w:rPr>
      <w:rFonts w:ascii="Times New Roman" w:hAnsi="Times New Roman" w:cs="Times New Roman"/>
      <w:b/>
      <w:bCs/>
      <w:sz w:val="28"/>
      <w:szCs w:val="28"/>
      <w:lang w:val="en-US"/>
    </w:rPr>
  </w:style>
  <w:style w:type="paragraph" w:customStyle="1" w:styleId="Tables">
    <w:name w:val="Tables"/>
    <w:basedOn w:val="Normal"/>
    <w:qFormat/>
    <w:rsid w:val="00E52662"/>
    <w:pPr>
      <w:autoSpaceDE w:val="0"/>
      <w:autoSpaceDN w:val="0"/>
      <w:adjustRightInd w:val="0"/>
      <w:jc w:val="left"/>
      <w:textboxTightWrap w:val="allLines"/>
    </w:pPr>
    <w:rPr>
      <w:lang w:val="ms-MY"/>
    </w:rPr>
  </w:style>
  <w:style w:type="paragraph" w:styleId="Caption">
    <w:name w:val="caption"/>
    <w:basedOn w:val="Normal"/>
    <w:next w:val="Normal"/>
    <w:uiPriority w:val="35"/>
    <w:unhideWhenUsed/>
    <w:qFormat/>
    <w:rsid w:val="00671511"/>
    <w:pPr>
      <w:spacing w:after="200" w:line="240" w:lineRule="auto"/>
    </w:pPr>
    <w:rPr>
      <w:b/>
      <w:bCs/>
      <w:color w:val="4472C4" w:themeColor="accent1"/>
      <w:sz w:val="18"/>
      <w:szCs w:val="18"/>
    </w:rPr>
  </w:style>
  <w:style w:type="paragraph" w:styleId="TableofFigures">
    <w:name w:val="table of figures"/>
    <w:basedOn w:val="Tables"/>
    <w:next w:val="Tables"/>
    <w:uiPriority w:val="99"/>
    <w:unhideWhenUsed/>
    <w:rsid w:val="00671511"/>
  </w:style>
  <w:style w:type="character" w:customStyle="1" w:styleId="UnresolvedMention3">
    <w:name w:val="Unresolved Mention3"/>
    <w:basedOn w:val="DefaultParagraphFont"/>
    <w:uiPriority w:val="99"/>
    <w:semiHidden/>
    <w:unhideWhenUsed/>
    <w:rsid w:val="00D12974"/>
    <w:rPr>
      <w:color w:val="605E5C"/>
      <w:shd w:val="clear" w:color="auto" w:fill="E1DFDD"/>
    </w:rPr>
  </w:style>
  <w:style w:type="table" w:styleId="MediumList1-Accent1">
    <w:name w:val="Medium List 1 Accent 1"/>
    <w:basedOn w:val="TableNormal"/>
    <w:uiPriority w:val="65"/>
    <w:rsid w:val="00780503"/>
    <w:pPr>
      <w:spacing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
    <w:name w:val="Medium List 1"/>
    <w:basedOn w:val="TableNormal"/>
    <w:uiPriority w:val="65"/>
    <w:rsid w:val="0078050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nresolvedMention4">
    <w:name w:val="Unresolved Mention4"/>
    <w:basedOn w:val="DefaultParagraphFont"/>
    <w:uiPriority w:val="99"/>
    <w:semiHidden/>
    <w:unhideWhenUsed/>
    <w:rsid w:val="00C35928"/>
    <w:rPr>
      <w:color w:val="605E5C"/>
      <w:shd w:val="clear" w:color="auto" w:fill="E1DFDD"/>
    </w:rPr>
  </w:style>
  <w:style w:type="paragraph" w:styleId="TOC4">
    <w:name w:val="toc 4"/>
    <w:basedOn w:val="Normal"/>
    <w:next w:val="Normal"/>
    <w:autoRedefine/>
    <w:uiPriority w:val="39"/>
    <w:unhideWhenUsed/>
    <w:rsid w:val="009B16A0"/>
    <w:pPr>
      <w:ind w:left="72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9B16A0"/>
    <w:pPr>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9B16A0"/>
    <w:pPr>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9B16A0"/>
    <w:pPr>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9B16A0"/>
    <w:pPr>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9B16A0"/>
    <w:pPr>
      <w:ind w:left="1920"/>
      <w:jc w:val="left"/>
    </w:pPr>
    <w:rPr>
      <w:rFonts w:asciiTheme="minorHAnsi" w:hAnsiTheme="minorHAnsi" w:cstheme="minorHAnsi"/>
      <w:sz w:val="18"/>
      <w:szCs w:val="18"/>
    </w:rPr>
  </w:style>
  <w:style w:type="character" w:customStyle="1" w:styleId="UnresolvedMention5">
    <w:name w:val="Unresolved Mention5"/>
    <w:basedOn w:val="DefaultParagraphFont"/>
    <w:uiPriority w:val="99"/>
    <w:semiHidden/>
    <w:unhideWhenUsed/>
    <w:rsid w:val="006E153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color w:val="000000"/>
    </w:rPr>
    <w:tblPr>
      <w:tblStyleRowBandSize w:val="1"/>
      <w:tblStyleColBandSize w:val="1"/>
    </w:tblPr>
  </w:style>
  <w:style w:type="table" w:customStyle="1" w:styleId="a0">
    <w:basedOn w:val="TableNormal"/>
    <w:pPr>
      <w:spacing w:line="240" w:lineRule="auto"/>
    </w:pPr>
    <w:rPr>
      <w:color w:val="000000"/>
    </w:rPr>
    <w:tblPr>
      <w:tblStyleRowBandSize w:val="1"/>
      <w:tblStyleColBandSize w:val="1"/>
    </w:tblPr>
  </w:style>
  <w:style w:type="paragraph" w:customStyle="1" w:styleId="Author">
    <w:name w:val="Author"/>
    <w:basedOn w:val="Normal"/>
    <w:rsid w:val="002B38A3"/>
    <w:pPr>
      <w:tabs>
        <w:tab w:val="left" w:pos="1800"/>
        <w:tab w:val="left" w:pos="3510"/>
      </w:tabs>
      <w:jc w:val="center"/>
    </w:pPr>
    <w:rPr>
      <w:rFonts w:eastAsia="MS Mincho"/>
      <w:szCs w:val="22"/>
      <w:lang w:eastAsia="zh-CN"/>
    </w:rPr>
  </w:style>
  <w:style w:type="paragraph" w:customStyle="1" w:styleId="Affiliation">
    <w:name w:val="Affiliation"/>
    <w:basedOn w:val="Normal"/>
    <w:rsid w:val="002B38A3"/>
    <w:pPr>
      <w:spacing w:afterLines="25" w:after="60" w:line="240" w:lineRule="auto"/>
      <w:jc w:val="center"/>
    </w:pPr>
    <w:rPr>
      <w:rFonts w:eastAsia="PMingLiU"/>
      <w:sz w:val="22"/>
      <w:szCs w:val="20"/>
      <w:lang w:eastAsia="zh-CN"/>
    </w:rPr>
  </w:style>
  <w:style w:type="paragraph" w:customStyle="1" w:styleId="Date1">
    <w:name w:val="Date1"/>
    <w:basedOn w:val="Normal"/>
    <w:rsid w:val="002B38A3"/>
    <w:pPr>
      <w:spacing w:after="240" w:line="240" w:lineRule="auto"/>
      <w:jc w:val="center"/>
    </w:pPr>
    <w:rPr>
      <w:rFonts w:eastAsia="SimSun"/>
      <w:i/>
      <w:sz w:val="20"/>
      <w:szCs w:val="20"/>
      <w:lang w:eastAsia="zh-CN"/>
    </w:rPr>
  </w:style>
  <w:style w:type="paragraph" w:customStyle="1" w:styleId="abstract">
    <w:name w:val="abstract"/>
    <w:basedOn w:val="Normal"/>
    <w:rsid w:val="002B38A3"/>
    <w:pPr>
      <w:spacing w:line="240" w:lineRule="auto"/>
      <w:ind w:left="425" w:right="425"/>
    </w:pPr>
    <w:rPr>
      <w:rFonts w:eastAsia="SimSun"/>
      <w:sz w:val="20"/>
      <w:szCs w:val="20"/>
      <w:lang w:eastAsia="zh-CN"/>
    </w:rPr>
  </w:style>
  <w:style w:type="paragraph" w:customStyle="1" w:styleId="keywords">
    <w:name w:val="keywords"/>
    <w:basedOn w:val="Normal"/>
    <w:rsid w:val="002B38A3"/>
    <w:pPr>
      <w:spacing w:before="120" w:afterLines="50" w:after="120" w:line="280" w:lineRule="exact"/>
      <w:ind w:left="425" w:right="431"/>
    </w:pPr>
    <w:rPr>
      <w:rFonts w:eastAsia="MS Mincho"/>
      <w:sz w:val="20"/>
      <w:szCs w:val="20"/>
      <w:lang w:val="en-GB" w:eastAsia="zh-CN"/>
    </w:rPr>
  </w:style>
  <w:style w:type="character" w:customStyle="1" w:styleId="abstractheadChar">
    <w:name w:val="abstract head Char"/>
    <w:rsid w:val="002B38A3"/>
    <w:rPr>
      <w:rFonts w:eastAsia="SimSun"/>
      <w:b/>
      <w:bCs/>
      <w:sz w:val="24"/>
      <w:lang w:val="en-US" w:eastAsia="zh-CN" w:bidi="ar-SA"/>
    </w:rPr>
  </w:style>
  <w:style w:type="character" w:customStyle="1" w:styleId="keywordheadChar">
    <w:name w:val="keyword head Char"/>
    <w:rsid w:val="002B38A3"/>
    <w:rPr>
      <w:rFonts w:eastAsia="MS Mincho"/>
      <w:b/>
      <w:bCs/>
      <w:sz w:val="24"/>
      <w:lang w:val="en-GB" w:eastAsia="zh-CN" w:bidi="ar-SA"/>
    </w:rPr>
  </w:style>
  <w:style w:type="table" w:customStyle="1" w:styleId="a1">
    <w:basedOn w:val="TableNormal"/>
    <w:pPr>
      <w:spacing w:line="240" w:lineRule="auto"/>
    </w:pPr>
    <w:rPr>
      <w:color w:val="00000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line="240" w:lineRule="auto"/>
    </w:pPr>
    <w:rPr>
      <w:color w:val="000000"/>
    </w:rPr>
    <w:tblPr>
      <w:tblStyleRowBandSize w:val="1"/>
      <w:tblStyleColBandSize w:val="1"/>
      <w:tblCellMar>
        <w:left w:w="115" w:type="dxa"/>
        <w:right w:w="115" w:type="dxa"/>
      </w:tblCellMar>
    </w:tblPr>
  </w:style>
  <w:style w:type="table" w:customStyle="1" w:styleId="a6">
    <w:basedOn w:val="TableNormal"/>
    <w:pPr>
      <w:spacing w:line="240" w:lineRule="auto"/>
    </w:pPr>
    <w:rPr>
      <w:color w:val="000000"/>
    </w:rPr>
    <w:tblPr>
      <w:tblStyleRowBandSize w:val="1"/>
      <w:tblStyleColBandSize w:val="1"/>
      <w:tblCellMar>
        <w:left w:w="115" w:type="dxa"/>
        <w:right w:w="115" w:type="dxa"/>
      </w:tblCellMar>
    </w:tblPr>
  </w:style>
  <w:style w:type="table" w:customStyle="1" w:styleId="a7">
    <w:basedOn w:val="TableNormal"/>
    <w:pPr>
      <w:spacing w:line="240" w:lineRule="auto"/>
    </w:pPr>
    <w:rPr>
      <w:color w:val="000000"/>
    </w:rPr>
    <w:tblPr>
      <w:tblStyleRowBandSize w:val="1"/>
      <w:tblStyleColBandSize w:val="1"/>
      <w:tblCellMar>
        <w:left w:w="115" w:type="dxa"/>
        <w:right w:w="115" w:type="dxa"/>
      </w:tblCellMar>
    </w:tblPr>
  </w:style>
  <w:style w:type="table" w:customStyle="1" w:styleId="a8">
    <w:basedOn w:val="TableNormal"/>
    <w:pPr>
      <w:spacing w:line="240" w:lineRule="auto"/>
    </w:pPr>
    <w:rPr>
      <w:color w:val="000000"/>
    </w:rPr>
    <w:tblPr>
      <w:tblStyleRowBandSize w:val="1"/>
      <w:tblStyleColBandSize w:val="1"/>
      <w:tblCellMar>
        <w:left w:w="115" w:type="dxa"/>
        <w:right w:w="115" w:type="dxa"/>
      </w:tblCellMar>
    </w:tblPr>
  </w:style>
  <w:style w:type="table" w:customStyle="1" w:styleId="a9">
    <w:basedOn w:val="TableNormal"/>
    <w:pPr>
      <w:spacing w:line="240" w:lineRule="auto"/>
    </w:pPr>
    <w:rPr>
      <w:color w:val="000000"/>
    </w:rPr>
    <w:tblPr>
      <w:tblStyleRowBandSize w:val="1"/>
      <w:tblStyleColBandSize w:val="1"/>
      <w:tblCellMar>
        <w:left w:w="115" w:type="dxa"/>
        <w:right w:w="115" w:type="dxa"/>
      </w:tblCellMar>
    </w:tblPr>
  </w:style>
  <w:style w:type="table" w:customStyle="1" w:styleId="aa">
    <w:basedOn w:val="TableNormal"/>
    <w:pPr>
      <w:spacing w:line="240" w:lineRule="auto"/>
    </w:pPr>
    <w:rPr>
      <w:color w:val="000000"/>
    </w:rPr>
    <w:tblPr>
      <w:tblStyleRowBandSize w:val="1"/>
      <w:tblStyleColBandSize w:val="1"/>
      <w:tblCellMar>
        <w:left w:w="115" w:type="dxa"/>
        <w:right w:w="115" w:type="dxa"/>
      </w:tblCellMar>
    </w:tblPr>
  </w:style>
  <w:style w:type="table" w:customStyle="1" w:styleId="ab">
    <w:basedOn w:val="TableNormal"/>
    <w:pPr>
      <w:spacing w:line="240" w:lineRule="auto"/>
    </w:pPr>
    <w:rPr>
      <w:color w:val="000000"/>
    </w:rPr>
    <w:tblPr>
      <w:tblStyleRowBandSize w:val="1"/>
      <w:tblStyleColBandSize w:val="1"/>
      <w:tblCellMar>
        <w:left w:w="115" w:type="dxa"/>
        <w:right w:w="115" w:type="dxa"/>
      </w:tblCellMar>
    </w:tblPr>
  </w:style>
  <w:style w:type="table" w:customStyle="1" w:styleId="ac">
    <w:basedOn w:val="TableNormal"/>
    <w:pPr>
      <w:spacing w:line="240" w:lineRule="auto"/>
    </w:pPr>
    <w:rPr>
      <w:color w:val="000000"/>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7C689F"/>
    <w:rPr>
      <w:sz w:val="16"/>
      <w:szCs w:val="16"/>
    </w:rPr>
  </w:style>
  <w:style w:type="paragraph" w:styleId="CommentText">
    <w:name w:val="annotation text"/>
    <w:basedOn w:val="Normal"/>
    <w:link w:val="CommentTextChar"/>
    <w:uiPriority w:val="99"/>
    <w:unhideWhenUsed/>
    <w:rsid w:val="007C689F"/>
    <w:pPr>
      <w:spacing w:line="240" w:lineRule="auto"/>
    </w:pPr>
    <w:rPr>
      <w:sz w:val="20"/>
      <w:szCs w:val="20"/>
    </w:rPr>
  </w:style>
  <w:style w:type="character" w:customStyle="1" w:styleId="CommentTextChar">
    <w:name w:val="Comment Text Char"/>
    <w:basedOn w:val="DefaultParagraphFont"/>
    <w:link w:val="CommentText"/>
    <w:uiPriority w:val="99"/>
    <w:rsid w:val="007C689F"/>
    <w:rPr>
      <w:sz w:val="20"/>
      <w:szCs w:val="20"/>
    </w:rPr>
  </w:style>
  <w:style w:type="paragraph" w:styleId="CommentSubject">
    <w:name w:val="annotation subject"/>
    <w:basedOn w:val="CommentText"/>
    <w:next w:val="CommentText"/>
    <w:link w:val="CommentSubjectChar"/>
    <w:uiPriority w:val="99"/>
    <w:semiHidden/>
    <w:unhideWhenUsed/>
    <w:rsid w:val="007C689F"/>
    <w:rPr>
      <w:b/>
      <w:bCs/>
    </w:rPr>
  </w:style>
  <w:style w:type="character" w:customStyle="1" w:styleId="CommentSubjectChar">
    <w:name w:val="Comment Subject Char"/>
    <w:basedOn w:val="CommentTextChar"/>
    <w:link w:val="CommentSubject"/>
    <w:uiPriority w:val="99"/>
    <w:semiHidden/>
    <w:rsid w:val="007C689F"/>
    <w:rPr>
      <w:b/>
      <w:bCs/>
      <w:sz w:val="20"/>
      <w:szCs w:val="20"/>
    </w:rPr>
  </w:style>
  <w:style w:type="table" w:customStyle="1" w:styleId="ad">
    <w:basedOn w:val="TableNormal"/>
    <w:pPr>
      <w:spacing w:line="240" w:lineRule="auto"/>
    </w:pPr>
    <w:rPr>
      <w:color w:val="000000"/>
    </w:rPr>
    <w:tblPr>
      <w:tblStyleRowBandSize w:val="1"/>
      <w:tblStyleColBandSize w:val="1"/>
      <w:tblCellMar>
        <w:left w:w="115" w:type="dxa"/>
        <w:right w:w="115" w:type="dxa"/>
      </w:tblCellMar>
    </w:tblPr>
  </w:style>
  <w:style w:type="table" w:customStyle="1" w:styleId="ae">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0">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1">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2">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3">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4">
    <w:basedOn w:val="TableNormal"/>
    <w:pPr>
      <w:spacing w:line="240" w:lineRule="auto"/>
    </w:pPr>
    <w:rPr>
      <w:color w:val="00000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A1413"/>
    <w:rPr>
      <w:color w:val="605E5C"/>
      <w:shd w:val="clear" w:color="auto" w:fill="E1DFDD"/>
    </w:rPr>
  </w:style>
  <w:style w:type="table" w:customStyle="1" w:styleId="af5">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6">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7">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8">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9">
    <w:basedOn w:val="TableNormal"/>
    <w:pPr>
      <w:spacing w:line="240" w:lineRule="auto"/>
    </w:pPr>
    <w:rPr>
      <w:color w:val="000000"/>
    </w:rPr>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oi.org/10.3390/su13031388" TargetMode="External"/><Relationship Id="rId21" Type="http://schemas.openxmlformats.org/officeDocument/2006/relationships/hyperlink" Target="https://doi.org/10.1108/ITP-122020-0850" TargetMode="External"/><Relationship Id="rId42" Type="http://schemas.openxmlformats.org/officeDocument/2006/relationships/hyperlink" Target="https://doi.org/10.1017/jmo.2021.15" TargetMode="External"/><Relationship Id="rId47" Type="http://schemas.openxmlformats.org/officeDocument/2006/relationships/hyperlink" Target="http://dx.doi.org/10.1016/j.polsoc.2014.09.003" TargetMode="External"/><Relationship Id="rId63" Type="http://schemas.openxmlformats.org/officeDocument/2006/relationships/hyperlink" Target="https://doi.org/10.1080/21568235.2018.1541420" TargetMode="External"/><Relationship Id="rId68" Type="http://schemas.openxmlformats.org/officeDocument/2006/relationships/hyperlink" Target="http://dx.doi.org/10.3926/jotse.1025" TargetMode="External"/><Relationship Id="rId16" Type="http://schemas.openxmlformats.org/officeDocument/2006/relationships/header" Target="header2.xml"/><Relationship Id="rId11" Type="http://schemas.microsoft.com/office/2016/09/relationships/commentsIds" Target="commentsIds.xml"/><Relationship Id="rId24" Type="http://schemas.openxmlformats.org/officeDocument/2006/relationships/hyperlink" Target="https://doi.org/10.1111/j.1468-2370.2008.00251.x" TargetMode="External"/><Relationship Id="rId32" Type="http://schemas.openxmlformats.org/officeDocument/2006/relationships/hyperlink" Target="https://doi.org/10.1007/s11528-008-0135-z" TargetMode="External"/><Relationship Id="rId37" Type="http://schemas.openxmlformats.org/officeDocument/2006/relationships/hyperlink" Target="https://doi.org/10.1002/1097-0266(200010/11)21:10/11%3C1105::AID-SMJ133%3E3.0.CO;2-E" TargetMode="External"/><Relationship Id="rId40" Type="http://schemas.openxmlformats.org/officeDocument/2006/relationships/hyperlink" Target="https://doi.org/10.1177/002224378101800313" TargetMode="External"/><Relationship Id="rId45" Type="http://schemas.openxmlformats.org/officeDocument/2006/relationships/hyperlink" Target="https://doi.org/10.19173/irrodl.v6i1.221" TargetMode="External"/><Relationship Id="rId53" Type="http://schemas.openxmlformats.org/officeDocument/2006/relationships/hyperlink" Target="https://link.springer.com/article/10.1057/s41291-020-00119-x" TargetMode="External"/><Relationship Id="rId58" Type="http://schemas.openxmlformats.org/officeDocument/2006/relationships/hyperlink" Target="https://www.researchgate.net/publication/340502594" TargetMode="External"/><Relationship Id="rId66" Type="http://schemas.openxmlformats.org/officeDocument/2006/relationships/hyperlink" Target="https://doi.org/10.18502/kss.v3i11.4010" TargetMode="External"/><Relationship Id="rId74" Type="http://schemas.openxmlformats.org/officeDocument/2006/relationships/hyperlink" Target="https://doi.org/10.1016/j.emj.2004.09.013" TargetMode="External"/><Relationship Id="rId79" Type="http://schemas.microsoft.com/office/2011/relationships/people" Target="people.xml"/><Relationship Id="rId5" Type="http://schemas.openxmlformats.org/officeDocument/2006/relationships/settings" Target="settings.xml"/><Relationship Id="rId61" Type="http://schemas.openxmlformats.org/officeDocument/2006/relationships/hyperlink" Target="https://doi.org/10.17718/tojde.415837" TargetMode="External"/><Relationship Id="rId19" Type="http://schemas.openxmlformats.org/officeDocument/2006/relationships/header" Target="header3.xml"/><Relationship Id="rId14" Type="http://schemas.openxmlformats.org/officeDocument/2006/relationships/image" Target="media/image2.png"/><Relationship Id="rId22" Type="http://schemas.openxmlformats.org/officeDocument/2006/relationships/hyperlink" Target="https://doi.org/10.3390/su13115938" TargetMode="External"/><Relationship Id="rId27" Type="http://schemas.openxmlformats.org/officeDocument/2006/relationships/hyperlink" Target="https://link.springer.com/article/10.1007/BF02723327" TargetMode="External"/><Relationship Id="rId30" Type="http://schemas.openxmlformats.org/officeDocument/2006/relationships/hyperlink" Target="http://fau.digital.flvc.org/islandora/object/fau%3A3618/datastream/OBJ/view/Mimetic__coercive__and_normative_influences_in_institutionalization_of_organizational_practices.pdf" TargetMode="External"/><Relationship Id="rId35" Type="http://schemas.openxmlformats.org/officeDocument/2006/relationships/hyperlink" Target="http://hdl.handle.net/11599/1460" TargetMode="External"/><Relationship Id="rId43" Type="http://schemas.openxmlformats.org/officeDocument/2006/relationships/hyperlink" Target="https://doi.org/10.1002/smj.332" TargetMode="External"/><Relationship Id="rId48" Type="http://schemas.openxmlformats.org/officeDocument/2006/relationships/hyperlink" Target="https://doi.org/10.17718/tojde.598221" TargetMode="External"/><Relationship Id="rId56" Type="http://schemas.openxmlformats.org/officeDocument/2006/relationships/hyperlink" Target="https://doi.org/10.19173/irrodl.v17i3.2191" TargetMode="External"/><Relationship Id="rId64" Type="http://schemas.openxmlformats.org/officeDocument/2006/relationships/hyperlink" Target="https://doi.org/10.19173/irrodl.v23i1.5758" TargetMode="External"/><Relationship Id="rId69" Type="http://schemas.openxmlformats.org/officeDocument/2006/relationships/hyperlink" Target="https://doi.org/10.1002/(SICI)1097-0266(199708)18:7%3C509::AID-SMJ882%3E3.0.CO;2-Z" TargetMode="External"/><Relationship Id="rId77" Type="http://schemas.openxmlformats.org/officeDocument/2006/relationships/hyperlink" Target="https://doi.org/10.1108/IJSHE-09-2015-0154" TargetMode="External"/><Relationship Id="rId8" Type="http://schemas.openxmlformats.org/officeDocument/2006/relationships/endnotes" Target="endnotes.xml"/><Relationship Id="rId51" Type="http://schemas.openxmlformats.org/officeDocument/2006/relationships/hyperlink" Target="https://citeseerx.ist.psu.edu/viewdoc/summary?doi=10.1.1.628.8594" TargetMode="External"/><Relationship Id="rId72" Type="http://schemas.openxmlformats.org/officeDocument/2006/relationships/hyperlink" Target="https://link.springer.com/article/10.1057/hep.2008.5" TargetMode="External"/><Relationship Id="rId80" Type="http://schemas.openxmlformats.org/officeDocument/2006/relationships/theme" Target="theme/theme1.xml"/><Relationship Id="rId3" Type="http://schemas.openxmlformats.org/officeDocument/2006/relationships/numbering" Target="numbering.xml"/><Relationship Id="rId12" Type="http://schemas.microsoft.com/office/2018/08/relationships/commentsExtensible" Target="commentsExtensible.xml"/><Relationship Id="rId17" Type="http://schemas.openxmlformats.org/officeDocument/2006/relationships/footer" Target="footer1.xml"/><Relationship Id="rId25" Type="http://schemas.openxmlformats.org/officeDocument/2006/relationships/hyperlink" Target="https://doi.org/10.1016/j.ijedudev.2020.102246" TargetMode="External"/><Relationship Id="rId33" Type="http://schemas.openxmlformats.org/officeDocument/2006/relationships/hyperlink" Target="https://repository.unam.edu.na/handle/11070/1327" TargetMode="External"/><Relationship Id="rId38" Type="http://schemas.openxmlformats.org/officeDocument/2006/relationships/hyperlink" Target="https://doi.org/10.11114/bms.v6i2.4899" TargetMode="External"/><Relationship Id="rId46" Type="http://schemas.openxmlformats.org/officeDocument/2006/relationships/hyperlink" Target="http://pcf4.dec.uwi.edu/viewpaper.php?id=57" TargetMode="External"/><Relationship Id="rId59" Type="http://schemas.openxmlformats.org/officeDocument/2006/relationships/hyperlink" Target="https://www.researchgate.net/publication/341211360" TargetMode="External"/><Relationship Id="rId67" Type="http://schemas.openxmlformats.org/officeDocument/2006/relationships/hyperlink" Target="https://link.springer.com/article/10.1007/s11233-019-09022-3" TargetMode="External"/><Relationship Id="rId20" Type="http://schemas.openxmlformats.org/officeDocument/2006/relationships/footer" Target="footer3.xml"/><Relationship Id="rId41" Type="http://schemas.openxmlformats.org/officeDocument/2006/relationships/hyperlink" Target="https://doi.org/10.17705/1CAIS.00407" TargetMode="External"/><Relationship Id="rId54" Type="http://schemas.openxmlformats.org/officeDocument/2006/relationships/hyperlink" Target="https://jl4d.org/index.php/ejl4d/article/download/360/407?inline=1" TargetMode="External"/><Relationship Id="rId62" Type="http://schemas.openxmlformats.org/officeDocument/2006/relationships/hyperlink" Target="https://www.moe.gov.my/menumedia/media-cetak/penerbitan/quick-facts/3719-quick-facts-2020/file" TargetMode="External"/><Relationship Id="rId70" Type="http://schemas.openxmlformats.org/officeDocument/2006/relationships/hyperlink" Target="https://doi.org/10.1002/berj.3215" TargetMode="External"/><Relationship Id="rId75" Type="http://schemas.openxmlformats.org/officeDocument/2006/relationships/hyperlink" Target="https://doi.org/10.1177/153448430833001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doi.org/10.1016/j.tele.2016.07.001" TargetMode="External"/><Relationship Id="rId28" Type="http://schemas.openxmlformats.org/officeDocument/2006/relationships/hyperlink" Target="https://doi.org/10.1108/17504971011052313" TargetMode="External"/><Relationship Id="rId36" Type="http://schemas.openxmlformats.org/officeDocument/2006/relationships/hyperlink" Target="https://doi.org/10.2307/2095101" TargetMode="External"/><Relationship Id="rId49" Type="http://schemas.openxmlformats.org/officeDocument/2006/relationships/hyperlink" Target="https://doi.org/10.1108/IJOPM-10-2011-0364" TargetMode="External"/><Relationship Id="rId57" Type="http://schemas.openxmlformats.org/officeDocument/2006/relationships/hyperlink" Target="https://doi.org/10.1080/13523260.2020.1761749" TargetMode="External"/><Relationship Id="rId10" Type="http://schemas.microsoft.com/office/2011/relationships/commentsExtended" Target="commentsExtended.xml"/><Relationship Id="rId31" Type="http://schemas.openxmlformats.org/officeDocument/2006/relationships/hyperlink" Target="https://files.eric.ed.gov/fulltext/EJ1229102.pdf" TargetMode="External"/><Relationship Id="rId44" Type="http://schemas.openxmlformats.org/officeDocument/2006/relationships/hyperlink" Target="https://link.springer.com/article/10.1007/s11747-014-0403-8" TargetMode="External"/><Relationship Id="rId52" Type="http://schemas.openxmlformats.org/officeDocument/2006/relationships/hyperlink" Target="https://www.timeshighereducation.com/blog/educating-despite-covid-19-outbreak-lessons-singapore" TargetMode="External"/><Relationship Id="rId60" Type="http://schemas.openxmlformats.org/officeDocument/2006/relationships/hyperlink" Target="https://doi.org/10.19173/irrodl.v22i2.5143" TargetMode="External"/><Relationship Id="rId65" Type="http://schemas.openxmlformats.org/officeDocument/2006/relationships/hyperlink" Target="https://doi.org/10.1080/03075079.2017.1289506" TargetMode="External"/><Relationship Id="rId73" Type="http://schemas.openxmlformats.org/officeDocument/2006/relationships/hyperlink" Target="https://www.learntechlib.org/p/217624/" TargetMode="External"/><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footer" Target="footer2.xml"/><Relationship Id="rId39" Type="http://schemas.openxmlformats.org/officeDocument/2006/relationships/hyperlink" Target="https://doi.org/10.1080/03050068.2013.807643" TargetMode="External"/><Relationship Id="rId34" Type="http://schemas.openxmlformats.org/officeDocument/2006/relationships/hyperlink" Target="https://www.proquest.com/pagepdf/756454015?accountid=42518" TargetMode="External"/><Relationship Id="rId50" Type="http://schemas.openxmlformats.org/officeDocument/2006/relationships/hyperlink" Target="https://jolt.merlot.org/vol8no3/kearns_0912.pdf" TargetMode="External"/><Relationship Id="rId55" Type="http://schemas.openxmlformats.org/officeDocument/2006/relationships/hyperlink" Target="https://doi.org/10.19173/irrodl.v14i3.1387" TargetMode="External"/><Relationship Id="rId76" Type="http://schemas.openxmlformats.org/officeDocument/2006/relationships/hyperlink" Target="https://link.springer.com/article/10.1007/s11125-015-9365-y" TargetMode="External"/><Relationship Id="rId7" Type="http://schemas.openxmlformats.org/officeDocument/2006/relationships/footnotes" Target="footnotes.xml"/><Relationship Id="rId71" Type="http://schemas.openxmlformats.org/officeDocument/2006/relationships/hyperlink" Target="https://doi.org/10.1080/02680510600953237" TargetMode="External"/><Relationship Id="rId2" Type="http://schemas.openxmlformats.org/officeDocument/2006/relationships/customXml" Target="../customXml/item2.xml"/><Relationship Id="rId29" Type="http://schemas.openxmlformats.org/officeDocument/2006/relationships/hyperlink" Target="https://doi.org/10.3390/educsci9040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go:docsCustomData xmlns:go="http://customooxmlschemas.google.com/" roundtripDataSignature="AMtx7miRlZnyA7GX/Dkh6y42dNc9wMdGHw==">AMUW2mU4KxG3D2oecAhEmOTa/MeNLIRwGz+HchqnoyKnJRjnpnqDNjbc6zE2xid7DNKQxKO9r7trnv2GGWGO8mhXamzr7x/RaXF2B8cuKmrEfXG1dbPESdaYjSIZeeZBgkEcARDCM9bRRLBCXz/bdX/fIlu0f/wMpLACa9xu5xSeEaINkoTnXzMNkDY5uNQB8Qtv0G7u3OCbrWehZ6WXwvP2Tq6aLLbZgsdGK0QwAFuznS30IOxcA+cLJfUk1HJsmUNBRa/tS2KFmLWXWjE5S1MKrzErEgAQ0mj8haWRuzfZfxMzf0CuidTVRF/ZcR1vE4PzCaA8hsdfenb3Isx3EJYQj4pjQhxVAQ==</go:docsCustomData>
</go:gDocsCustomXmlDataStorage>
</file>

<file path=customXml/itemProps1.xml><?xml version="1.0" encoding="utf-8"?>
<ds:datastoreItem xmlns:ds="http://schemas.openxmlformats.org/officeDocument/2006/customXml" ds:itemID="{D8BABF2B-7515-4119-B927-5758E830A0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7625</Words>
  <Characters>48577</Characters>
  <Application>Microsoft Office Word</Application>
  <DocSecurity>0</DocSecurity>
  <Lines>2024</Lines>
  <Paragraphs>1060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1</dc:creator>
  <cp:lastModifiedBy>Reviewer 1</cp:lastModifiedBy>
  <cp:revision>2</cp:revision>
  <cp:lastPrinted>2022-09-30T03:35:00Z</cp:lastPrinted>
  <dcterms:created xsi:type="dcterms:W3CDTF">2023-02-04T15:40:00Z</dcterms:created>
  <dcterms:modified xsi:type="dcterms:W3CDTF">2023-02-04T15:40:00Z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3b2c873ea94946c139b376ca21ddfb9eaac407906251f235511b6375ad897ca0</vt:lpwstr>
  </property>
</Properties>
</file>