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2391" w14:textId="77777777" w:rsidR="00CB0793" w:rsidRDefault="00CB0793">
      <w:pPr>
        <w:jc w:val="center"/>
        <w:rPr>
          <w:b/>
        </w:rPr>
      </w:pPr>
    </w:p>
    <w:p w14:paraId="2A059D0F" w14:textId="1D2CD771" w:rsidR="00B94517" w:rsidRDefault="00B94517" w:rsidP="00FA5A34">
      <w:pPr>
        <w:jc w:val="center"/>
        <w:rPr>
          <w:b/>
          <w:lang w:val="en-US"/>
        </w:rPr>
      </w:pPr>
      <w:proofErr w:type="spellStart"/>
      <w:r>
        <w:rPr>
          <w:b/>
          <w:lang w:val="en-US"/>
        </w:rPr>
        <w:t>Efektiv</w:t>
      </w:r>
      <w:r w:rsidR="00FA5A34">
        <w:rPr>
          <w:b/>
          <w:lang w:val="en-US"/>
        </w:rPr>
        <w:t>it</w:t>
      </w:r>
      <w:r>
        <w:rPr>
          <w:b/>
          <w:lang w:val="en-US"/>
        </w:rPr>
        <w:t>as</w:t>
      </w:r>
      <w:proofErr w:type="spellEnd"/>
      <w:r>
        <w:rPr>
          <w:b/>
          <w:lang w:val="en-US"/>
        </w:rPr>
        <w:t xml:space="preserve"> </w:t>
      </w:r>
      <w:proofErr w:type="spellStart"/>
      <w:r>
        <w:rPr>
          <w:b/>
          <w:lang w:val="en-US"/>
        </w:rPr>
        <w:t>Sanksi</w:t>
      </w:r>
      <w:proofErr w:type="spellEnd"/>
      <w:r>
        <w:rPr>
          <w:b/>
          <w:lang w:val="en-US"/>
        </w:rPr>
        <w:t xml:space="preserve"> </w:t>
      </w:r>
      <w:proofErr w:type="spellStart"/>
      <w:r>
        <w:rPr>
          <w:b/>
          <w:lang w:val="en-US"/>
        </w:rPr>
        <w:t>Adat</w:t>
      </w:r>
      <w:proofErr w:type="spellEnd"/>
      <w:r>
        <w:rPr>
          <w:b/>
          <w:lang w:val="en-US"/>
        </w:rPr>
        <w:t xml:space="preserve"> </w:t>
      </w:r>
      <w:proofErr w:type="spellStart"/>
      <w:r w:rsidR="00FA5A34">
        <w:rPr>
          <w:b/>
          <w:lang w:val="en-US"/>
        </w:rPr>
        <w:t>Terhadap</w:t>
      </w:r>
      <w:proofErr w:type="spellEnd"/>
      <w:r w:rsidR="00FA5A34">
        <w:rPr>
          <w:b/>
          <w:lang w:val="en-US"/>
        </w:rPr>
        <w:t xml:space="preserve"> </w:t>
      </w:r>
      <w:proofErr w:type="spellStart"/>
      <w:r>
        <w:rPr>
          <w:b/>
          <w:lang w:val="en-US"/>
        </w:rPr>
        <w:t>Pelaku</w:t>
      </w:r>
      <w:proofErr w:type="spellEnd"/>
      <w:r>
        <w:rPr>
          <w:b/>
          <w:lang w:val="en-US"/>
        </w:rPr>
        <w:t xml:space="preserve"> </w:t>
      </w:r>
      <w:proofErr w:type="spellStart"/>
      <w:r>
        <w:rPr>
          <w:b/>
          <w:lang w:val="en-US"/>
        </w:rPr>
        <w:t>Nikah</w:t>
      </w:r>
      <w:proofErr w:type="spellEnd"/>
      <w:r w:rsidR="005B442F">
        <w:rPr>
          <w:b/>
          <w:lang w:val="en-US"/>
        </w:rPr>
        <w:t xml:space="preserve"> </w:t>
      </w:r>
      <w:proofErr w:type="spellStart"/>
      <w:r>
        <w:rPr>
          <w:b/>
          <w:lang w:val="en-US"/>
        </w:rPr>
        <w:t>Siri</w:t>
      </w:r>
      <w:proofErr w:type="spellEnd"/>
      <w:r w:rsidR="00FA5A34">
        <w:rPr>
          <w:b/>
          <w:lang w:val="en-US"/>
        </w:rPr>
        <w:t xml:space="preserve"> </w:t>
      </w:r>
      <w:proofErr w:type="spellStart"/>
      <w:r w:rsidR="00FA5A34">
        <w:rPr>
          <w:b/>
          <w:lang w:val="en-US"/>
        </w:rPr>
        <w:t>dalam</w:t>
      </w:r>
      <w:proofErr w:type="spellEnd"/>
      <w:r w:rsidR="00FA5A34">
        <w:rPr>
          <w:b/>
          <w:lang w:val="en-US"/>
        </w:rPr>
        <w:t xml:space="preserve"> </w:t>
      </w:r>
      <w:proofErr w:type="spellStart"/>
      <w:r w:rsidR="00FA5A34">
        <w:rPr>
          <w:b/>
          <w:lang w:val="en-US"/>
        </w:rPr>
        <w:t>Mengurangi</w:t>
      </w:r>
      <w:proofErr w:type="spellEnd"/>
      <w:r w:rsidR="00FA5A34">
        <w:rPr>
          <w:b/>
          <w:lang w:val="en-US"/>
        </w:rPr>
        <w:t xml:space="preserve"> </w:t>
      </w:r>
      <w:proofErr w:type="spellStart"/>
      <w:r w:rsidR="00FA5A34">
        <w:rPr>
          <w:b/>
          <w:lang w:val="en-US"/>
        </w:rPr>
        <w:t>Jumlah</w:t>
      </w:r>
      <w:proofErr w:type="spellEnd"/>
      <w:r w:rsidR="00FA5A34">
        <w:rPr>
          <w:b/>
          <w:lang w:val="en-US"/>
        </w:rPr>
        <w:t xml:space="preserve"> </w:t>
      </w:r>
      <w:proofErr w:type="spellStart"/>
      <w:r w:rsidR="00FA5A34">
        <w:rPr>
          <w:b/>
          <w:lang w:val="en-US"/>
        </w:rPr>
        <w:t>Pernikahan</w:t>
      </w:r>
      <w:proofErr w:type="spellEnd"/>
      <w:r w:rsidR="00FA5A34">
        <w:rPr>
          <w:b/>
          <w:lang w:val="en-US"/>
        </w:rPr>
        <w:t xml:space="preserve"> </w:t>
      </w:r>
      <w:proofErr w:type="spellStart"/>
      <w:r w:rsidR="00FA5A34">
        <w:rPr>
          <w:b/>
          <w:lang w:val="en-US"/>
        </w:rPr>
        <w:t>Tidak</w:t>
      </w:r>
      <w:proofErr w:type="spellEnd"/>
      <w:r w:rsidR="00FA5A34">
        <w:rPr>
          <w:b/>
          <w:lang w:val="en-US"/>
        </w:rPr>
        <w:t xml:space="preserve"> </w:t>
      </w:r>
      <w:proofErr w:type="spellStart"/>
      <w:r w:rsidR="00FA5A34">
        <w:rPr>
          <w:b/>
          <w:lang w:val="en-US"/>
        </w:rPr>
        <w:t>Tercatat</w:t>
      </w:r>
      <w:proofErr w:type="spellEnd"/>
      <w:r w:rsidR="00FA5A34">
        <w:rPr>
          <w:b/>
          <w:lang w:val="en-US"/>
        </w:rPr>
        <w:t xml:space="preserve"> </w:t>
      </w:r>
      <w:bookmarkStart w:id="0" w:name="_GoBack"/>
      <w:bookmarkEnd w:id="0"/>
    </w:p>
    <w:p w14:paraId="4D72F5B5" w14:textId="77777777" w:rsidR="00CB0793" w:rsidRPr="0071463B" w:rsidRDefault="00CB0793">
      <w:pPr>
        <w:rPr>
          <w:b/>
          <w:lang w:val="en-US"/>
        </w:rPr>
      </w:pPr>
    </w:p>
    <w:p w14:paraId="2B583718" w14:textId="101CC801" w:rsidR="00CB0793" w:rsidRPr="0077404E" w:rsidRDefault="0077404E" w:rsidP="0077404E">
      <w:pPr>
        <w:jc w:val="center"/>
        <w:rPr>
          <w:lang w:val="en-US"/>
        </w:rPr>
      </w:pPr>
      <w:r>
        <w:rPr>
          <w:b/>
          <w:lang w:val="en-US"/>
        </w:rPr>
        <w:t xml:space="preserve"> </w:t>
      </w:r>
      <w:proofErr w:type="spellStart"/>
      <w:r>
        <w:rPr>
          <w:lang w:val="en-US"/>
        </w:rPr>
        <w:t>Miti</w:t>
      </w:r>
      <w:proofErr w:type="spellEnd"/>
      <w:r>
        <w:rPr>
          <w:lang w:val="en-US"/>
        </w:rPr>
        <w:t xml:space="preserve"> </w:t>
      </w:r>
      <w:proofErr w:type="spellStart"/>
      <w:r>
        <w:rPr>
          <w:lang w:val="en-US"/>
        </w:rPr>
        <w:t>Yarmunida</w:t>
      </w:r>
      <w:proofErr w:type="spellEnd"/>
    </w:p>
    <w:p w14:paraId="10B551D8" w14:textId="6B8BBCFA" w:rsidR="00CB0793" w:rsidRPr="0077404E" w:rsidRDefault="0077404E">
      <w:pPr>
        <w:jc w:val="center"/>
        <w:rPr>
          <w:lang w:val="en-US"/>
        </w:rPr>
      </w:pPr>
      <w:proofErr w:type="spellStart"/>
      <w:r>
        <w:rPr>
          <w:lang w:val="en-US"/>
        </w:rPr>
        <w:t>Rini</w:t>
      </w:r>
      <w:proofErr w:type="spellEnd"/>
      <w:r>
        <w:rPr>
          <w:lang w:val="en-US"/>
        </w:rPr>
        <w:t xml:space="preserve"> </w:t>
      </w:r>
      <w:proofErr w:type="spellStart"/>
      <w:r>
        <w:rPr>
          <w:lang w:val="en-US"/>
        </w:rPr>
        <w:t>Anjeli</w:t>
      </w:r>
      <w:proofErr w:type="spellEnd"/>
    </w:p>
    <w:p w14:paraId="17117C8D" w14:textId="0077B152" w:rsidR="00CB0793" w:rsidRPr="00B94517" w:rsidRDefault="00B94517">
      <w:pPr>
        <w:jc w:val="center"/>
        <w:rPr>
          <w:lang w:val="en-US"/>
        </w:rPr>
      </w:pPr>
      <w:proofErr w:type="spellStart"/>
      <w:r>
        <w:rPr>
          <w:lang w:val="en-US"/>
        </w:rPr>
        <w:t>Risfiana</w:t>
      </w:r>
      <w:proofErr w:type="spellEnd"/>
      <w:r>
        <w:rPr>
          <w:lang w:val="en-US"/>
        </w:rPr>
        <w:t xml:space="preserve"> </w:t>
      </w:r>
      <w:proofErr w:type="spellStart"/>
      <w:r>
        <w:rPr>
          <w:lang w:val="en-US"/>
        </w:rPr>
        <w:t>Mayangsari</w:t>
      </w:r>
      <w:proofErr w:type="spellEnd"/>
    </w:p>
    <w:p w14:paraId="14E3DFBA" w14:textId="7296AD6D" w:rsidR="00CB0793" w:rsidRDefault="00B94517">
      <w:pPr>
        <w:jc w:val="center"/>
      </w:pPr>
      <w:r>
        <w:rPr>
          <w:lang w:val="en-US"/>
        </w:rPr>
        <w:t xml:space="preserve"> </w:t>
      </w:r>
      <w:r w:rsidR="008B1E52">
        <w:t xml:space="preserve"> </w:t>
      </w:r>
    </w:p>
    <w:p w14:paraId="050AA662" w14:textId="6A2876AA" w:rsidR="00CB0793" w:rsidRPr="00B94517" w:rsidRDefault="00B94517">
      <w:pPr>
        <w:jc w:val="center"/>
        <w:rPr>
          <w:lang w:val="en-US"/>
        </w:rPr>
      </w:pPr>
      <w:r>
        <w:rPr>
          <w:lang w:val="en-US"/>
        </w:rPr>
        <w:t xml:space="preserve">UIN </w:t>
      </w:r>
      <w:proofErr w:type="spellStart"/>
      <w:r>
        <w:rPr>
          <w:lang w:val="en-US"/>
        </w:rPr>
        <w:t>Fatmawati</w:t>
      </w:r>
      <w:proofErr w:type="spellEnd"/>
      <w:r>
        <w:rPr>
          <w:lang w:val="en-US"/>
        </w:rPr>
        <w:t xml:space="preserve"> Sukarno Bengkulu</w:t>
      </w:r>
    </w:p>
    <w:p w14:paraId="049DBFD8" w14:textId="21E30CEA" w:rsidR="00CB0793" w:rsidRDefault="00CB0793">
      <w:pPr>
        <w:jc w:val="center"/>
      </w:pPr>
    </w:p>
    <w:p w14:paraId="32D56476" w14:textId="6AE1EC86" w:rsidR="00CB0793" w:rsidRPr="00B94517" w:rsidRDefault="00B94517">
      <w:pPr>
        <w:jc w:val="center"/>
      </w:pPr>
      <w:hyperlink r:id="rId10" w:history="1">
        <w:r w:rsidRPr="00B94517">
          <w:rPr>
            <w:rStyle w:val="Hyperlink"/>
          </w:rPr>
          <w:t>miti_yarmunida@mail.uinfasbengkulu.ac.id</w:t>
        </w:r>
      </w:hyperlink>
      <w:r w:rsidRPr="00B94517">
        <w:t xml:space="preserve"> </w:t>
      </w:r>
    </w:p>
    <w:p w14:paraId="3F7BD60A" w14:textId="77777777" w:rsidR="00CB0793" w:rsidRDefault="008B1E52">
      <w:pPr>
        <w:jc w:val="center"/>
      </w:pPr>
      <w:r>
        <w:t xml:space="preserve"> </w:t>
      </w:r>
    </w:p>
    <w:p w14:paraId="0CCF08F0" w14:textId="5ECE8854" w:rsidR="00CB0793" w:rsidRPr="004C41EC" w:rsidRDefault="008B1E52">
      <w:pPr>
        <w:rPr>
          <w:b/>
          <w:lang w:val="en-US"/>
        </w:rPr>
      </w:pPr>
      <w:r>
        <w:rPr>
          <w:b/>
        </w:rPr>
        <w:t xml:space="preserve">Abstract: </w:t>
      </w:r>
      <w:r w:rsidR="00191A30" w:rsidRPr="0077404E">
        <w:t xml:space="preserve">Tujuan </w:t>
      </w:r>
      <w:r w:rsidR="00C07BAC" w:rsidRPr="0077404E">
        <w:t xml:space="preserve">penelitian ini dapat dibagi menjadi dua yaitu untuk menjelaskan </w:t>
      </w:r>
      <w:r w:rsidR="00C07BAC">
        <w:rPr>
          <w:rFonts w:ascii="Times New Roman" w:hAnsi="Times New Roman" w:cs="Times New Roman"/>
          <w:bCs/>
          <w:noProof/>
        </w:rPr>
        <w:t>pelaksanaan sanksi adat terhadap warga yang melakukan nikah siri di desa Pondok Kandang kecamatan Pondok Suguh kabupaten Mukomuko</w:t>
      </w:r>
      <w:r w:rsidR="00C07BAC" w:rsidRPr="0077404E">
        <w:rPr>
          <w:rFonts w:ascii="Times New Roman" w:hAnsi="Times New Roman" w:cs="Times New Roman"/>
          <w:bCs/>
          <w:noProof/>
        </w:rPr>
        <w:t xml:space="preserve"> dan menganalisis efektivitas dari penerapan sanksi adat bagi pelaku nikah </w:t>
      </w:r>
      <w:r w:rsidR="00FA5A34">
        <w:rPr>
          <w:rFonts w:ascii="Times New Roman" w:hAnsi="Times New Roman" w:cs="Times New Roman"/>
          <w:bCs/>
          <w:noProof/>
        </w:rPr>
        <w:t>siri</w:t>
      </w:r>
      <w:r w:rsidR="00C07BAC" w:rsidRPr="0077404E">
        <w:rPr>
          <w:rFonts w:ascii="Times New Roman" w:hAnsi="Times New Roman" w:cs="Times New Roman"/>
          <w:bCs/>
          <w:noProof/>
        </w:rPr>
        <w:t xml:space="preserve"> di desa </w:t>
      </w:r>
      <w:r w:rsidR="00C07BAC">
        <w:rPr>
          <w:rFonts w:ascii="Times New Roman" w:hAnsi="Times New Roman" w:cs="Times New Roman"/>
          <w:bCs/>
          <w:noProof/>
        </w:rPr>
        <w:t>Pondok Kandang kecamatan Pondok Suguh kabupaten Mukomuko</w:t>
      </w:r>
      <w:r w:rsidR="00C07BAC" w:rsidRPr="0077404E">
        <w:rPr>
          <w:rFonts w:ascii="Times New Roman" w:hAnsi="Times New Roman" w:cs="Times New Roman"/>
          <w:bCs/>
          <w:noProof/>
        </w:rPr>
        <w:t xml:space="preserve">. </w:t>
      </w:r>
      <w:r w:rsidR="004C41EC" w:rsidRPr="0077404E">
        <w:rPr>
          <w:rFonts w:ascii="Times New Roman" w:hAnsi="Times New Roman" w:cs="Times New Roman"/>
          <w:bCs/>
          <w:noProof/>
        </w:rPr>
        <w:t xml:space="preserve">Dalam penelitian ini ada dua pertanyaan penelitian yaitu bagaimana </w:t>
      </w:r>
      <w:r w:rsidR="004C41EC">
        <w:rPr>
          <w:rFonts w:ascii="Times New Roman" w:hAnsi="Times New Roman" w:cs="Times New Roman"/>
          <w:bCs/>
          <w:noProof/>
        </w:rPr>
        <w:t>pelaksanaan sanksi adat terhadap warga yang melakukan nikah siri di desa Pondok Kandang kecamatan Pondok Suguh kabupaten Mukomuko</w:t>
      </w:r>
      <w:r w:rsidR="004C41EC" w:rsidRPr="0077404E">
        <w:rPr>
          <w:rFonts w:ascii="Times New Roman" w:hAnsi="Times New Roman" w:cs="Times New Roman"/>
          <w:bCs/>
          <w:noProof/>
        </w:rPr>
        <w:t xml:space="preserve"> dan bagaimana efektivitas dari penerapan sanksi adat bagi pelaku nikah </w:t>
      </w:r>
      <w:r w:rsidR="00FA5A34">
        <w:rPr>
          <w:rFonts w:ascii="Times New Roman" w:hAnsi="Times New Roman" w:cs="Times New Roman"/>
          <w:bCs/>
          <w:noProof/>
        </w:rPr>
        <w:t>siri</w:t>
      </w:r>
      <w:r w:rsidR="004C41EC" w:rsidRPr="0077404E">
        <w:rPr>
          <w:rFonts w:ascii="Times New Roman" w:hAnsi="Times New Roman" w:cs="Times New Roman"/>
          <w:bCs/>
          <w:noProof/>
        </w:rPr>
        <w:t xml:space="preserve"> di desa </w:t>
      </w:r>
      <w:r w:rsidR="004C41EC">
        <w:rPr>
          <w:rFonts w:ascii="Times New Roman" w:hAnsi="Times New Roman" w:cs="Times New Roman"/>
          <w:bCs/>
          <w:noProof/>
        </w:rPr>
        <w:t>Pondok Kandang kecamatan Pondok Suguh kabupaten Mukomuko</w:t>
      </w:r>
      <w:r w:rsidR="004C41EC" w:rsidRPr="0077404E">
        <w:rPr>
          <w:rFonts w:ascii="Times New Roman" w:hAnsi="Times New Roman" w:cs="Times New Roman"/>
          <w:bCs/>
          <w:noProof/>
        </w:rPr>
        <w:t xml:space="preserve">. </w:t>
      </w:r>
      <w:r w:rsidR="004C41EC">
        <w:rPr>
          <w:rFonts w:ascii="Times New Roman" w:hAnsi="Times New Roman" w:cs="Times New Roman"/>
          <w:bCs/>
          <w:noProof/>
          <w:lang w:val="en-US"/>
        </w:rPr>
        <w:t>Penelitaian ini merupakan penelitian lapangan dengan menggunakan pendekatan kualitatif. Data primer diperoleh dari observasi secara langsung ke desa yang</w:t>
      </w:r>
      <w:r w:rsidR="00F3199A">
        <w:rPr>
          <w:rFonts w:ascii="Times New Roman" w:hAnsi="Times New Roman" w:cs="Times New Roman"/>
          <w:bCs/>
          <w:noProof/>
          <w:lang w:val="en-US"/>
        </w:rPr>
        <w:t xml:space="preserve"> menerapkan sanksi adat pada pernikahan </w:t>
      </w:r>
      <w:r w:rsidR="00FA5A34">
        <w:rPr>
          <w:rFonts w:ascii="Times New Roman" w:hAnsi="Times New Roman" w:cs="Times New Roman"/>
          <w:bCs/>
          <w:noProof/>
          <w:lang w:val="en-US"/>
        </w:rPr>
        <w:t>siri</w:t>
      </w:r>
      <w:r w:rsidR="00F3199A">
        <w:rPr>
          <w:rFonts w:ascii="Times New Roman" w:hAnsi="Times New Roman" w:cs="Times New Roman"/>
          <w:bCs/>
          <w:noProof/>
          <w:lang w:val="en-US"/>
        </w:rPr>
        <w:t xml:space="preserve"> dan hasil wawancara didapat secara </w:t>
      </w:r>
      <w:r w:rsidR="00F3199A" w:rsidRPr="00F3199A">
        <w:rPr>
          <w:rFonts w:ascii="Times New Roman" w:hAnsi="Times New Roman" w:cs="Times New Roman"/>
          <w:bCs/>
          <w:i/>
          <w:iCs/>
          <w:noProof/>
          <w:lang w:val="en-US"/>
        </w:rPr>
        <w:t>offline</w:t>
      </w:r>
      <w:r w:rsidR="00F3199A">
        <w:rPr>
          <w:rFonts w:ascii="Times New Roman" w:hAnsi="Times New Roman" w:cs="Times New Roman"/>
          <w:bCs/>
          <w:noProof/>
          <w:lang w:val="en-US"/>
        </w:rPr>
        <w:t>. Hasil penelitian menunjukan</w:t>
      </w:r>
      <w:r w:rsidR="00EB1270">
        <w:rPr>
          <w:rFonts w:ascii="Times New Roman" w:hAnsi="Times New Roman" w:cs="Times New Roman"/>
          <w:bCs/>
          <w:noProof/>
          <w:lang w:val="en-US"/>
        </w:rPr>
        <w:t xml:space="preserve"> bahwa</w:t>
      </w:r>
      <w:r w:rsidR="00F3199A">
        <w:rPr>
          <w:rFonts w:ascii="Times New Roman" w:hAnsi="Times New Roman" w:cs="Times New Roman"/>
          <w:bCs/>
          <w:noProof/>
          <w:lang w:val="en-US"/>
        </w:rPr>
        <w:t xml:space="preserve"> </w:t>
      </w:r>
      <w:r w:rsidR="00EB1270">
        <w:rPr>
          <w:rFonts w:ascii="Times New Roman" w:hAnsi="Times New Roman" w:cs="Times New Roman"/>
          <w:bCs/>
          <w:noProof/>
          <w:lang w:val="en-US"/>
        </w:rPr>
        <w:t xml:space="preserve">penerapan sanksi adat bagi pelaku nikah </w:t>
      </w:r>
      <w:r w:rsidR="00FA5A34">
        <w:rPr>
          <w:rFonts w:ascii="Times New Roman" w:hAnsi="Times New Roman" w:cs="Times New Roman"/>
          <w:bCs/>
          <w:noProof/>
          <w:lang w:val="en-US"/>
        </w:rPr>
        <w:t>siri di Desa Pondok K</w:t>
      </w:r>
      <w:r w:rsidR="00EB1270">
        <w:rPr>
          <w:rFonts w:ascii="Times New Roman" w:hAnsi="Times New Roman" w:cs="Times New Roman"/>
          <w:bCs/>
          <w:noProof/>
          <w:lang w:val="en-US"/>
        </w:rPr>
        <w:t xml:space="preserve">andang cukup efektif dalam penekanan angka pernikahan </w:t>
      </w:r>
      <w:r w:rsidR="00FA5A34">
        <w:rPr>
          <w:rFonts w:ascii="Times New Roman" w:hAnsi="Times New Roman" w:cs="Times New Roman"/>
          <w:bCs/>
          <w:noProof/>
          <w:lang w:val="en-US"/>
        </w:rPr>
        <w:t>siri</w:t>
      </w:r>
      <w:r w:rsidR="00EB1270">
        <w:rPr>
          <w:rFonts w:ascii="Times New Roman" w:hAnsi="Times New Roman" w:cs="Times New Roman"/>
          <w:bCs/>
          <w:noProof/>
          <w:lang w:val="en-US"/>
        </w:rPr>
        <w:t xml:space="preserve"> di desa tersebut. </w:t>
      </w:r>
    </w:p>
    <w:p w14:paraId="7D96A7B7" w14:textId="66AE3152" w:rsidR="00CB0793" w:rsidRPr="00FA5A34" w:rsidRDefault="008B1E52" w:rsidP="00FA5A34">
      <w:pPr>
        <w:rPr>
          <w:lang w:val="en-US"/>
        </w:rPr>
      </w:pPr>
      <w:r>
        <w:rPr>
          <w:b/>
        </w:rPr>
        <w:t>Keywords</w:t>
      </w:r>
      <w:r>
        <w:t xml:space="preserve">: </w:t>
      </w:r>
      <w:proofErr w:type="spellStart"/>
      <w:r w:rsidR="00FA5A34" w:rsidRPr="00FA5A34">
        <w:rPr>
          <w:i/>
          <w:iCs/>
          <w:lang w:val="en-US"/>
        </w:rPr>
        <w:t>Nikah</w:t>
      </w:r>
      <w:proofErr w:type="spellEnd"/>
      <w:r w:rsidR="00FA5A34" w:rsidRPr="00FA5A34">
        <w:rPr>
          <w:i/>
          <w:iCs/>
          <w:lang w:val="en-US"/>
        </w:rPr>
        <w:t xml:space="preserve"> </w:t>
      </w:r>
      <w:proofErr w:type="spellStart"/>
      <w:r w:rsidR="00FA5A34" w:rsidRPr="00FA5A34">
        <w:rPr>
          <w:i/>
          <w:iCs/>
          <w:lang w:val="en-US"/>
        </w:rPr>
        <w:t>Siri</w:t>
      </w:r>
      <w:proofErr w:type="spellEnd"/>
      <w:r w:rsidR="00FA5A34" w:rsidRPr="00FA5A34">
        <w:rPr>
          <w:i/>
          <w:iCs/>
          <w:lang w:val="en-US"/>
        </w:rPr>
        <w:t xml:space="preserve">, </w:t>
      </w:r>
      <w:proofErr w:type="spellStart"/>
      <w:r w:rsidR="00FA5A34" w:rsidRPr="00FA5A34">
        <w:rPr>
          <w:i/>
          <w:iCs/>
          <w:lang w:val="en-US"/>
        </w:rPr>
        <w:t>Pencatatan</w:t>
      </w:r>
      <w:proofErr w:type="spellEnd"/>
      <w:r w:rsidR="00FA5A34" w:rsidRPr="00FA5A34">
        <w:rPr>
          <w:i/>
          <w:iCs/>
          <w:lang w:val="en-US"/>
        </w:rPr>
        <w:t xml:space="preserve"> </w:t>
      </w:r>
      <w:proofErr w:type="spellStart"/>
      <w:r w:rsidR="00FA5A34" w:rsidRPr="00FA5A34">
        <w:rPr>
          <w:i/>
          <w:iCs/>
          <w:lang w:val="en-US"/>
        </w:rPr>
        <w:t>Pernikahan</w:t>
      </w:r>
      <w:proofErr w:type="spellEnd"/>
      <w:r w:rsidR="00FA5A34" w:rsidRPr="00FA5A34">
        <w:rPr>
          <w:i/>
          <w:iCs/>
          <w:lang w:val="en-US"/>
        </w:rPr>
        <w:t xml:space="preserve">, </w:t>
      </w:r>
      <w:proofErr w:type="spellStart"/>
      <w:r w:rsidR="00FA5A34" w:rsidRPr="00FA5A34">
        <w:rPr>
          <w:i/>
          <w:iCs/>
          <w:lang w:val="en-US"/>
        </w:rPr>
        <w:t>Sanksi</w:t>
      </w:r>
      <w:proofErr w:type="spellEnd"/>
      <w:r w:rsidR="00FA5A34" w:rsidRPr="00FA5A34">
        <w:rPr>
          <w:i/>
          <w:iCs/>
          <w:lang w:val="en-US"/>
        </w:rPr>
        <w:t xml:space="preserve"> </w:t>
      </w:r>
      <w:proofErr w:type="spellStart"/>
      <w:r w:rsidR="00FA5A34" w:rsidRPr="00FA5A34">
        <w:rPr>
          <w:i/>
          <w:iCs/>
          <w:lang w:val="en-US"/>
        </w:rPr>
        <w:t>Adat</w:t>
      </w:r>
      <w:proofErr w:type="spellEnd"/>
      <w:r w:rsidR="00FA5A34" w:rsidRPr="00FA5A34">
        <w:rPr>
          <w:i/>
          <w:iCs/>
          <w:lang w:val="en-US"/>
        </w:rPr>
        <w:t>.</w:t>
      </w:r>
    </w:p>
    <w:p w14:paraId="665E6D70" w14:textId="35F543FE" w:rsidR="00BF50FC" w:rsidRPr="00BF50FC" w:rsidRDefault="00BF5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w:hAnsi="Times" w:cs="Times"/>
          <w:b/>
          <w:i/>
          <w:color w:val="202124"/>
          <w:lang w:val="en-US"/>
        </w:rPr>
      </w:pPr>
      <w:r>
        <w:rPr>
          <w:rFonts w:ascii="Times" w:eastAsia="Times" w:hAnsi="Times" w:cs="Times"/>
          <w:b/>
          <w:i/>
          <w:color w:val="202124"/>
          <w:lang w:val="en-US"/>
        </w:rPr>
        <w:t xml:space="preserve"> </w:t>
      </w:r>
    </w:p>
    <w:p w14:paraId="116B3D9F" w14:textId="3CDB70A9" w:rsidR="00CB0793" w:rsidRDefault="008B1E52" w:rsidP="00D74CB7">
      <w:r>
        <w:rPr>
          <w:b/>
        </w:rPr>
        <w:t>Note:</w:t>
      </w:r>
      <w:r>
        <w:t xml:space="preserve"> Abstract and keywords written in English and Indonesian (bahasa). </w:t>
      </w:r>
    </w:p>
    <w:p w14:paraId="5A27BDA6" w14:textId="77777777" w:rsidR="00CB0793" w:rsidRDefault="00CB0793">
      <w:pPr>
        <w:spacing w:line="360" w:lineRule="auto"/>
      </w:pPr>
    </w:p>
    <w:p w14:paraId="41A36EAF" w14:textId="77777777" w:rsidR="00CB0793" w:rsidRDefault="008B1E52">
      <w:pPr>
        <w:spacing w:line="360" w:lineRule="auto"/>
        <w:rPr>
          <w:b/>
        </w:rPr>
      </w:pPr>
      <w:r>
        <w:rPr>
          <w:b/>
        </w:rPr>
        <w:t xml:space="preserve">Introduction </w:t>
      </w:r>
      <w:r>
        <w:t>(First subtitle; bold in first capital letters)</w:t>
      </w:r>
    </w:p>
    <w:p w14:paraId="333A528D" w14:textId="6D5C2CC4" w:rsidR="00CB0793" w:rsidRDefault="00CB0793"/>
    <w:p w14:paraId="434FF136" w14:textId="77777777" w:rsidR="00B857D7" w:rsidRPr="002A08D0" w:rsidRDefault="00B857D7" w:rsidP="00B857D7">
      <w:pPr>
        <w:rPr>
          <w:rFonts w:ascii="Times New Roman" w:hAnsi="Times New Roman" w:cs="Times New Roman"/>
          <w:b/>
          <w:bCs/>
        </w:rPr>
      </w:pPr>
      <w:r>
        <w:rPr>
          <w:rFonts w:ascii="Times New Roman" w:hAnsi="Times New Roman" w:cs="Times New Roman"/>
          <w:b/>
          <w:bCs/>
        </w:rPr>
        <w:t>Urgensi Pencatatan pernikahan</w:t>
      </w:r>
      <w:r>
        <w:rPr>
          <w:rFonts w:ascii="Times New Roman" w:hAnsi="Times New Roman" w:cs="Times New Roman"/>
        </w:rPr>
        <w:t xml:space="preserve"> </w:t>
      </w:r>
    </w:p>
    <w:p w14:paraId="6CE57E14" w14:textId="1148D8A1" w:rsidR="00B857D7" w:rsidRDefault="00B857D7" w:rsidP="00B857D7">
      <w:pPr>
        <w:spacing w:line="360" w:lineRule="auto"/>
        <w:ind w:firstLine="720"/>
        <w:rPr>
          <w:rFonts w:ascii="Times New Roman" w:hAnsi="Times New Roman" w:cs="Times New Roman"/>
        </w:rPr>
      </w:pPr>
      <w:r>
        <w:rPr>
          <w:rFonts w:ascii="Times New Roman" w:hAnsi="Times New Roman" w:cs="Times New Roman"/>
        </w:rPr>
        <w:lastRenderedPageBreak/>
        <w:t xml:space="preserve">Dari teori muslahah dan hilal, pencatatan pernikahan adalah suatu keharusan di zaman sekarang khususnya di Indonesia karena memiliki urgensi </w:t>
      </w:r>
      <w:r w:rsidRPr="002E2420">
        <w:rPr>
          <w:rFonts w:ascii="Times New Roman" w:hAnsi="Times New Roman" w:cs="Times New Roman"/>
        </w:rPr>
        <w:t>yaitu memelihara agama, jiwa, akal, keturunan dan harta serta menghilangkan kemafsadatan</w:t>
      </w:r>
      <w:r>
        <w:rPr>
          <w:rFonts w:ascii="Times New Roman" w:hAnsi="Times New Roman" w:cs="Times New Roman"/>
        </w:rPr>
        <w:t>.</w:t>
      </w:r>
      <w:r>
        <w:rPr>
          <w:rStyle w:val="FootnoteReference"/>
          <w:rFonts w:cs="Times New Roman"/>
        </w:rPr>
        <w:footnoteReference w:id="1"/>
      </w:r>
      <w:r>
        <w:rPr>
          <w:rFonts w:ascii="Times New Roman" w:hAnsi="Times New Roman" w:cs="Times New Roman"/>
        </w:rPr>
        <w:t xml:space="preserve"> Menurut penalaran istislahi, dengan melakukan pencatatan pernikahan maka akan mendatangkan kemaslahatan karena terlindunginya hak-hak suami, istri serta anak. Pencatatan pernikahan menjadi wajib dilakukan oleh pasangan yang hendak menikah.</w:t>
      </w:r>
      <w:r>
        <w:rPr>
          <w:rStyle w:val="FootnoteReference"/>
          <w:rFonts w:cs="Times New Roman"/>
        </w:rPr>
        <w:footnoteReference w:id="2"/>
      </w:r>
      <w:r>
        <w:rPr>
          <w:rFonts w:ascii="Times New Roman" w:hAnsi="Times New Roman" w:cs="Times New Roman"/>
        </w:rPr>
        <w:t xml:space="preserve"> Pencatatan pernikahan bertujuan untuk menertibkan pernikahan dalam masyarakat. Pernikahan yang tidak tercatatkan tidak memiliki kekuatan hukum sehingga pada akhirnya perempuan dan anak yang akan menjadi korban. Terdapat banyak mudharat yang timbul akibat pernikahan sirri, oleh karena itu perkawinan sirrih termasuk dalam perkawinan yang haram.</w:t>
      </w:r>
      <w:r>
        <w:rPr>
          <w:rStyle w:val="FootnoteReference"/>
          <w:rFonts w:cs="Times New Roman"/>
        </w:rPr>
        <w:footnoteReference w:id="3"/>
      </w:r>
      <w:r>
        <w:rPr>
          <w:rFonts w:ascii="Times New Roman" w:hAnsi="Times New Roman" w:cs="Times New Roman"/>
          <w:lang w:val="en-US"/>
        </w:rPr>
        <w:t xml:space="preserve"> </w:t>
      </w:r>
      <w:r>
        <w:rPr>
          <w:rStyle w:val="FootnoteReference"/>
          <w:rFonts w:cs="Times New Roman"/>
        </w:rPr>
        <w:footnoteReference w:id="4"/>
      </w:r>
      <w:r>
        <w:rPr>
          <w:rFonts w:ascii="Times New Roman" w:hAnsi="Times New Roman" w:cs="Times New Roman"/>
        </w:rPr>
        <w:t xml:space="preserve"> </w:t>
      </w:r>
      <w:r w:rsidRPr="00D406F4">
        <w:rPr>
          <w:rFonts w:ascii="Times New Roman" w:hAnsi="Times New Roman" w:cs="Times New Roman"/>
        </w:rPr>
        <w:t xml:space="preserve">Fatwa MUI No. 10 Tahun 2008 tentang Nikah di Bawah Tangan belum sesuai dengan maqasid syari‘ah yang digagas oleh Jasser Auda. Dalam fatwanya, MUI hanya menganjurkan untuk mencatatkan ke pihak berwenang berdasarkan metode maslahah mursalah dan sadd al-Z|ari‘ah yang digunakan MUI untuk mencegah timbulnya madarrat. Seharusnya pencatatan pernikahan bukan lagi dianggap sebagai anjuran, namun sebagai keharusan karena dengan itulah </w:t>
      </w:r>
      <w:r w:rsidRPr="00D406F4">
        <w:rPr>
          <w:rFonts w:ascii="Times New Roman" w:hAnsi="Times New Roman" w:cs="Times New Roman"/>
        </w:rPr>
        <w:lastRenderedPageBreak/>
        <w:t>pernikahan mempunyai hukum yang tetap sebagai sarana untuk mewujudkan kemaslahatan.</w:t>
      </w:r>
      <w:r>
        <w:rPr>
          <w:rStyle w:val="FootnoteReference"/>
          <w:rFonts w:cs="Times New Roman"/>
        </w:rPr>
        <w:footnoteReference w:id="5"/>
      </w:r>
    </w:p>
    <w:p w14:paraId="3B22C0D3" w14:textId="77777777" w:rsidR="00B857D7" w:rsidRDefault="00B857D7" w:rsidP="00B857D7">
      <w:pPr>
        <w:spacing w:line="360" w:lineRule="auto"/>
        <w:rPr>
          <w:rFonts w:ascii="Times New Roman" w:hAnsi="Times New Roman" w:cs="Times New Roman"/>
          <w:b/>
          <w:bCs/>
        </w:rPr>
      </w:pPr>
      <w:r w:rsidRPr="00982DBE">
        <w:rPr>
          <w:rFonts w:ascii="Times New Roman" w:hAnsi="Times New Roman" w:cs="Times New Roman"/>
          <w:b/>
          <w:bCs/>
        </w:rPr>
        <w:t>Sanksi bagi pelaku nikah sirrih</w:t>
      </w:r>
    </w:p>
    <w:p w14:paraId="3F4C265C" w14:textId="497DE95F" w:rsidR="00B857D7" w:rsidRDefault="00B857D7" w:rsidP="00B857D7">
      <w:pPr>
        <w:spacing w:line="360" w:lineRule="auto"/>
        <w:rPr>
          <w:rFonts w:ascii="Times New Roman" w:hAnsi="Times New Roman" w:cs="Times New Roman"/>
        </w:rPr>
      </w:pPr>
      <w:r>
        <w:rPr>
          <w:rFonts w:ascii="Times New Roman" w:hAnsi="Times New Roman" w:cs="Times New Roman"/>
        </w:rPr>
        <w:tab/>
        <w:t xml:space="preserve">Pencatatan pernikahan menurut maqashid Syariah adalah kemaslahatan yang bersifat primer. Oleh sebab itu </w:t>
      </w:r>
      <w:r w:rsidRPr="00982DBE">
        <w:rPr>
          <w:rFonts w:ascii="Times New Roman" w:hAnsi="Times New Roman" w:cs="Times New Roman"/>
        </w:rPr>
        <w:t>MPU Aceh</w:t>
      </w:r>
      <w:r>
        <w:rPr>
          <w:rFonts w:ascii="Times New Roman" w:hAnsi="Times New Roman" w:cs="Times New Roman"/>
          <w:b/>
          <w:bCs/>
        </w:rPr>
        <w:t xml:space="preserve"> </w:t>
      </w:r>
      <w:r>
        <w:rPr>
          <w:rFonts w:ascii="Times New Roman" w:hAnsi="Times New Roman" w:cs="Times New Roman"/>
        </w:rPr>
        <w:t xml:space="preserve">mengeluarkan fatwa </w:t>
      </w:r>
      <w:r w:rsidRPr="00982DBE">
        <w:rPr>
          <w:rFonts w:ascii="Times New Roman" w:hAnsi="Times New Roman" w:cs="Times New Roman"/>
        </w:rPr>
        <w:t>Nomor 1 Tahun 2010 Tentang Nikah Siri</w:t>
      </w:r>
      <w:r>
        <w:rPr>
          <w:rFonts w:ascii="Times New Roman" w:hAnsi="Times New Roman" w:cs="Times New Roman"/>
        </w:rPr>
        <w:t xml:space="preserve"> yang mana pelaku nikah sirrih akan dikenakan hukuman penjara.</w:t>
      </w:r>
      <w:r>
        <w:rPr>
          <w:rStyle w:val="FootnoteReference"/>
          <w:rFonts w:cs="Times New Roman"/>
        </w:rPr>
        <w:footnoteReference w:id="6"/>
      </w:r>
      <w:r>
        <w:rPr>
          <w:rFonts w:ascii="Times New Roman" w:hAnsi="Times New Roman" w:cs="Times New Roman"/>
        </w:rPr>
        <w:t xml:space="preserve"> Menurut teori 6 elemen jaseer </w:t>
      </w:r>
      <w:r w:rsidRPr="004B7B83">
        <w:rPr>
          <w:rFonts w:ascii="Times New Roman" w:hAnsi="Times New Roman" w:cs="Times New Roman"/>
        </w:rPr>
        <w:t>auda pencatatan perkawinan merupakan suatu hal wajib untuk dilakukan yang mana apabila dilewatkan, status perkawinan itu sendiri menjadi tidak ada. Dengan begini perkawinan siri pada putusan perkara nomor: 376 K/PID/2015 tidak dianggap ada</w:t>
      </w:r>
      <w:r>
        <w:rPr>
          <w:rFonts w:ascii="Times New Roman" w:hAnsi="Times New Roman" w:cs="Times New Roman"/>
        </w:rPr>
        <w:t xml:space="preserve"> </w:t>
      </w:r>
      <w:r w:rsidRPr="00876673">
        <w:rPr>
          <w:rFonts w:ascii="Times New Roman" w:hAnsi="Times New Roman" w:cs="Times New Roman"/>
        </w:rPr>
        <w:t>dan sanksi yang tepat untuk menghukum para pelaku</w:t>
      </w:r>
      <w:r>
        <w:rPr>
          <w:rFonts w:ascii="Times New Roman" w:hAnsi="Times New Roman" w:cs="Times New Roman"/>
        </w:rPr>
        <w:t xml:space="preserve"> poligami sirri</w:t>
      </w:r>
      <w:r w:rsidRPr="00876673">
        <w:rPr>
          <w:rFonts w:ascii="Times New Roman" w:hAnsi="Times New Roman" w:cs="Times New Roman"/>
        </w:rPr>
        <w:t xml:space="preserve"> seharusnya didasarkan atas Pasal 284 KUHP mengenai perselingkuhan</w:t>
      </w:r>
      <w:r>
        <w:rPr>
          <w:rStyle w:val="FootnoteTextChar"/>
          <w:rFonts w:cs="Times New Roman"/>
        </w:rPr>
        <w:t>.</w:t>
      </w:r>
      <w:r>
        <w:rPr>
          <w:rStyle w:val="FootnoteReference"/>
          <w:rFonts w:cs="Times New Roman"/>
        </w:rPr>
        <w:footnoteReference w:id="7"/>
      </w:r>
      <w:r w:rsidRPr="004B7B83">
        <w:rPr>
          <w:rFonts w:ascii="Times New Roman" w:hAnsi="Times New Roman" w:cs="Times New Roman"/>
        </w:rPr>
        <w:t xml:space="preserve"> </w:t>
      </w:r>
    </w:p>
    <w:p w14:paraId="7E6EC384" w14:textId="73C2B07A" w:rsidR="00D74CB7" w:rsidRDefault="00D74CB7" w:rsidP="00B857D7">
      <w:pPr>
        <w:spacing w:line="360" w:lineRule="auto"/>
        <w:rPr>
          <w:rFonts w:ascii="Times New Roman" w:hAnsi="Times New Roman" w:cs="Times New Roman"/>
        </w:rPr>
      </w:pPr>
    </w:p>
    <w:p w14:paraId="0EF91F5A" w14:textId="77777777" w:rsidR="00D74CB7" w:rsidRDefault="00D74CB7" w:rsidP="00B857D7">
      <w:pPr>
        <w:spacing w:line="360" w:lineRule="auto"/>
        <w:rPr>
          <w:rFonts w:ascii="Times New Roman" w:hAnsi="Times New Roman" w:cs="Times New Roman"/>
        </w:rPr>
      </w:pPr>
    </w:p>
    <w:p w14:paraId="67686ABD" w14:textId="77777777" w:rsidR="00B857D7" w:rsidRDefault="00B857D7" w:rsidP="00B857D7">
      <w:pPr>
        <w:spacing w:line="360" w:lineRule="auto"/>
        <w:rPr>
          <w:rFonts w:ascii="Times New Roman" w:hAnsi="Times New Roman" w:cs="Times New Roman"/>
          <w:b/>
          <w:bCs/>
        </w:rPr>
      </w:pPr>
      <w:r w:rsidRPr="0063143A">
        <w:rPr>
          <w:rFonts w:ascii="Times New Roman" w:hAnsi="Times New Roman" w:cs="Times New Roman"/>
          <w:b/>
          <w:bCs/>
        </w:rPr>
        <w:t xml:space="preserve">Dampak nikah sirrih </w:t>
      </w:r>
    </w:p>
    <w:p w14:paraId="2BD3D444" w14:textId="5AD6FC6D" w:rsidR="00B857D7" w:rsidRDefault="00B857D7" w:rsidP="00B857D7">
      <w:pPr>
        <w:spacing w:line="360" w:lineRule="auto"/>
        <w:rPr>
          <w:rFonts w:ascii="Times New Roman" w:hAnsi="Times New Roman" w:cs="Times New Roman"/>
        </w:rPr>
      </w:pPr>
      <w:r>
        <w:rPr>
          <w:rFonts w:ascii="Times New Roman" w:hAnsi="Times New Roman" w:cs="Times New Roman"/>
          <w:b/>
          <w:bCs/>
        </w:rPr>
        <w:tab/>
      </w:r>
      <w:r w:rsidRPr="00CA6178">
        <w:rPr>
          <w:rFonts w:ascii="Times New Roman" w:hAnsi="Times New Roman" w:cs="Times New Roman"/>
        </w:rPr>
        <w:t xml:space="preserve">Dampak  Nikah siri terhadap perilaku keluarga antara lain hilang tanggung jawab, sulit terjadi keharmonisan dalam keluarga, tidak saling </w:t>
      </w:r>
      <w:r w:rsidRPr="00CA6178">
        <w:rPr>
          <w:rFonts w:ascii="Times New Roman" w:hAnsi="Times New Roman" w:cs="Times New Roman"/>
        </w:rPr>
        <w:lastRenderedPageBreak/>
        <w:t xml:space="preserve">menghormati, berbeda kasih sayang terhadap anak,. </w:t>
      </w:r>
      <w:r>
        <w:rPr>
          <w:rStyle w:val="FootnoteReference"/>
          <w:rFonts w:cs="Times New Roman"/>
        </w:rPr>
        <w:footnoteReference w:id="8"/>
      </w:r>
      <w:r>
        <w:rPr>
          <w:rFonts w:ascii="Times New Roman" w:hAnsi="Times New Roman" w:cs="Times New Roman"/>
        </w:rPr>
        <w:t xml:space="preserve"> </w:t>
      </w:r>
      <w:r w:rsidRPr="006D2C07">
        <w:rPr>
          <w:rFonts w:ascii="Times New Roman" w:hAnsi="Times New Roman" w:cs="Times New Roman"/>
          <w:shd w:val="clear" w:color="auto" w:fill="FFFFFF"/>
        </w:rPr>
        <w:t>Dampak dari hasil pernikahan siri yaitu dari pihak perempuan yang</w:t>
      </w:r>
      <w:r w:rsidRPr="0077404E">
        <w:rPr>
          <w:rFonts w:ascii="Times New Roman" w:hAnsi="Times New Roman" w:cs="Times New Roman"/>
        </w:rPr>
        <w:t xml:space="preserve"> </w:t>
      </w:r>
      <w:r w:rsidRPr="006D2C07">
        <w:rPr>
          <w:rFonts w:ascii="Times New Roman" w:hAnsi="Times New Roman" w:cs="Times New Roman"/>
          <w:shd w:val="clear" w:color="auto" w:fill="FFFFFF"/>
        </w:rPr>
        <w:t>ditinggalkan oleh suami nya dikarenakan meninggal ataupun sebuah perceraian tidak</w:t>
      </w:r>
      <w:r w:rsidRPr="0077404E">
        <w:rPr>
          <w:rFonts w:ascii="Times New Roman" w:hAnsi="Times New Roman" w:cs="Times New Roman"/>
        </w:rPr>
        <w:t xml:space="preserve"> </w:t>
      </w:r>
      <w:r w:rsidRPr="006D2C07">
        <w:rPr>
          <w:rFonts w:ascii="Times New Roman" w:hAnsi="Times New Roman" w:cs="Times New Roman"/>
          <w:shd w:val="clear" w:color="auto" w:fill="FFFFFF"/>
        </w:rPr>
        <w:t>memiliki hak kuat</w:t>
      </w:r>
      <w:r w:rsidRPr="0077404E">
        <w:rPr>
          <w:rFonts w:ascii="Times New Roman" w:hAnsi="Times New Roman" w:cs="Times New Roman"/>
          <w:shd w:val="clear" w:color="auto" w:fill="FFFFFF"/>
        </w:rPr>
        <w:t xml:space="preserve"> </w:t>
      </w:r>
      <w:r w:rsidRPr="006D2C07">
        <w:rPr>
          <w:rFonts w:ascii="Times New Roman" w:hAnsi="Times New Roman" w:cs="Times New Roman"/>
          <w:shd w:val="clear" w:color="auto" w:fill="FFFFFF"/>
        </w:rPr>
        <w:t>untuk mendapatkan harta warisan dari pihak suami dan untuk anak hasil</w:t>
      </w:r>
      <w:r w:rsidRPr="0077404E">
        <w:rPr>
          <w:rFonts w:ascii="Times New Roman" w:hAnsi="Times New Roman" w:cs="Times New Roman"/>
        </w:rPr>
        <w:t xml:space="preserve"> </w:t>
      </w:r>
      <w:r w:rsidRPr="006D2C07">
        <w:rPr>
          <w:rFonts w:ascii="Times New Roman" w:hAnsi="Times New Roman" w:cs="Times New Roman"/>
          <w:shd w:val="clear" w:color="auto" w:fill="FFFFFF"/>
        </w:rPr>
        <w:t>dari pernikahan siri sulitnya mendapatkan surat keterangan lahir dikarenakan</w:t>
      </w:r>
      <w:r w:rsidRPr="0077404E">
        <w:rPr>
          <w:rFonts w:ascii="Times New Roman" w:hAnsi="Times New Roman" w:cs="Times New Roman"/>
          <w:shd w:val="clear" w:color="auto" w:fill="FFFFFF"/>
        </w:rPr>
        <w:t xml:space="preserve"> </w:t>
      </w:r>
      <w:r w:rsidRPr="006D2C07">
        <w:rPr>
          <w:rFonts w:ascii="Times New Roman" w:hAnsi="Times New Roman" w:cs="Times New Roman"/>
          <w:shd w:val="clear" w:color="auto" w:fill="FFFFFF"/>
        </w:rPr>
        <w:t>salah satu syarat</w:t>
      </w:r>
      <w:r w:rsidRPr="0077404E">
        <w:rPr>
          <w:rFonts w:ascii="Times New Roman" w:hAnsi="Times New Roman" w:cs="Times New Roman"/>
        </w:rPr>
        <w:t xml:space="preserve"> </w:t>
      </w:r>
      <w:r w:rsidRPr="006D2C07">
        <w:rPr>
          <w:rFonts w:ascii="Times New Roman" w:hAnsi="Times New Roman" w:cs="Times New Roman"/>
          <w:shd w:val="clear" w:color="auto" w:fill="FFFFFF"/>
        </w:rPr>
        <w:t>untuk mendapatkan surat keterangan lahir tersebut harus dilampirkan juga dokumen berupa</w:t>
      </w:r>
      <w:r w:rsidRPr="0077404E">
        <w:rPr>
          <w:rFonts w:ascii="Times New Roman" w:hAnsi="Times New Roman" w:cs="Times New Roman"/>
        </w:rPr>
        <w:t xml:space="preserve"> </w:t>
      </w:r>
      <w:r w:rsidRPr="006D2C07">
        <w:rPr>
          <w:rFonts w:ascii="Times New Roman" w:hAnsi="Times New Roman" w:cs="Times New Roman"/>
          <w:shd w:val="clear" w:color="auto" w:fill="FFFFFF"/>
        </w:rPr>
        <w:t>akta pernikahan dari kedua orangtuanya</w:t>
      </w:r>
      <w:r>
        <w:rPr>
          <w:rFonts w:ascii="Arial" w:hAnsi="Arial" w:cs="Arial"/>
          <w:shd w:val="clear" w:color="auto" w:fill="FFFFFF"/>
        </w:rPr>
        <w:t>.</w:t>
      </w:r>
      <w:r>
        <w:rPr>
          <w:rStyle w:val="FootnoteReference"/>
          <w:rFonts w:ascii="Arial" w:hAnsi="Arial" w:cs="Arial"/>
          <w:shd w:val="clear" w:color="auto" w:fill="FFFFFF"/>
        </w:rPr>
        <w:footnoteReference w:id="9"/>
      </w:r>
    </w:p>
    <w:p w14:paraId="7882F4FD" w14:textId="77777777" w:rsidR="00B857D7" w:rsidRPr="00F27530" w:rsidRDefault="00B857D7" w:rsidP="00B857D7">
      <w:pPr>
        <w:spacing w:line="360" w:lineRule="auto"/>
        <w:rPr>
          <w:rFonts w:ascii="Times New Roman" w:hAnsi="Times New Roman" w:cs="Times New Roman"/>
          <w:b/>
          <w:bCs/>
        </w:rPr>
      </w:pPr>
      <w:r w:rsidRPr="00F27530">
        <w:rPr>
          <w:rFonts w:ascii="Times New Roman" w:hAnsi="Times New Roman" w:cs="Times New Roman"/>
          <w:b/>
          <w:bCs/>
        </w:rPr>
        <w:t>Upaya Pencegahan Pernikahan Dibawah Tangan</w:t>
      </w:r>
    </w:p>
    <w:p w14:paraId="52FD8844" w14:textId="314E4BE0" w:rsidR="00B857D7" w:rsidRDefault="00B857D7" w:rsidP="00B857D7">
      <w:pPr>
        <w:spacing w:line="360" w:lineRule="auto"/>
        <w:ind w:firstLine="720"/>
        <w:rPr>
          <w:rFonts w:ascii="Times New Roman" w:hAnsi="Times New Roman" w:cs="Times New Roman"/>
        </w:rPr>
      </w:pPr>
      <w:r w:rsidRPr="005A5AF4">
        <w:rPr>
          <w:rFonts w:ascii="Times New Roman" w:hAnsi="Times New Roman" w:cs="Times New Roman"/>
        </w:rPr>
        <w:t>Adapun langkah-langkah atau peranan yang dilakukan oleh kantor urusan agama (KUA) Pasar Kliwon Surakarta dalam mengatasi perkawinan dibawah tangan yaitu Pertama melakukan kegiatan penyuluhan terkait Pencatatan Pernikahan dan Keluarga Bahagia yang dilakukan oleh Badan Penasehat Pembinaan dan Pelestarian Perkawinan (BP4) di Kantor Urusan Agama (KUA) kepada calon pengantin, Kedua menggencarkan sosialisasi manfaat pencatatan pernikahan dan dampak negatif terkait keberlangsungan keluarganya kelak melalui pengajian yang diselenggarakan oleh Departemen Agama di tingkat kecamatan.</w:t>
      </w:r>
      <w:r w:rsidRPr="005A5AF4">
        <w:rPr>
          <w:rStyle w:val="FootnoteReference"/>
          <w:rFonts w:cs="Times New Roman"/>
        </w:rPr>
        <w:footnoteReference w:id="10"/>
      </w:r>
      <w:r w:rsidRPr="005A5AF4">
        <w:rPr>
          <w:rFonts w:ascii="Times New Roman" w:hAnsi="Times New Roman" w:cs="Times New Roman"/>
        </w:rPr>
        <w:t xml:space="preserve"> Upaya legalitas perkawinan yang tidak tercatat melalui perkara isbat nikah yang diajukan oleh pelaku nikah yang </w:t>
      </w:r>
      <w:r w:rsidRPr="005A5AF4">
        <w:rPr>
          <w:rFonts w:ascii="Times New Roman" w:hAnsi="Times New Roman" w:cs="Times New Roman"/>
        </w:rPr>
        <w:lastRenderedPageBreak/>
        <w:t>tidak tercatat dikabulkan oleh pengadilan agama.</w:t>
      </w:r>
      <w:r w:rsidRPr="005A5AF4">
        <w:rPr>
          <w:rStyle w:val="FootnoteReference"/>
          <w:rFonts w:cs="Times New Roman"/>
        </w:rPr>
        <w:footnoteReference w:id="11"/>
      </w:r>
      <w:r w:rsidRPr="005A5AF4">
        <w:rPr>
          <w:rFonts w:ascii="Times New Roman" w:hAnsi="Times New Roman" w:cs="Times New Roman"/>
        </w:rPr>
        <w:t xml:space="preserve"> Kegiatan pengabdian dalam  bentuk penyuluhan</w:t>
      </w:r>
      <w:r>
        <w:rPr>
          <w:rFonts w:ascii="Times New Roman" w:hAnsi="Times New Roman" w:cs="Times New Roman"/>
          <w:lang w:val="en-US"/>
        </w:rPr>
        <w:t xml:space="preserve"> </w:t>
      </w:r>
      <w:r w:rsidRPr="005A5AF4">
        <w:rPr>
          <w:rFonts w:ascii="Times New Roman" w:hAnsi="Times New Roman" w:cs="Times New Roman"/>
        </w:rPr>
        <w:t>kepada masyarakat oleh Pusat Penelitian dan Pengabdian Masyarakat (PPPM) Sekolah Tinggi Agama Islam Sultan Abdurrahman Kepulauan Riau dengan metode pretest tentang SE Dirjen Bimas Islam No. P-003 dan akibat dari perkawinan sirri online, ceramah keagamaan mengenai hukum perkawinan sirri online dalam perspektif hukum Islam dan hukum positif serta dampaknya, post test, diskusi dan konsultasi hukum yang dilakukan melalui via daring.</w:t>
      </w:r>
      <w:r w:rsidRPr="005A5AF4">
        <w:rPr>
          <w:rStyle w:val="FootnoteReference"/>
          <w:rFonts w:cs="Times New Roman"/>
        </w:rPr>
        <w:footnoteReference w:id="12"/>
      </w:r>
      <w:r w:rsidRPr="005A5AF4">
        <w:rPr>
          <w:rFonts w:ascii="Times New Roman" w:hAnsi="Times New Roman" w:cs="Times New Roman"/>
        </w:rPr>
        <w:t xml:space="preserve"> Upaya yang dilakukan Kantor Urusan Agama kecamatan Purwaharja dalam meminalisir pernikahan dibawah tangan adalah: Pertama, melakukan penyuluhan-penyuluhan Pencatatan Pernikahan dan Keluarga Bahagia kepada calon pengantin dan wali. Kedua, melakukan sosialisasi tentang pentingnya pencatatan pernikahan dan dampak buruknya terhadap keluarga, ibu dan anak melalui seminar-seminar dan pengajian-pengajian. Ketiga, Kantor Urusan Agama saling bekerjasama dengan rekan kerjanya yang berada di setiap desa yaitu P3N (Pembantu Pegawai Pencatat Nikah/ Amil Desa) bersama staff aparatur desa melakukan penyuluhan-penyuluhan setiap 2 Bulan sekali kepada masyarakat yang diselenggarakan di Kantor Urusan </w:t>
      </w:r>
      <w:r w:rsidRPr="005A5AF4">
        <w:rPr>
          <w:rFonts w:ascii="Times New Roman" w:hAnsi="Times New Roman" w:cs="Times New Roman"/>
        </w:rPr>
        <w:lastRenderedPageBreak/>
        <w:t>Agama (KUA) Kecamatan dan juga sering diselenggarakan di balai desa sesuai dengan kesepakatan yang telah disepakati.</w:t>
      </w:r>
      <w:r w:rsidRPr="005A5AF4">
        <w:rPr>
          <w:rStyle w:val="FootnoteReference"/>
          <w:rFonts w:cs="Times New Roman"/>
        </w:rPr>
        <w:footnoteReference w:id="13"/>
      </w:r>
      <w:r>
        <w:rPr>
          <w:rFonts w:ascii="Times New Roman" w:hAnsi="Times New Roman" w:cs="Times New Roman"/>
        </w:rPr>
        <w:t xml:space="preserve"> </w:t>
      </w:r>
    </w:p>
    <w:p w14:paraId="63618A5E" w14:textId="77777777" w:rsidR="00B857D7" w:rsidRDefault="00B857D7" w:rsidP="00B857D7">
      <w:pPr>
        <w:spacing w:line="360" w:lineRule="auto"/>
        <w:ind w:firstLine="720"/>
        <w:rPr>
          <w:rFonts w:ascii="Times New Roman" w:hAnsi="Times New Roman" w:cs="Times New Roman"/>
          <w:shd w:val="clear" w:color="auto" w:fill="FFFFFF"/>
        </w:rPr>
      </w:pPr>
      <w:r w:rsidRPr="00D84CE9">
        <w:rPr>
          <w:rFonts w:ascii="Times New Roman" w:hAnsi="Times New Roman" w:cs="Times New Roman"/>
        </w:rPr>
        <w:t>Collaborative Governance berbasis gender menjadi solusi alternatifnya dengan melibatkan masyarakat, pemuda, tokoh agama, Ketua RT, Kepala Desa, Kecamatan, KUA, dan Pengadilan Agama. Diawali dengan pembentukan forum bersama dengan mempertimbangkan kesetaraan gender yang memberikan akses, partisipasi, kontrol, dan manfaat yang setara antara laki-laki dan perempuan, dilanjutkan dengan membangun komitmen bersama dan aksi-aksi nyata merupakan alternatif solusi yang paling memungkinkan dilakukan dan efektif untuk pencegahan perkawinan dini dan terutama yang dilakukan dengan sirri.</w:t>
      </w:r>
      <w:r>
        <w:rPr>
          <w:rStyle w:val="FootnoteReference"/>
          <w:rFonts w:cs="Times New Roman"/>
        </w:rPr>
        <w:footnoteReference w:id="14"/>
      </w:r>
      <w:r>
        <w:rPr>
          <w:rFonts w:ascii="Times New Roman" w:hAnsi="Times New Roman" w:cs="Times New Roman"/>
        </w:rPr>
        <w:t xml:space="preserve"> </w:t>
      </w:r>
      <w:r w:rsidRPr="00D406F4">
        <w:rPr>
          <w:rFonts w:ascii="Times New Roman" w:hAnsi="Times New Roman" w:cs="Times New Roman"/>
          <w:shd w:val="clear" w:color="auto" w:fill="FFFFFF"/>
        </w:rPr>
        <w:t>Peran pemerintah penertiban  Pencatatan  Nikah  Di  Kabupaten  Boalemo  yakni  mengoptimalkan aplikasi   SIMKAH   Web   yang   diluncurkan   dan   tersinkron   dengan   KUA sehiingga  pasangan  bisa  mendaftar  online  dan  mempermudah  pendaftaran pernikahan  bagi pasangan yang wilayah tinggalnya jauh, adanya pelaksanaan sidang itsbat terpadu dan edukasi kepada masyarakat mengenai dampak negatif pernikahan sirri dan pentinganya pencatatan nikah oleh Lembaga Negara.</w:t>
      </w:r>
      <w:r w:rsidRPr="00D406F4">
        <w:rPr>
          <w:rStyle w:val="FootnoteReference"/>
          <w:rFonts w:cs="Times New Roman"/>
          <w:shd w:val="clear" w:color="auto" w:fill="FFFFFF"/>
        </w:rPr>
        <w:footnoteReference w:id="15"/>
      </w:r>
    </w:p>
    <w:p w14:paraId="404B5F30" w14:textId="77777777" w:rsidR="00B857D7" w:rsidRDefault="00B857D7"/>
    <w:p w14:paraId="5F7DB1BB" w14:textId="77777777" w:rsidR="00CB0793" w:rsidRDefault="008B1E52">
      <w:pPr>
        <w:spacing w:line="360" w:lineRule="auto"/>
        <w:rPr>
          <w:b/>
        </w:rPr>
      </w:pPr>
      <w:r>
        <w:rPr>
          <w:b/>
        </w:rPr>
        <w:t>Discussion (</w:t>
      </w:r>
      <w:r>
        <w:t>Second Subtitle, written in bold with the first letter of capital)</w:t>
      </w:r>
    </w:p>
    <w:p w14:paraId="609D7E14" w14:textId="37DB2B62" w:rsidR="00A43271" w:rsidRDefault="00A43271" w:rsidP="00A43271">
      <w:pPr>
        <w:pStyle w:val="ListParagraph"/>
        <w:spacing w:line="480" w:lineRule="auto"/>
        <w:ind w:left="567" w:firstLine="709"/>
        <w:rPr>
          <w:rFonts w:cstheme="majorBidi"/>
          <w:noProof/>
        </w:rPr>
      </w:pPr>
      <w:r w:rsidRPr="00891EEB">
        <w:rPr>
          <w:rFonts w:cstheme="majorBidi"/>
          <w:noProof/>
        </w:rPr>
        <w:t>Desa Pondok Kandang Kecamatan Pondok Suguh memiliki Sejarah tentang kehidupan masyarakatnya baik itu adat, kesenian dan sebagainya. salah satu sejarah adat yang ada di Desa Pondok Kandang yaitu sanksi bagi warganya yang melakukan  nikah siri. Warga Desa Pondo</w:t>
      </w:r>
      <w:r>
        <w:rPr>
          <w:rFonts w:cstheme="majorBidi"/>
          <w:noProof/>
        </w:rPr>
        <w:t xml:space="preserve">k </w:t>
      </w:r>
      <w:r w:rsidRPr="00891EEB">
        <w:rPr>
          <w:rFonts w:cstheme="majorBidi"/>
          <w:noProof/>
        </w:rPr>
        <w:t xml:space="preserve">Kandang memiliki cara tersendiri untuk memberikan sanksi bagi warga desanya yang melakukan pernikahan secara siri. </w:t>
      </w:r>
    </w:p>
    <w:p w14:paraId="14FAA51A" w14:textId="77777777" w:rsidR="00A43271" w:rsidRDefault="00A43271" w:rsidP="00A43271">
      <w:pPr>
        <w:pStyle w:val="ListParagraph"/>
        <w:ind w:left="567" w:firstLine="709"/>
        <w:rPr>
          <w:rFonts w:cstheme="majorBidi"/>
          <w:noProof/>
        </w:rPr>
      </w:pPr>
      <w:r w:rsidRPr="00691165">
        <w:rPr>
          <w:rFonts w:cstheme="majorBidi"/>
          <w:noProof/>
        </w:rPr>
        <w:t>”</w:t>
      </w:r>
      <w:r w:rsidRPr="00891EEB">
        <w:rPr>
          <w:rFonts w:cstheme="majorBidi"/>
          <w:noProof/>
        </w:rPr>
        <w:t xml:space="preserve">Bapak </w:t>
      </w:r>
      <w:r w:rsidRPr="00BD559A">
        <w:rPr>
          <w:rFonts w:cstheme="majorBidi"/>
          <w:noProof/>
        </w:rPr>
        <w:t>A</w:t>
      </w:r>
      <w:r w:rsidRPr="005362FD">
        <w:rPr>
          <w:rFonts w:cstheme="majorBidi"/>
          <w:noProof/>
        </w:rPr>
        <w:t xml:space="preserve"> Jakfar </w:t>
      </w:r>
      <w:r w:rsidRPr="00891EEB">
        <w:rPr>
          <w:rFonts w:cstheme="majorBidi"/>
          <w:noProof/>
        </w:rPr>
        <w:t xml:space="preserve"> selaku kepala </w:t>
      </w:r>
      <w:r w:rsidRPr="00BD559A">
        <w:rPr>
          <w:rFonts w:cstheme="majorBidi"/>
          <w:noProof/>
        </w:rPr>
        <w:t xml:space="preserve">desa </w:t>
      </w:r>
      <w:r w:rsidRPr="00891EEB">
        <w:rPr>
          <w:rFonts w:cstheme="majorBidi"/>
          <w:noProof/>
        </w:rPr>
        <w:t>di Desa Pondok Kandang  menjelaskan bahwa awal mula dari pemberian sanksi bagi warga Desa Pondok Kandang yang melakukan nikah siri itu karena pada zaman dahulu cukup banyak masyarakat yang menikah siri. Dan pada zaman dulu banyak Masyarakat lebih memilih menikah secara siri daripada menikah secara tercatat, alasannya yaitu pertama karena faktor jarak ke lokasi Kantor Urusan Agama (KUA), kedua yaitu  faktor umur karena harus ke pengadilan terlebih dahulu untuk melakukan dispensasi nikah dan proses  yang dilakukan lumayan rumit</w:t>
      </w:r>
      <w:r w:rsidRPr="00691165">
        <w:rPr>
          <w:rFonts w:cstheme="majorBidi"/>
          <w:noProof/>
        </w:rPr>
        <w:t>”</w:t>
      </w:r>
      <w:r w:rsidRPr="00891EEB">
        <w:rPr>
          <w:rFonts w:cstheme="majorBidi"/>
          <w:noProof/>
        </w:rPr>
        <w:t>.</w:t>
      </w:r>
      <w:r>
        <w:rPr>
          <w:rStyle w:val="FootnoteReference"/>
          <w:rFonts w:cstheme="majorBidi"/>
          <w:noProof/>
        </w:rPr>
        <w:footnoteReference w:id="16"/>
      </w:r>
    </w:p>
    <w:p w14:paraId="6E9C9622" w14:textId="77777777" w:rsidR="00A43271" w:rsidRDefault="00A43271" w:rsidP="00A43271">
      <w:pPr>
        <w:pStyle w:val="ListParagraph"/>
        <w:ind w:left="567" w:firstLine="709"/>
        <w:rPr>
          <w:rFonts w:cstheme="majorBidi"/>
          <w:noProof/>
        </w:rPr>
      </w:pPr>
    </w:p>
    <w:p w14:paraId="08387F54" w14:textId="13EA7F91" w:rsidR="00A43271" w:rsidRDefault="00A43271" w:rsidP="00A43271">
      <w:pPr>
        <w:pStyle w:val="ListParagraph"/>
        <w:ind w:left="567" w:firstLine="709"/>
        <w:rPr>
          <w:rFonts w:cstheme="majorBidi"/>
          <w:noProof/>
        </w:rPr>
      </w:pPr>
      <w:r w:rsidRPr="00691165">
        <w:rPr>
          <w:rFonts w:cstheme="majorBidi"/>
          <w:noProof/>
        </w:rPr>
        <w:t>“</w:t>
      </w:r>
      <w:r w:rsidRPr="00891EEB">
        <w:rPr>
          <w:rFonts w:cstheme="majorBidi"/>
          <w:noProof/>
        </w:rPr>
        <w:t xml:space="preserve">Pak </w:t>
      </w:r>
      <w:r w:rsidRPr="005362FD">
        <w:rPr>
          <w:rFonts w:cstheme="majorBidi"/>
          <w:noProof/>
        </w:rPr>
        <w:t>Amir Hamzah</w:t>
      </w:r>
      <w:r w:rsidRPr="00891EEB">
        <w:rPr>
          <w:rFonts w:cstheme="majorBidi"/>
          <w:noProof/>
        </w:rPr>
        <w:t xml:space="preserve"> selaku </w:t>
      </w:r>
      <w:r w:rsidRPr="005362FD">
        <w:rPr>
          <w:rFonts w:cstheme="majorBidi"/>
          <w:noProof/>
        </w:rPr>
        <w:t xml:space="preserve">tokoh adat juga </w:t>
      </w:r>
      <w:r w:rsidRPr="00891EEB">
        <w:rPr>
          <w:rFonts w:cstheme="majorBidi"/>
          <w:noProof/>
        </w:rPr>
        <w:t xml:space="preserve">menambahkan bahwa faktor orang zaman dulu melakukan nikah siri yaitu karena tidak mendapatkan restu dari orangtua sehingga melakukan nikah siri atau menikah secara diam-diam dengan menggunakan wali hakim, dan yang terakhir yaitu karena faktor biaya yang menyebabkan tidak mampu membayar administrasi pencatatan. Sehingga para orangtua zaman dahulu mencari solusi agar bagaimana nantinya masyarakat ataupun anak cucunya tidak ada lagi yang melakukan pernikahan secara siri karena dampak dari nikah siri yang tidak baik. Sehingga muncullah pemikiran untuk memberikan sanksi bagi pelaku nikah siri yang disepakati oleh badan permusyawaratan desa dengan </w:t>
      </w:r>
      <w:r w:rsidRPr="00891EEB">
        <w:rPr>
          <w:rFonts w:cstheme="majorBidi"/>
          <w:noProof/>
        </w:rPr>
        <w:lastRenderedPageBreak/>
        <w:t>pemerintahan desa tentang adat  istiadat (</w:t>
      </w:r>
      <w:r w:rsidRPr="00891EEB">
        <w:rPr>
          <w:rFonts w:cstheme="majorBidi"/>
          <w:i/>
          <w:iCs/>
          <w:noProof/>
        </w:rPr>
        <w:t>pegang pakai</w:t>
      </w:r>
      <w:r w:rsidRPr="00891EEB">
        <w:rPr>
          <w:rFonts w:cstheme="majorBidi"/>
          <w:noProof/>
        </w:rPr>
        <w:t>) yang terdapat dalam pasal 3 tentang nikah siri/nikah bawah tangan yang beri</w:t>
      </w:r>
      <w:r w:rsidRPr="009816D9">
        <w:rPr>
          <w:rFonts w:cstheme="majorBidi"/>
          <w:noProof/>
        </w:rPr>
        <w:t>si” :</w:t>
      </w:r>
      <w:r>
        <w:rPr>
          <w:rStyle w:val="FootnoteReference"/>
          <w:rFonts w:cstheme="majorBidi"/>
          <w:noProof/>
        </w:rPr>
        <w:footnoteReference w:id="17"/>
      </w:r>
    </w:p>
    <w:p w14:paraId="1A21F04E" w14:textId="77777777" w:rsidR="00A43271" w:rsidRDefault="00A43271" w:rsidP="00A43271">
      <w:pPr>
        <w:spacing w:line="480" w:lineRule="auto"/>
        <w:jc w:val="center"/>
        <w:rPr>
          <w:rFonts w:cstheme="majorBidi"/>
          <w:noProof/>
        </w:rPr>
      </w:pPr>
      <w:r w:rsidRPr="00891EEB">
        <w:rPr>
          <w:rFonts w:cstheme="majorBidi"/>
          <w:noProof/>
        </w:rPr>
        <w:t>Pasal 3</w:t>
      </w:r>
    </w:p>
    <w:p w14:paraId="230C92EA" w14:textId="77777777" w:rsidR="00A43271" w:rsidRPr="00891EEB" w:rsidRDefault="00A43271" w:rsidP="00A43271">
      <w:pPr>
        <w:spacing w:line="480" w:lineRule="auto"/>
        <w:jc w:val="center"/>
        <w:rPr>
          <w:rFonts w:cstheme="majorBidi"/>
          <w:noProof/>
        </w:rPr>
      </w:pPr>
      <w:r w:rsidRPr="00891EEB">
        <w:rPr>
          <w:rFonts w:cstheme="majorBidi"/>
          <w:noProof/>
        </w:rPr>
        <w:t xml:space="preserve">Nikah Siri/Nikah Dibawah Tangan </w:t>
      </w:r>
    </w:p>
    <w:p w14:paraId="346CE5CA" w14:textId="77777777" w:rsidR="00A43271" w:rsidRDefault="00A43271" w:rsidP="00A43271">
      <w:pPr>
        <w:pStyle w:val="ListParagraph"/>
        <w:numPr>
          <w:ilvl w:val="0"/>
          <w:numId w:val="1"/>
        </w:numPr>
        <w:spacing w:after="160" w:line="480" w:lineRule="auto"/>
        <w:ind w:left="851" w:hanging="284"/>
        <w:rPr>
          <w:rFonts w:cstheme="majorBidi"/>
          <w:noProof/>
        </w:rPr>
      </w:pPr>
      <w:r>
        <w:rPr>
          <w:rFonts w:cstheme="majorBidi"/>
          <w:noProof/>
        </w:rPr>
        <w:t xml:space="preserve">Nikah siri/nikah bawah tangan adalah nikah yang sah menurut agama dan adat istiadat tetapi tidak tercatat pada negara/pemerintah </w:t>
      </w:r>
    </w:p>
    <w:p w14:paraId="50B8347F" w14:textId="77777777" w:rsidR="00A43271" w:rsidRDefault="00A43271" w:rsidP="00A43271">
      <w:pPr>
        <w:pStyle w:val="ListParagraph"/>
        <w:numPr>
          <w:ilvl w:val="0"/>
          <w:numId w:val="1"/>
        </w:numPr>
        <w:spacing w:after="160" w:line="480" w:lineRule="auto"/>
        <w:ind w:left="851" w:hanging="284"/>
        <w:rPr>
          <w:rFonts w:cstheme="majorBidi"/>
          <w:noProof/>
        </w:rPr>
      </w:pPr>
      <w:r>
        <w:rPr>
          <w:rFonts w:cstheme="majorBidi"/>
          <w:noProof/>
        </w:rPr>
        <w:t>Bagi warga yang melaksanakan nikah siri dikenakan ketentuan sebagai berikut :</w:t>
      </w:r>
    </w:p>
    <w:p w14:paraId="45C2DC3B" w14:textId="77777777" w:rsidR="00A43271" w:rsidRDefault="00A43271" w:rsidP="00A43271">
      <w:pPr>
        <w:pStyle w:val="ListParagraph"/>
        <w:numPr>
          <w:ilvl w:val="0"/>
          <w:numId w:val="2"/>
        </w:numPr>
        <w:spacing w:after="160" w:line="480" w:lineRule="auto"/>
        <w:ind w:left="1134" w:hanging="283"/>
        <w:rPr>
          <w:rFonts w:cstheme="majorBidi"/>
          <w:noProof/>
        </w:rPr>
      </w:pPr>
      <w:r>
        <w:rPr>
          <w:rFonts w:cstheme="majorBidi"/>
          <w:noProof/>
        </w:rPr>
        <w:t>Doa punjung putih,punjung kuning</w:t>
      </w:r>
    </w:p>
    <w:p w14:paraId="5F879315" w14:textId="77777777" w:rsidR="00A43271" w:rsidRPr="00532D60" w:rsidRDefault="00A43271" w:rsidP="00A43271">
      <w:pPr>
        <w:pStyle w:val="ListParagraph"/>
        <w:numPr>
          <w:ilvl w:val="0"/>
          <w:numId w:val="2"/>
        </w:numPr>
        <w:spacing w:after="160" w:line="480" w:lineRule="auto"/>
        <w:ind w:left="1134" w:hanging="283"/>
        <w:rPr>
          <w:rFonts w:cstheme="majorBidi"/>
          <w:noProof/>
        </w:rPr>
      </w:pPr>
      <w:r>
        <w:rPr>
          <w:rFonts w:cstheme="majorBidi"/>
          <w:noProof/>
        </w:rPr>
        <w:t xml:space="preserve">Biaya nikah sesuai ketentuan yang ada </w:t>
      </w:r>
    </w:p>
    <w:p w14:paraId="6F2269B0" w14:textId="77777777" w:rsidR="00A43271" w:rsidRDefault="00A43271" w:rsidP="00A43271">
      <w:pPr>
        <w:ind w:left="567" w:firstLine="720"/>
        <w:rPr>
          <w:rFonts w:cstheme="majorBidi"/>
          <w:noProof/>
        </w:rPr>
      </w:pPr>
      <w:r>
        <w:rPr>
          <w:rFonts w:cstheme="majorBidi"/>
          <w:noProof/>
        </w:rPr>
        <w:t>”</w:t>
      </w:r>
      <w:r w:rsidRPr="00532D60">
        <w:rPr>
          <w:rFonts w:cstheme="majorBidi"/>
          <w:noProof/>
        </w:rPr>
        <w:t>Bapak</w:t>
      </w:r>
      <w:r>
        <w:rPr>
          <w:rFonts w:cstheme="majorBidi"/>
          <w:noProof/>
        </w:rPr>
        <w:t xml:space="preserve"> Fitri selaku kepala kaum </w:t>
      </w:r>
      <w:r>
        <w:rPr>
          <w:rFonts w:cstheme="majorBidi"/>
          <w:i/>
          <w:iCs/>
          <w:noProof/>
        </w:rPr>
        <w:t>C</w:t>
      </w:r>
      <w:r w:rsidRPr="00F5637E">
        <w:rPr>
          <w:rFonts w:cstheme="majorBidi"/>
          <w:i/>
          <w:iCs/>
          <w:noProof/>
        </w:rPr>
        <w:t>aniago</w:t>
      </w:r>
      <w:r>
        <w:rPr>
          <w:rFonts w:cstheme="majorBidi"/>
          <w:noProof/>
        </w:rPr>
        <w:t xml:space="preserve"> </w:t>
      </w:r>
      <w:r w:rsidRPr="00532D60">
        <w:rPr>
          <w:rFonts w:cstheme="majorBidi"/>
          <w:noProof/>
        </w:rPr>
        <w:t>Juga menjelaskan bahwa sanksi diatas bermaksud agar dapat dipahami oleh masyarakat dan sekaligus untuk memberikan efek jera bagi pelaku nikah siri sehingga dengan adanya sanksi tersebut masyarakat lebih memilih nikah tercatat dibandingkan nikah secara siri. maka sanksi itu sangat penting untuk mencegah dampak yang tidak baik dari nikah siri itu sendiri karena tidak memiliki kekuatan hukum, seperti tidak adanya surat nikah karena tidak terjadi pencatatan</w:t>
      </w:r>
      <w:r>
        <w:rPr>
          <w:rFonts w:cstheme="majorBidi"/>
          <w:noProof/>
        </w:rPr>
        <w:t xml:space="preserve">, pihak perempuan juga tidak bisa menuntut haknya sebagai seorang istri yang dilanggar oleh suami karena tidak adanya kekuatan hukum yang tetap terhadap legalitas perkawinan tersebut. Serta  kepentingan terkait pembuatan KK dan  Akta Kelahiran anak tidak dapat dilayani karena tidak adanya bukti pernikahan berupa akta nikah/buku nikah orangtua sang anak. dan </w:t>
      </w:r>
      <w:r w:rsidRPr="00532D60">
        <w:rPr>
          <w:rFonts w:cstheme="majorBidi"/>
          <w:noProof/>
        </w:rPr>
        <w:t>nantinya pengurusan warisan atau harta gono saat cerai tidak dapat dilakukan</w:t>
      </w:r>
      <w:r>
        <w:rPr>
          <w:rFonts w:cstheme="majorBidi"/>
          <w:noProof/>
        </w:rPr>
        <w:t>.”</w:t>
      </w:r>
      <w:r>
        <w:rPr>
          <w:rStyle w:val="FootnoteReference"/>
          <w:rFonts w:cstheme="majorBidi"/>
          <w:noProof/>
        </w:rPr>
        <w:footnoteReference w:id="18"/>
      </w:r>
    </w:p>
    <w:p w14:paraId="163D75B5" w14:textId="789AF583" w:rsidR="00A43271" w:rsidRDefault="00A43271" w:rsidP="00A43271">
      <w:pPr>
        <w:pStyle w:val="ListParagraph"/>
        <w:numPr>
          <w:ilvl w:val="0"/>
          <w:numId w:val="1"/>
        </w:numPr>
        <w:spacing w:after="160" w:line="480" w:lineRule="auto"/>
        <w:ind w:left="567" w:hanging="283"/>
        <w:rPr>
          <w:rFonts w:cstheme="majorBidi"/>
          <w:b/>
          <w:bCs/>
          <w:noProof/>
        </w:rPr>
      </w:pPr>
      <w:r w:rsidRPr="00111656">
        <w:rPr>
          <w:rFonts w:cstheme="majorBidi"/>
          <w:b/>
          <w:bCs/>
          <w:noProof/>
        </w:rPr>
        <w:lastRenderedPageBreak/>
        <w:t>Proses P</w:t>
      </w:r>
      <w:r>
        <w:rPr>
          <w:rFonts w:cstheme="majorBidi"/>
          <w:b/>
          <w:bCs/>
          <w:noProof/>
        </w:rPr>
        <w:t xml:space="preserve">elaksanaan </w:t>
      </w:r>
      <w:r w:rsidRPr="00111656">
        <w:rPr>
          <w:rFonts w:cstheme="majorBidi"/>
          <w:b/>
          <w:bCs/>
          <w:noProof/>
        </w:rPr>
        <w:t xml:space="preserve"> Sanksi Adat Nikah Siri </w:t>
      </w:r>
    </w:p>
    <w:p w14:paraId="31B094E8" w14:textId="77777777" w:rsidR="002876C1" w:rsidRDefault="002876C1" w:rsidP="002876C1">
      <w:pPr>
        <w:pStyle w:val="ListParagraph"/>
        <w:spacing w:line="480" w:lineRule="auto"/>
        <w:ind w:left="567" w:firstLine="426"/>
        <w:rPr>
          <w:rFonts w:cstheme="majorBidi"/>
          <w:noProof/>
        </w:rPr>
      </w:pPr>
      <w:r>
        <w:rPr>
          <w:rFonts w:cstheme="majorBidi"/>
          <w:noProof/>
        </w:rPr>
        <w:t>Berdasarkan hasil wawancara dengan bapak sadar selaku ketua adat mengatakan bahwa proses praktik sanksi adat nikah siri Desa Pondok Kandang Kecamatan Pondok Suguh yaitu nikah siri, pengaduan, proses sanksi adat.</w:t>
      </w:r>
    </w:p>
    <w:p w14:paraId="5E4D6305" w14:textId="77777777" w:rsidR="002876C1" w:rsidRDefault="002876C1" w:rsidP="002876C1">
      <w:pPr>
        <w:pStyle w:val="ListParagraph"/>
        <w:spacing w:line="480" w:lineRule="auto"/>
        <w:ind w:left="567"/>
        <w:rPr>
          <w:rFonts w:cstheme="majorBidi"/>
          <w:noProof/>
        </w:rPr>
      </w:pPr>
      <w:r>
        <w:rPr>
          <w:rFonts w:cstheme="majorBidi"/>
          <w:noProof/>
        </w:rPr>
        <w:t>Adapun penjelasan dari proses tersebut yaitu :</w:t>
      </w:r>
    </w:p>
    <w:p w14:paraId="59DC8F61" w14:textId="77777777" w:rsidR="002876C1" w:rsidRDefault="002876C1" w:rsidP="002876C1">
      <w:pPr>
        <w:pStyle w:val="ListParagraph"/>
        <w:numPr>
          <w:ilvl w:val="0"/>
          <w:numId w:val="3"/>
        </w:numPr>
        <w:spacing w:after="160" w:line="480" w:lineRule="auto"/>
        <w:ind w:left="993" w:hanging="426"/>
        <w:rPr>
          <w:rFonts w:cstheme="majorBidi"/>
          <w:noProof/>
        </w:rPr>
      </w:pPr>
      <w:r>
        <w:rPr>
          <w:rFonts w:cstheme="majorBidi"/>
          <w:noProof/>
        </w:rPr>
        <w:t xml:space="preserve">Nikah siri </w:t>
      </w:r>
    </w:p>
    <w:p w14:paraId="7D7570E6" w14:textId="77777777" w:rsidR="002876C1" w:rsidRDefault="002876C1" w:rsidP="002876C1">
      <w:pPr>
        <w:pStyle w:val="ListParagraph"/>
        <w:spacing w:line="480" w:lineRule="auto"/>
        <w:ind w:left="992" w:firstLine="568"/>
        <w:rPr>
          <w:rFonts w:cstheme="majorBidi"/>
          <w:noProof/>
        </w:rPr>
      </w:pPr>
      <w:r>
        <w:rPr>
          <w:rFonts w:cstheme="majorBidi"/>
          <w:noProof/>
        </w:rPr>
        <w:t xml:space="preserve">Nikah siri merupakan pernikahan yang dilakukan dengan tidak dicatatkan oleh pegawai pencatat nikah atau pihak (KUA), dan banyak sekali faktor yang melatar belakangi sehingga terjadinya pernikahan secara siri ini. Berikut hasil wawancara penulis dari tokoh masyarakat yaitu : </w:t>
      </w:r>
    </w:p>
    <w:p w14:paraId="1D7920A4" w14:textId="77777777" w:rsidR="002876C1" w:rsidRDefault="002876C1" w:rsidP="002876C1">
      <w:pPr>
        <w:pStyle w:val="ListParagraph"/>
        <w:ind w:left="1560" w:firstLine="720"/>
        <w:rPr>
          <w:rFonts w:cstheme="majorBidi"/>
          <w:noProof/>
        </w:rPr>
      </w:pPr>
      <w:r>
        <w:rPr>
          <w:rFonts w:cstheme="majorBidi"/>
          <w:noProof/>
        </w:rPr>
        <w:t>“Pasangan yang statusnya masih lajang yaitu H dan E melakukan pernikahan secara siri. Saudari E mengatakan alasan mereka lebih memilih melakukan pernikahan secara siri karena pada saat itu jarak ke lokasi kantor urusan agama (KUA) yang cukup jauh dan juga saat itu kendaraan masih sangat minim”.</w:t>
      </w:r>
      <w:r>
        <w:rPr>
          <w:rStyle w:val="FootnoteReference"/>
          <w:rFonts w:cstheme="majorBidi"/>
          <w:noProof/>
        </w:rPr>
        <w:footnoteReference w:id="19"/>
      </w:r>
    </w:p>
    <w:p w14:paraId="4AE5FB6F" w14:textId="77777777" w:rsidR="002876C1" w:rsidRDefault="002876C1" w:rsidP="002876C1">
      <w:pPr>
        <w:pStyle w:val="ListParagraph"/>
        <w:ind w:left="1560" w:firstLine="720"/>
        <w:rPr>
          <w:rFonts w:cstheme="majorBidi"/>
          <w:noProof/>
        </w:rPr>
      </w:pPr>
      <w:r>
        <w:rPr>
          <w:rFonts w:cstheme="majorBidi"/>
          <w:noProof/>
        </w:rPr>
        <w:t xml:space="preserve">“Selanjutnya yaiu pasangan M dan A bahwasanya alasan mereka melakukan nikah siri yaitu karena adanya beberapa permasalahan internal di lingkungan keluarga, menjadikan mereka memaksakan diri untuk melangsungkan pernikahan siri. Dengan cara melangsungkan pernikahan </w:t>
      </w:r>
      <w:r>
        <w:rPr>
          <w:rFonts w:cstheme="majorBidi"/>
          <w:noProof/>
        </w:rPr>
        <w:lastRenderedPageBreak/>
        <w:t>siri, bahwasanya dalam pelaksanaan pernikahan itu berupa nikah siri”.</w:t>
      </w:r>
      <w:r>
        <w:rPr>
          <w:rStyle w:val="FootnoteReference"/>
          <w:rFonts w:cstheme="majorBidi"/>
          <w:noProof/>
        </w:rPr>
        <w:footnoteReference w:id="20"/>
      </w:r>
    </w:p>
    <w:p w14:paraId="73EBB294" w14:textId="77777777" w:rsidR="002876C1" w:rsidRPr="00860D88" w:rsidRDefault="002876C1" w:rsidP="002876C1">
      <w:pPr>
        <w:pStyle w:val="ListParagraph"/>
        <w:ind w:left="992" w:firstLine="720"/>
        <w:rPr>
          <w:rFonts w:cstheme="majorBidi"/>
          <w:noProof/>
        </w:rPr>
      </w:pPr>
    </w:p>
    <w:p w14:paraId="342ECF21" w14:textId="77777777" w:rsidR="002876C1" w:rsidRDefault="002876C1" w:rsidP="002876C1">
      <w:pPr>
        <w:pStyle w:val="ListParagraph"/>
        <w:numPr>
          <w:ilvl w:val="0"/>
          <w:numId w:val="3"/>
        </w:numPr>
        <w:spacing w:after="160" w:line="480" w:lineRule="auto"/>
        <w:ind w:left="993" w:hanging="426"/>
        <w:rPr>
          <w:rFonts w:cstheme="majorBidi"/>
          <w:noProof/>
        </w:rPr>
      </w:pPr>
      <w:r>
        <w:rPr>
          <w:rFonts w:cstheme="majorBidi"/>
          <w:noProof/>
        </w:rPr>
        <w:t xml:space="preserve">Pengaduan </w:t>
      </w:r>
    </w:p>
    <w:p w14:paraId="02CCE61B" w14:textId="77777777" w:rsidR="002876C1" w:rsidRPr="00F5637E" w:rsidRDefault="002876C1" w:rsidP="002876C1">
      <w:pPr>
        <w:pStyle w:val="ListParagraph"/>
        <w:tabs>
          <w:tab w:val="left" w:pos="1701"/>
        </w:tabs>
        <w:spacing w:line="480" w:lineRule="auto"/>
        <w:ind w:left="992" w:firstLine="568"/>
        <w:rPr>
          <w:rFonts w:cstheme="majorBidi"/>
          <w:noProof/>
        </w:rPr>
      </w:pPr>
      <w:r>
        <w:rPr>
          <w:rFonts w:cstheme="majorBidi"/>
          <w:noProof/>
        </w:rPr>
        <w:t xml:space="preserve">Sebelum pelaksanaan sanksi bagi yang melakukan pernikahan secara siri adanya salah satu masyarakat  yang mengetahui bahwa  adanya warga desa yang melakukan pernikahan secara siri. Sehingga tersebarnya gosip di Desa Pondok Kandang ini. </w:t>
      </w:r>
      <w:r w:rsidRPr="00F5637E">
        <w:rPr>
          <w:rFonts w:cstheme="majorBidi"/>
          <w:noProof/>
        </w:rPr>
        <w:t>Wawancara dengan bapak sadar selaku ketua adat di Desa Pondok Kandang mengatakan bahwa :</w:t>
      </w:r>
    </w:p>
    <w:p w14:paraId="09A4475E" w14:textId="77777777" w:rsidR="002876C1" w:rsidRDefault="002876C1" w:rsidP="002876C1">
      <w:pPr>
        <w:pStyle w:val="ListParagraph"/>
        <w:ind w:left="1701" w:firstLine="720"/>
        <w:rPr>
          <w:rFonts w:cstheme="majorBidi"/>
          <w:noProof/>
        </w:rPr>
      </w:pPr>
      <w:r>
        <w:rPr>
          <w:rFonts w:cstheme="majorBidi"/>
          <w:noProof/>
        </w:rPr>
        <w:t xml:space="preserve"> “Dengan tersebarnya gosip antar masyarakat desa sehingga terdengar oleh ketua adat dan para kepala kaum, maka ketua adat mencari informasi langsung dan kejelasan kepada kepala kaum kedua belah pihak yang melakukan pernikahan siri ini. Setelah jelas bahwa benar adanya pernikahan siri maka ketua adat, kepala kaum kedua belah pihak serta </w:t>
      </w:r>
      <w:r w:rsidRPr="007F2AB6">
        <w:rPr>
          <w:rFonts w:cstheme="majorBidi"/>
          <w:i/>
          <w:iCs/>
          <w:noProof/>
        </w:rPr>
        <w:t>sanak mamak</w:t>
      </w:r>
      <w:r>
        <w:rPr>
          <w:rFonts w:cstheme="majorBidi"/>
          <w:noProof/>
        </w:rPr>
        <w:t xml:space="preserve"> kedua belah pihak akan berdiskusi kapan pelaksanaan sanksi adat tersebut akan dilaksanakan.”</w:t>
      </w:r>
      <w:r>
        <w:rPr>
          <w:rStyle w:val="FootnoteReference"/>
          <w:rFonts w:cstheme="majorBidi"/>
          <w:noProof/>
        </w:rPr>
        <w:footnoteReference w:id="21"/>
      </w:r>
      <w:r>
        <w:rPr>
          <w:rFonts w:cstheme="majorBidi"/>
          <w:noProof/>
        </w:rPr>
        <w:t xml:space="preserve"> </w:t>
      </w:r>
    </w:p>
    <w:p w14:paraId="7E52A568" w14:textId="77777777" w:rsidR="002876C1" w:rsidRDefault="002876C1" w:rsidP="002876C1">
      <w:pPr>
        <w:pStyle w:val="ListParagraph"/>
        <w:ind w:left="992" w:firstLine="720"/>
        <w:rPr>
          <w:rFonts w:cstheme="majorBidi"/>
          <w:noProof/>
        </w:rPr>
      </w:pPr>
    </w:p>
    <w:p w14:paraId="43A089D2" w14:textId="77777777" w:rsidR="002876C1" w:rsidRDefault="002876C1" w:rsidP="002876C1">
      <w:pPr>
        <w:pStyle w:val="ListParagraph"/>
        <w:ind w:left="1701" w:firstLine="720"/>
        <w:rPr>
          <w:rFonts w:cstheme="majorBidi"/>
          <w:noProof/>
        </w:rPr>
      </w:pPr>
      <w:r>
        <w:rPr>
          <w:rFonts w:cstheme="majorBidi"/>
          <w:noProof/>
        </w:rPr>
        <w:t>“S</w:t>
      </w:r>
      <w:r w:rsidRPr="00FA16A0">
        <w:rPr>
          <w:rFonts w:cstheme="majorBidi"/>
          <w:noProof/>
        </w:rPr>
        <w:t>etelah hari pelaksanaan sanksi tersebut ditetapkan maka kepala kaum kedua belah pihak akan memberitahukan kepada pelaku nikah siri bahwa mereka dikenakan sanksi adat dan akan dilaksa</w:t>
      </w:r>
      <w:r>
        <w:rPr>
          <w:rFonts w:cstheme="majorBidi"/>
          <w:noProof/>
        </w:rPr>
        <w:t>na</w:t>
      </w:r>
      <w:r w:rsidRPr="00FA16A0">
        <w:rPr>
          <w:rFonts w:cstheme="majorBidi"/>
          <w:noProof/>
        </w:rPr>
        <w:t>kan pada hari yang telah ditetapkan tersebut</w:t>
      </w:r>
      <w:r>
        <w:rPr>
          <w:rFonts w:cstheme="majorBidi"/>
          <w:noProof/>
        </w:rPr>
        <w:t xml:space="preserve">. </w:t>
      </w:r>
      <w:r w:rsidRPr="00FA16A0">
        <w:rPr>
          <w:rFonts w:cstheme="majorBidi"/>
          <w:noProof/>
        </w:rPr>
        <w:t>untuk</w:t>
      </w:r>
      <w:r>
        <w:rPr>
          <w:rFonts w:cstheme="majorBidi"/>
          <w:noProof/>
        </w:rPr>
        <w:t xml:space="preserve"> </w:t>
      </w:r>
      <w:r w:rsidRPr="00FA16A0">
        <w:rPr>
          <w:rFonts w:cstheme="majorBidi"/>
          <w:color w:val="0F0F0F"/>
        </w:rPr>
        <w:t xml:space="preserve">Persiapan dilakukan dengan menyiapkan punjung putih dan punjung kuning, serta segala keperluan lainnya yang diperlukan untuk </w:t>
      </w:r>
      <w:r w:rsidRPr="00FA16A0">
        <w:rPr>
          <w:rFonts w:cstheme="majorBidi"/>
          <w:color w:val="0F0F0F"/>
        </w:rPr>
        <w:lastRenderedPageBreak/>
        <w:t>melaksanakan sanksi tersebut</w:t>
      </w:r>
      <w:r>
        <w:rPr>
          <w:rFonts w:ascii="Segoe UI" w:hAnsi="Segoe UI" w:cs="Segoe UI"/>
          <w:color w:val="0F0F0F"/>
        </w:rPr>
        <w:t>.</w:t>
      </w:r>
      <w:r w:rsidRPr="00FA16A0">
        <w:rPr>
          <w:rFonts w:cstheme="majorBidi"/>
          <w:noProof/>
        </w:rPr>
        <w:t xml:space="preserve"> </w:t>
      </w:r>
      <w:r>
        <w:rPr>
          <w:rFonts w:cstheme="majorBidi"/>
          <w:noProof/>
        </w:rPr>
        <w:t xml:space="preserve">Setelah itu </w:t>
      </w:r>
      <w:r w:rsidRPr="007F2AB6">
        <w:rPr>
          <w:rFonts w:cstheme="majorBidi"/>
          <w:i/>
          <w:iCs/>
          <w:noProof/>
        </w:rPr>
        <w:t>sanak mamak</w:t>
      </w:r>
      <w:r>
        <w:rPr>
          <w:rFonts w:cstheme="majorBidi"/>
          <w:noProof/>
        </w:rPr>
        <w:t xml:space="preserve"> akan mengundang seluruh orang-orang anggota adat dan syarak untuk datang pada hari yang telah ditentukan untuk pelaksanaan sanksi tersebut”.</w:t>
      </w:r>
      <w:r>
        <w:rPr>
          <w:rStyle w:val="FootnoteReference"/>
          <w:rFonts w:cstheme="majorBidi"/>
          <w:noProof/>
        </w:rPr>
        <w:footnoteReference w:id="22"/>
      </w:r>
    </w:p>
    <w:p w14:paraId="00D4225F" w14:textId="77777777" w:rsidR="002876C1" w:rsidRDefault="002876C1" w:rsidP="002876C1">
      <w:pPr>
        <w:pStyle w:val="ListParagraph"/>
        <w:ind w:left="1701" w:firstLine="720"/>
        <w:rPr>
          <w:rFonts w:cstheme="majorBidi"/>
          <w:noProof/>
        </w:rPr>
      </w:pPr>
    </w:p>
    <w:p w14:paraId="65374B42" w14:textId="77777777" w:rsidR="002876C1" w:rsidRDefault="002876C1" w:rsidP="002876C1">
      <w:pPr>
        <w:pStyle w:val="ListParagraph"/>
        <w:spacing w:line="480" w:lineRule="auto"/>
        <w:ind w:left="992" w:firstLine="720"/>
        <w:rPr>
          <w:rFonts w:cstheme="majorBidi"/>
          <w:noProof/>
        </w:rPr>
      </w:pPr>
      <w:r>
        <w:rPr>
          <w:rFonts w:cstheme="majorBidi"/>
          <w:noProof/>
        </w:rPr>
        <w:t>Kepala kaum dan mempelai juga mengurus persyaratan nikah di KUA dan nantinya akan diadakan akad nikah  di hadapan pegawai pencatat nikah atau pihak KUA sehingga pernikahan tersebut nantinya  Sah menurut undang-undang dan tercatat. Pernikahan tersebut nantinya akan dilangsungkan di rumah pihak wanita dan pernikahan dilangsungkan sesuai dengan tanggal yang telah ditetapkan.</w:t>
      </w:r>
    </w:p>
    <w:p w14:paraId="154F1E63" w14:textId="77777777" w:rsidR="002876C1" w:rsidRPr="00CD4189" w:rsidRDefault="002876C1" w:rsidP="002876C1">
      <w:pPr>
        <w:pStyle w:val="ListParagraph"/>
        <w:spacing w:line="480" w:lineRule="auto"/>
        <w:ind w:left="992" w:firstLine="720"/>
        <w:rPr>
          <w:rFonts w:cstheme="majorBidi"/>
          <w:noProof/>
        </w:rPr>
      </w:pPr>
    </w:p>
    <w:p w14:paraId="174D8120" w14:textId="77777777" w:rsidR="002876C1" w:rsidRDefault="002876C1" w:rsidP="002876C1">
      <w:pPr>
        <w:pStyle w:val="ListParagraph"/>
        <w:numPr>
          <w:ilvl w:val="0"/>
          <w:numId w:val="3"/>
        </w:numPr>
        <w:spacing w:after="160" w:line="480" w:lineRule="auto"/>
        <w:ind w:left="993" w:hanging="426"/>
        <w:rPr>
          <w:rFonts w:cstheme="majorBidi"/>
          <w:noProof/>
        </w:rPr>
      </w:pPr>
      <w:r>
        <w:rPr>
          <w:rFonts w:cstheme="majorBidi"/>
          <w:noProof/>
        </w:rPr>
        <w:t xml:space="preserve">Pelaksanaan Sanksi Adat Nikah siri </w:t>
      </w:r>
    </w:p>
    <w:p w14:paraId="135F7534" w14:textId="77777777" w:rsidR="002876C1" w:rsidRPr="00341561" w:rsidRDefault="002876C1" w:rsidP="002876C1">
      <w:pPr>
        <w:pStyle w:val="ListParagraph"/>
        <w:spacing w:line="480" w:lineRule="auto"/>
        <w:ind w:left="992" w:firstLine="720"/>
        <w:rPr>
          <w:rFonts w:cstheme="majorBidi"/>
          <w:noProof/>
        </w:rPr>
      </w:pPr>
      <w:r>
        <w:rPr>
          <w:rFonts w:cstheme="majorBidi"/>
          <w:noProof/>
        </w:rPr>
        <w:t xml:space="preserve">Sebelum pelaksaan sanksi adat dilakukan ada beberapa rangkaian dalam prosesi ini yaitu penjelasan dari informan. </w:t>
      </w:r>
      <w:r w:rsidRPr="00341561">
        <w:rPr>
          <w:rFonts w:cstheme="majorBidi"/>
          <w:noProof/>
        </w:rPr>
        <w:t xml:space="preserve">Wawancara dengan Bapak Abdul Sadar selaku ketua adat Desa Pondok Kandang mengatakan bahwa : </w:t>
      </w:r>
    </w:p>
    <w:p w14:paraId="502017CB" w14:textId="77777777" w:rsidR="002876C1" w:rsidRDefault="002876C1" w:rsidP="002876C1">
      <w:pPr>
        <w:pStyle w:val="ListParagraph"/>
        <w:ind w:left="1701" w:firstLine="720"/>
        <w:rPr>
          <w:rFonts w:cstheme="majorBidi"/>
          <w:noProof/>
        </w:rPr>
      </w:pPr>
      <w:r>
        <w:rPr>
          <w:rFonts w:cstheme="majorBidi"/>
          <w:noProof/>
        </w:rPr>
        <w:t xml:space="preserve">”Bahwasannya awal mula kedua pasangan mempelai yang akan melaksanakan sanki tersebut mendaftarkan diri untuk melangsungkan  pernikahan secara sah dan tercatat di KUA, setelah semua proses </w:t>
      </w:r>
      <w:r>
        <w:rPr>
          <w:rFonts w:cstheme="majorBidi"/>
          <w:noProof/>
        </w:rPr>
        <w:lastRenderedPageBreak/>
        <w:t>dilaksanakan maka setelah itu memulai tahap pelaksanaan sanksi di rumah. Ada beberapa tokoh masyarakat dan juga petugas KUA yang hadir guna meresmikan pernikahan. Setelah s</w:t>
      </w:r>
      <w:r w:rsidRPr="00A66F6F">
        <w:rPr>
          <w:rFonts w:cstheme="majorBidi"/>
          <w:noProof/>
        </w:rPr>
        <w:t>emua pegawai adat dan syarak</w:t>
      </w:r>
      <w:r>
        <w:rPr>
          <w:rFonts w:cstheme="majorBidi"/>
          <w:noProof/>
        </w:rPr>
        <w:t xml:space="preserve"> yang telah diundang tadi sudah</w:t>
      </w:r>
      <w:r w:rsidRPr="00A66F6F">
        <w:rPr>
          <w:rFonts w:cstheme="majorBidi"/>
          <w:noProof/>
        </w:rPr>
        <w:t xml:space="preserve"> </w:t>
      </w:r>
      <w:r>
        <w:rPr>
          <w:rFonts w:cstheme="majorBidi"/>
          <w:noProof/>
        </w:rPr>
        <w:t xml:space="preserve">hadir dan </w:t>
      </w:r>
      <w:r w:rsidRPr="00A66F6F">
        <w:rPr>
          <w:rFonts w:cstheme="majorBidi"/>
          <w:noProof/>
        </w:rPr>
        <w:t xml:space="preserve">berkumpul dirumah pihak perempuan </w:t>
      </w:r>
      <w:r>
        <w:rPr>
          <w:rFonts w:cstheme="majorBidi"/>
          <w:noProof/>
        </w:rPr>
        <w:t>maka dimulailah pelaksanaan</w:t>
      </w:r>
      <w:r w:rsidRPr="00A66F6F">
        <w:rPr>
          <w:rFonts w:cstheme="majorBidi"/>
          <w:noProof/>
        </w:rPr>
        <w:t xml:space="preserve"> sanksi nikah siri dan prosesi </w:t>
      </w:r>
      <w:r>
        <w:rPr>
          <w:rFonts w:cstheme="majorBidi"/>
          <w:noProof/>
        </w:rPr>
        <w:t xml:space="preserve">ulang </w:t>
      </w:r>
      <w:r w:rsidRPr="00A66F6F">
        <w:rPr>
          <w:rFonts w:cstheme="majorBidi"/>
          <w:noProof/>
        </w:rPr>
        <w:t xml:space="preserve">ijab kabul. </w:t>
      </w:r>
      <w:r>
        <w:rPr>
          <w:rFonts w:cstheme="majorBidi"/>
          <w:noProof/>
        </w:rPr>
        <w:t>Adapun proses pertama yang dilakukan yaitu sambutan dari tuan rumah, bahwasanya menerangkan tentang maksud dan tujuan dilaksanakannya acara ini, yaitu guna melaksanakan sanksi adat. setelah itu dilanjutkan dengan proses nikah tercatat oleh pihak KUA sesuai dengan aturan dan ketentuan undang-undang yang berlaku, dan dilanjutkan dengan berdoa dan pemberian nasehat tentang pernikahan bahwasannya pelaksanaan pernikahan yang mereka lakukan sebelum itu yaitu pernikahan siri memiliki dampak yang buruk bagi keberlangsungan rumah tangga, apalagi bagi pihak perempuan nantinya, serta dari segi pengurusan berkas ataupun kaitannya dengan keturunan, setelah beberapa nasihat disampaikan dari pihak KUA maka sudah sampailah di penghujung acara dengan makan punjung bersama. Punjung yang digunakan disini yaitu punjung putih dan punjung kuning yang menandakan bahwa telah berakhirnya sanksi dan terpenuhinya aturan adat sesuai ketentuan di Desa Pondok Kandang”.</w:t>
      </w:r>
      <w:r>
        <w:rPr>
          <w:rStyle w:val="FootnoteReference"/>
          <w:rFonts w:cstheme="majorBidi"/>
          <w:noProof/>
        </w:rPr>
        <w:footnoteReference w:id="23"/>
      </w:r>
    </w:p>
    <w:p w14:paraId="7A3DA0A8" w14:textId="77777777" w:rsidR="002876C1" w:rsidRDefault="002876C1" w:rsidP="002876C1">
      <w:pPr>
        <w:pStyle w:val="ListParagraph"/>
        <w:ind w:left="992" w:firstLine="720"/>
        <w:rPr>
          <w:rFonts w:cstheme="majorBidi"/>
          <w:noProof/>
        </w:rPr>
      </w:pPr>
    </w:p>
    <w:p w14:paraId="29494C09" w14:textId="77777777" w:rsidR="002876C1" w:rsidRDefault="002876C1" w:rsidP="002876C1">
      <w:pPr>
        <w:pStyle w:val="ListParagraph"/>
        <w:ind w:left="1701" w:firstLine="720"/>
        <w:rPr>
          <w:rFonts w:cstheme="majorBidi"/>
          <w:noProof/>
        </w:rPr>
      </w:pPr>
      <w:r>
        <w:rPr>
          <w:rFonts w:cstheme="majorBidi"/>
          <w:noProof/>
        </w:rPr>
        <w:t xml:space="preserve">“Bapak  Suparjo selaku kepala kaum melayu kecil juga menjelaskan mengenai nasi punjung, bahwa punjung terdiri dari dua macam  yaitu punjung putih dan punjung kuning, persamaan dari dua nasi ini yaitu dari bahannya, perbedaannya terletak pada warnanya, serta punjung putih juga terbuat dari beras biasa sedangkan punjung kuning terbuat dari beras ketan, dan juga punjung putih terdapat </w:t>
      </w:r>
      <w:r w:rsidRPr="007F2AB6">
        <w:rPr>
          <w:rFonts w:cstheme="majorBidi"/>
          <w:i/>
          <w:iCs/>
          <w:noProof/>
        </w:rPr>
        <w:t>gulai</w:t>
      </w:r>
      <w:r>
        <w:rPr>
          <w:rFonts w:cstheme="majorBidi"/>
          <w:noProof/>
        </w:rPr>
        <w:t xml:space="preserve"> ayamnya sedangkan punjung kuning terdapat ayam bakarnya. </w:t>
      </w:r>
      <w:r w:rsidRPr="007F2AB6">
        <w:rPr>
          <w:rFonts w:cstheme="majorBidi"/>
          <w:noProof/>
        </w:rPr>
        <w:t>adapun punjung putih ditujukan untuk pegawai</w:t>
      </w:r>
      <w:r>
        <w:rPr>
          <w:rFonts w:cstheme="majorBidi"/>
          <w:noProof/>
        </w:rPr>
        <w:t xml:space="preserve"> syarak yang terdiri dari imam, khatib, bilal, gharim, dan </w:t>
      </w:r>
      <w:r>
        <w:rPr>
          <w:rFonts w:cstheme="majorBidi"/>
          <w:noProof/>
        </w:rPr>
        <w:lastRenderedPageBreak/>
        <w:t>saih. Sedangkan punjung kuning ditujukan kepada pegawai adat, yaitu pegawai desa seperti kades, BPD, ketua adat, kepala dusun, kaur, LPM dan kepala kaum”.</w:t>
      </w:r>
      <w:r>
        <w:rPr>
          <w:rStyle w:val="FootnoteReference"/>
          <w:rFonts w:cstheme="majorBidi"/>
          <w:noProof/>
        </w:rPr>
        <w:footnoteReference w:id="24"/>
      </w:r>
      <w:r>
        <w:rPr>
          <w:rFonts w:cstheme="majorBidi"/>
          <w:noProof/>
        </w:rPr>
        <w:t xml:space="preserve"> </w:t>
      </w:r>
    </w:p>
    <w:p w14:paraId="7BF6CA9C" w14:textId="77777777" w:rsidR="002876C1" w:rsidRPr="00B703EF" w:rsidRDefault="002876C1" w:rsidP="002876C1">
      <w:pPr>
        <w:pStyle w:val="ListParagraph"/>
        <w:ind w:left="992" w:firstLine="720"/>
        <w:rPr>
          <w:rFonts w:cstheme="majorBidi"/>
          <w:noProof/>
        </w:rPr>
      </w:pPr>
    </w:p>
    <w:p w14:paraId="45C7BE9A" w14:textId="77777777" w:rsidR="002876C1" w:rsidRDefault="002876C1" w:rsidP="002876C1">
      <w:pPr>
        <w:pStyle w:val="ListParagraph"/>
        <w:spacing w:line="480" w:lineRule="auto"/>
        <w:ind w:left="992" w:firstLine="720"/>
        <w:rPr>
          <w:rFonts w:cstheme="majorBidi"/>
          <w:noProof/>
        </w:rPr>
      </w:pPr>
      <w:r>
        <w:rPr>
          <w:rFonts w:cstheme="majorBidi"/>
          <w:noProof/>
        </w:rPr>
        <w:t xml:space="preserve">Wawancara dengan ibuk Apriani sebagai masyarakat Desa Pondok Kandang juga menjelaskan mengenai punjung putih dan punjung kuning ini. </w:t>
      </w:r>
    </w:p>
    <w:p w14:paraId="262CA77B" w14:textId="1AAA5EAA" w:rsidR="00A43271" w:rsidRPr="002876C1" w:rsidRDefault="002876C1" w:rsidP="002876C1">
      <w:pPr>
        <w:pStyle w:val="ListParagraph"/>
        <w:ind w:left="992" w:firstLine="720"/>
        <w:rPr>
          <w:rFonts w:cstheme="majorBidi"/>
          <w:noProof/>
        </w:rPr>
      </w:pPr>
      <w:r>
        <w:rPr>
          <w:rFonts w:cstheme="majorBidi"/>
          <w:noProof/>
        </w:rPr>
        <w:t xml:space="preserve">“Ibuk apriani mengatakan bahan pokok dari punjung putih dan punjung kuning yaitu berupa beras, tapi yang berbeda disini yaitu punjung putih terbuat dari beras biasa sedangkan punjung kuning terbuat dari beras ketan serta pada punjung kuning juga terdapat  ayam bakar/ </w:t>
      </w:r>
      <w:r w:rsidRPr="002F1638">
        <w:rPr>
          <w:rFonts w:cstheme="majorBidi"/>
          <w:i/>
          <w:iCs/>
          <w:noProof/>
        </w:rPr>
        <w:t>panggang ayam</w:t>
      </w:r>
      <w:r>
        <w:rPr>
          <w:rFonts w:cstheme="majorBidi"/>
          <w:i/>
          <w:iCs/>
          <w:noProof/>
        </w:rPr>
        <w:t xml:space="preserve"> </w:t>
      </w:r>
      <w:r>
        <w:rPr>
          <w:rFonts w:cstheme="majorBidi"/>
          <w:noProof/>
        </w:rPr>
        <w:t xml:space="preserve">dan pada punjung putih terdapat </w:t>
      </w:r>
      <w:r w:rsidRPr="002F1638">
        <w:rPr>
          <w:rFonts w:cstheme="majorBidi"/>
          <w:i/>
          <w:iCs/>
          <w:noProof/>
        </w:rPr>
        <w:t>gulai</w:t>
      </w:r>
      <w:r>
        <w:rPr>
          <w:rFonts w:cstheme="majorBidi"/>
          <w:noProof/>
        </w:rPr>
        <w:t xml:space="preserve"> ayamnya”. </w:t>
      </w:r>
      <w:r>
        <w:rPr>
          <w:rStyle w:val="FootnoteReference"/>
          <w:rFonts w:cstheme="majorBidi"/>
          <w:noProof/>
        </w:rPr>
        <w:footnoteReference w:id="25"/>
      </w:r>
    </w:p>
    <w:p w14:paraId="1E26C96C" w14:textId="77777777" w:rsidR="00CB0793" w:rsidRDefault="00CB0793">
      <w:pPr>
        <w:spacing w:line="360" w:lineRule="auto"/>
        <w:rPr>
          <w:b/>
        </w:rPr>
      </w:pPr>
    </w:p>
    <w:p w14:paraId="5109F233" w14:textId="77777777" w:rsidR="00CB0793" w:rsidRDefault="008B1E52">
      <w:pPr>
        <w:spacing w:line="360" w:lineRule="auto"/>
        <w:rPr>
          <w:b/>
        </w:rPr>
      </w:pPr>
      <w:r>
        <w:rPr>
          <w:b/>
        </w:rPr>
        <w:t>Discussion II (</w:t>
      </w:r>
      <w:r>
        <w:t>Third Subtitle, written in bold with the first letter of capital)</w:t>
      </w:r>
    </w:p>
    <w:p w14:paraId="059D70B0" w14:textId="77777777" w:rsidR="00CB0793" w:rsidRDefault="008B1E52">
      <w:pPr>
        <w:ind w:firstLine="851"/>
      </w:pPr>
      <w:r>
        <w:t xml:space="preserve">In this section, subtitles are written according to the content of those subtitles. The discussions in each section are comprehensively, logically, and systematically described. </w:t>
      </w:r>
    </w:p>
    <w:p w14:paraId="03F8C178" w14:textId="77777777" w:rsidR="00CB0793" w:rsidRDefault="00CB0793">
      <w:pPr>
        <w:rPr>
          <w:b/>
        </w:rPr>
      </w:pPr>
    </w:p>
    <w:p w14:paraId="7922CE8A" w14:textId="77777777" w:rsidR="00CB0793" w:rsidRDefault="008B1E52">
      <w:pPr>
        <w:rPr>
          <w:b/>
        </w:rPr>
      </w:pPr>
      <w:r>
        <w:rPr>
          <w:b/>
        </w:rPr>
        <w:t>Footnote</w:t>
      </w:r>
    </w:p>
    <w:p w14:paraId="475A7BF1" w14:textId="77777777" w:rsidR="00CB0793" w:rsidRDefault="008B1E52">
      <w:pPr>
        <w:pBdr>
          <w:top w:val="nil"/>
          <w:left w:val="nil"/>
          <w:bottom w:val="nil"/>
          <w:right w:val="nil"/>
          <w:between w:val="nil"/>
        </w:pBdr>
        <w:ind w:firstLine="851"/>
        <w:rPr>
          <w:rFonts w:ascii="Calibri" w:hAnsi="Calibri"/>
          <w:color w:val="000000"/>
        </w:rPr>
      </w:pPr>
      <w:r>
        <w:rPr>
          <w:rFonts w:ascii="Calibri" w:hAnsi="Calibri"/>
          <w:color w:val="000000"/>
        </w:rPr>
        <w:t xml:space="preserve">Each time quoting an opinion, the author must give a footnote </w:t>
      </w:r>
      <w:r>
        <w:rPr>
          <w:rFonts w:ascii="Calibri" w:hAnsi="Calibri"/>
          <w:i/>
          <w:color w:val="000000"/>
        </w:rPr>
        <w:t xml:space="preserve"> </w:t>
      </w:r>
      <w:r>
        <w:rPr>
          <w:rFonts w:ascii="Calibri" w:hAnsi="Calibri"/>
          <w:color w:val="000000"/>
        </w:rPr>
        <w:t xml:space="preserve"> using </w:t>
      </w:r>
      <w:r>
        <w:rPr>
          <w:rFonts w:ascii="Calibri" w:hAnsi="Calibri"/>
          <w:b/>
          <w:color w:val="000000"/>
        </w:rPr>
        <w:t xml:space="preserve">Format </w:t>
      </w:r>
      <w:r>
        <w:rPr>
          <w:rFonts w:ascii="Calibri" w:hAnsi="Calibri"/>
          <w:b/>
          <w:color w:val="111111"/>
          <w:highlight w:val="white"/>
        </w:rPr>
        <w:t>Chicago Manual of Style 17th Edition (full note).</w:t>
      </w:r>
      <w:r>
        <w:rPr>
          <w:rFonts w:ascii="Calibri" w:hAnsi="Calibri"/>
          <w:color w:val="000000"/>
        </w:rPr>
        <w:t xml:space="preserve"> Please use Mendeley or Zotero manager reference app.</w:t>
      </w:r>
    </w:p>
    <w:p w14:paraId="7551B778" w14:textId="77777777" w:rsidR="00CB0793" w:rsidRDefault="00CB0793">
      <w:pPr>
        <w:pBdr>
          <w:top w:val="nil"/>
          <w:left w:val="nil"/>
          <w:bottom w:val="nil"/>
          <w:right w:val="nil"/>
          <w:between w:val="nil"/>
        </w:pBdr>
        <w:ind w:firstLine="851"/>
        <w:rPr>
          <w:rFonts w:ascii="Calibri" w:hAnsi="Calibri"/>
          <w:color w:val="000000"/>
        </w:rPr>
      </w:pPr>
    </w:p>
    <w:p w14:paraId="5AF87E83" w14:textId="77777777" w:rsidR="00CB0793" w:rsidRDefault="00CB0793"/>
    <w:p w14:paraId="0A1A549D" w14:textId="77777777" w:rsidR="00CB0793" w:rsidRDefault="008B1E52">
      <w:r>
        <w:t>Footnote Writing Example:</w:t>
      </w:r>
    </w:p>
    <w:p w14:paraId="2F2CC987" w14:textId="77777777" w:rsidR="00CB0793" w:rsidRDefault="008B1E52">
      <w:pPr>
        <w:ind w:firstLine="851"/>
      </w:pPr>
      <w:r>
        <w:t xml:space="preserve">Footnote Number </w:t>
      </w:r>
      <w:r>
        <w:rPr>
          <w:vertAlign w:val="superscript"/>
        </w:rPr>
        <w:footnoteReference w:id="26"/>
      </w:r>
    </w:p>
    <w:p w14:paraId="643C0640" w14:textId="77777777" w:rsidR="00CB0793" w:rsidRDefault="008B1E52">
      <w:pPr>
        <w:ind w:firstLine="851"/>
      </w:pPr>
      <w:r>
        <w:lastRenderedPageBreak/>
        <w:t xml:space="preserve">Footnote Number </w:t>
      </w:r>
      <w:r>
        <w:rPr>
          <w:vertAlign w:val="superscript"/>
        </w:rPr>
        <w:footnoteReference w:id="27"/>
      </w:r>
    </w:p>
    <w:p w14:paraId="6DC8A6A8" w14:textId="77777777" w:rsidR="00CB0793" w:rsidRDefault="008B1E52">
      <w:pPr>
        <w:ind w:firstLine="851"/>
      </w:pPr>
      <w:r>
        <w:t xml:space="preserve">Footnote Number </w:t>
      </w:r>
      <w:r>
        <w:rPr>
          <w:vertAlign w:val="superscript"/>
        </w:rPr>
        <w:footnoteReference w:id="28"/>
      </w:r>
    </w:p>
    <w:p w14:paraId="45AE59F7" w14:textId="77777777" w:rsidR="00CB0793" w:rsidRDefault="008B1E52">
      <w:pPr>
        <w:ind w:firstLine="851"/>
      </w:pPr>
      <w:r>
        <w:t xml:space="preserve">Footnote Number </w:t>
      </w:r>
      <w:r>
        <w:rPr>
          <w:vertAlign w:val="superscript"/>
        </w:rPr>
        <w:footnoteReference w:id="29"/>
      </w:r>
    </w:p>
    <w:p w14:paraId="4CBE37F7" w14:textId="77777777" w:rsidR="00CB0793" w:rsidRDefault="008B1E52">
      <w:pPr>
        <w:ind w:firstLine="851"/>
      </w:pPr>
      <w:r>
        <w:t xml:space="preserve">Footnote Number </w:t>
      </w:r>
      <w:r>
        <w:rPr>
          <w:vertAlign w:val="superscript"/>
        </w:rPr>
        <w:footnoteReference w:id="30"/>
      </w:r>
    </w:p>
    <w:p w14:paraId="3875D366" w14:textId="77777777" w:rsidR="00CB0793" w:rsidRDefault="008B1E52">
      <w:pPr>
        <w:ind w:firstLine="851"/>
      </w:pPr>
      <w:r>
        <w:t xml:space="preserve">Footnote Number </w:t>
      </w:r>
      <w:r>
        <w:rPr>
          <w:vertAlign w:val="superscript"/>
        </w:rPr>
        <w:footnoteReference w:id="31"/>
      </w:r>
    </w:p>
    <w:p w14:paraId="1B3BD3A3" w14:textId="77777777" w:rsidR="00CB0793" w:rsidRDefault="00CB0793">
      <w:pPr>
        <w:spacing w:line="360" w:lineRule="auto"/>
        <w:rPr>
          <w:b/>
        </w:rPr>
      </w:pPr>
    </w:p>
    <w:p w14:paraId="6132D70D" w14:textId="77777777" w:rsidR="00CB0793" w:rsidRDefault="008B1E52">
      <w:pPr>
        <w:spacing w:line="360" w:lineRule="auto"/>
        <w:rPr>
          <w:b/>
        </w:rPr>
      </w:pPr>
      <w:r>
        <w:rPr>
          <w:b/>
        </w:rPr>
        <w:t>Conclusion</w:t>
      </w:r>
      <w:r>
        <w:t xml:space="preserve"> (bold in first capital letters)</w:t>
      </w:r>
    </w:p>
    <w:p w14:paraId="78FA82F6" w14:textId="77777777" w:rsidR="005C12F2" w:rsidRPr="00A146B5" w:rsidRDefault="005C12F2" w:rsidP="005C12F2">
      <w:pPr>
        <w:pStyle w:val="ListParagraph"/>
        <w:spacing w:line="480" w:lineRule="auto"/>
        <w:ind w:left="284" w:firstLine="720"/>
        <w:rPr>
          <w:rFonts w:cstheme="majorBidi"/>
          <w:color w:val="000000"/>
        </w:rPr>
      </w:pPr>
      <w:r w:rsidRPr="00A146B5">
        <w:rPr>
          <w:rFonts w:cstheme="majorBidi"/>
          <w:color w:val="000000"/>
        </w:rPr>
        <w:t>Berdasarkan hasil penelitian yang telah dilakukan,</w:t>
      </w:r>
      <w:r>
        <w:rPr>
          <w:rFonts w:cstheme="majorBidi"/>
          <w:color w:val="000000"/>
        </w:rPr>
        <w:t xml:space="preserve"> </w:t>
      </w:r>
      <w:r w:rsidRPr="00A146B5">
        <w:rPr>
          <w:rFonts w:cstheme="majorBidi"/>
          <w:color w:val="000000"/>
        </w:rPr>
        <w:t>peneliti dapat menyimpulkan hasil pembahasan yaitu sebagai berikut :</w:t>
      </w:r>
    </w:p>
    <w:p w14:paraId="3D7F2009" w14:textId="77777777" w:rsidR="005C12F2" w:rsidRDefault="005C12F2" w:rsidP="005C12F2">
      <w:pPr>
        <w:pStyle w:val="ListParagraph"/>
        <w:numPr>
          <w:ilvl w:val="3"/>
          <w:numId w:val="4"/>
        </w:numPr>
        <w:spacing w:line="480" w:lineRule="auto"/>
        <w:ind w:left="567" w:hanging="283"/>
        <w:rPr>
          <w:rFonts w:cstheme="majorBidi"/>
          <w:color w:val="000000"/>
        </w:rPr>
      </w:pPr>
      <w:r w:rsidRPr="00A146B5">
        <w:rPr>
          <w:rFonts w:cstheme="majorBidi"/>
          <w:color w:val="000000"/>
        </w:rPr>
        <w:t>P</w:t>
      </w:r>
      <w:r>
        <w:rPr>
          <w:rFonts w:cstheme="majorBidi"/>
          <w:color w:val="000000"/>
        </w:rPr>
        <w:t xml:space="preserve">elaksanaan sanksi adat terhadap warga yang melakukan </w:t>
      </w:r>
      <w:r w:rsidRPr="00A146B5">
        <w:rPr>
          <w:rFonts w:cstheme="majorBidi"/>
          <w:color w:val="000000"/>
        </w:rPr>
        <w:t xml:space="preserve">Nikah Siri di Desa Pondok Kandang Kecamatan Pondok Suguh Kabupaten Mukomuko dilakukan dengan rangkaian pelaksanaan meliputi adanya warga yang melakukan nikah siri, Pengaduan, pelaksanaan sanksi adat nikah siri yaitu berupa punjung putih dan punjung kuning, di barengi </w:t>
      </w:r>
      <w:r w:rsidRPr="00A146B5">
        <w:rPr>
          <w:rFonts w:cstheme="majorBidi"/>
          <w:color w:val="000000"/>
        </w:rPr>
        <w:lastRenderedPageBreak/>
        <w:t xml:space="preserve">dengan nikah tercatat dengan pihak KUA, dan pada saat pelaksanaan sanksi ini dilakukan dihadiri oleh pegawai adat dan syarak serta </w:t>
      </w:r>
      <w:r w:rsidRPr="00A146B5">
        <w:rPr>
          <w:rFonts w:cstheme="majorBidi"/>
          <w:i/>
          <w:iCs/>
          <w:color w:val="000000"/>
        </w:rPr>
        <w:t>sanak mamak</w:t>
      </w:r>
      <w:r w:rsidRPr="00A146B5">
        <w:rPr>
          <w:rFonts w:cstheme="majorBidi"/>
          <w:color w:val="000000"/>
        </w:rPr>
        <w:t xml:space="preserve"> kedua belah pihak,  Tadisi ini berlaku untuk pasangan suami istri yang melakukan </w:t>
      </w:r>
      <w:r>
        <w:rPr>
          <w:rFonts w:cstheme="majorBidi"/>
          <w:color w:val="000000"/>
        </w:rPr>
        <w:t xml:space="preserve">nikah siri. </w:t>
      </w:r>
      <w:r w:rsidRPr="00A146B5">
        <w:rPr>
          <w:rFonts w:cstheme="majorBidi"/>
          <w:color w:val="000000"/>
        </w:rPr>
        <w:t xml:space="preserve">Dengan adanya </w:t>
      </w:r>
      <w:r>
        <w:rPr>
          <w:rFonts w:cstheme="majorBidi"/>
          <w:color w:val="000000"/>
        </w:rPr>
        <w:t>sanksi</w:t>
      </w:r>
      <w:r w:rsidRPr="00A146B5">
        <w:rPr>
          <w:rFonts w:cstheme="majorBidi"/>
          <w:color w:val="000000"/>
        </w:rPr>
        <w:t xml:space="preserve"> ini memperlihatkan etika masyarakat dan terjalinnya silaturahmi dengan pihak adat. Dan pelaksanaan tradisi ini menunjukkan bahwa hukum adat di Desa</w:t>
      </w:r>
      <w:r>
        <w:rPr>
          <w:rFonts w:cstheme="majorBidi"/>
          <w:color w:val="000000"/>
        </w:rPr>
        <w:t xml:space="preserve"> Pondok Kandang </w:t>
      </w:r>
      <w:r w:rsidRPr="00A146B5">
        <w:rPr>
          <w:rFonts w:cstheme="majorBidi"/>
          <w:color w:val="000000"/>
        </w:rPr>
        <w:t xml:space="preserve"> Kecamatan P</w:t>
      </w:r>
      <w:r>
        <w:rPr>
          <w:rFonts w:cstheme="majorBidi"/>
          <w:color w:val="000000"/>
        </w:rPr>
        <w:t>ondok Suguh</w:t>
      </w:r>
      <w:r w:rsidRPr="00A146B5">
        <w:rPr>
          <w:rFonts w:cstheme="majorBidi"/>
          <w:color w:val="000000"/>
        </w:rPr>
        <w:t xml:space="preserve"> Kabupaten </w:t>
      </w:r>
      <w:r>
        <w:rPr>
          <w:rFonts w:cstheme="majorBidi"/>
          <w:color w:val="000000"/>
        </w:rPr>
        <w:t>Mukomuko</w:t>
      </w:r>
      <w:r w:rsidRPr="00A146B5">
        <w:rPr>
          <w:rFonts w:cstheme="majorBidi"/>
          <w:color w:val="000000"/>
        </w:rPr>
        <w:t xml:space="preserve"> masih eksis sampai saat ini.</w:t>
      </w:r>
    </w:p>
    <w:p w14:paraId="6492CF6E" w14:textId="77777777" w:rsidR="00CB0793" w:rsidRDefault="00CB0793">
      <w:pPr>
        <w:pBdr>
          <w:top w:val="nil"/>
          <w:left w:val="nil"/>
          <w:bottom w:val="nil"/>
          <w:right w:val="nil"/>
          <w:between w:val="nil"/>
        </w:pBdr>
        <w:ind w:firstLine="709"/>
        <w:rPr>
          <w:rFonts w:ascii="Calibri" w:hAnsi="Calibri"/>
          <w:color w:val="000000"/>
        </w:rPr>
      </w:pPr>
    </w:p>
    <w:p w14:paraId="6F2CA3C6" w14:textId="77777777" w:rsidR="00CB0793" w:rsidRDefault="008B1E52">
      <w:pPr>
        <w:spacing w:line="360" w:lineRule="auto"/>
        <w:rPr>
          <w:b/>
        </w:rPr>
      </w:pPr>
      <w:r>
        <w:rPr>
          <w:b/>
        </w:rPr>
        <w:t>References</w:t>
      </w:r>
    </w:p>
    <w:p w14:paraId="1E93C397" w14:textId="77777777" w:rsidR="00CB0793" w:rsidRDefault="008B1E52">
      <w:pPr>
        <w:spacing w:after="240"/>
        <w:ind w:firstLine="709"/>
      </w:pPr>
      <w:r>
        <w:t>The references are arranged alphabetically and is written 1 space by giving tabs the second line and so on, while the first line is not. Please use Mendeley or Zotero manager reference app. The examples of writing references are:</w:t>
      </w:r>
    </w:p>
    <w:p w14:paraId="25C3379F" w14:textId="77777777" w:rsidR="00CB0793" w:rsidRDefault="008B1E52">
      <w:pPr>
        <w:pBdr>
          <w:top w:val="nil"/>
          <w:left w:val="nil"/>
          <w:bottom w:val="nil"/>
          <w:right w:val="nil"/>
          <w:between w:val="nil"/>
        </w:pBdr>
        <w:ind w:left="851" w:hanging="851"/>
        <w:rPr>
          <w:rFonts w:ascii="Times New Roman" w:eastAsia="Times New Roman" w:hAnsi="Times New Roman" w:cs="Times New Roman"/>
          <w:i/>
          <w:color w:val="000000"/>
        </w:rPr>
      </w:pPr>
      <w:r>
        <w:rPr>
          <w:rFonts w:ascii="Times New Roman" w:eastAsia="Times New Roman" w:hAnsi="Times New Roman" w:cs="Times New Roman"/>
          <w:color w:val="000000"/>
        </w:rPr>
        <w:t xml:space="preserve">‘Abd al-Bāqy, Muhammad Fuād, </w:t>
      </w:r>
      <w:r>
        <w:rPr>
          <w:rFonts w:ascii="Times New Roman" w:eastAsia="Times New Roman" w:hAnsi="Times New Roman" w:cs="Times New Roman"/>
          <w:i/>
          <w:color w:val="000000"/>
        </w:rPr>
        <w:t>Al-Mu’jam al-Mufahras li al-Fādh al-Qur’ān al-Karīm,</w:t>
      </w:r>
      <w:r>
        <w:rPr>
          <w:rFonts w:ascii="Times New Roman" w:eastAsia="Times New Roman" w:hAnsi="Times New Roman" w:cs="Times New Roman"/>
          <w:color w:val="000000"/>
        </w:rPr>
        <w:t xml:space="preserve"> Ed. I; Mesir: Dār al Hadīth, 1996.</w:t>
      </w:r>
      <w:r>
        <w:rPr>
          <w:rFonts w:ascii="Times New Roman" w:eastAsia="Times New Roman" w:hAnsi="Times New Roman" w:cs="Times New Roman"/>
          <w:i/>
          <w:color w:val="000000"/>
        </w:rPr>
        <w:t xml:space="preserve"> </w:t>
      </w:r>
    </w:p>
    <w:p w14:paraId="4D399857" w14:textId="77777777" w:rsidR="00CB0793" w:rsidRDefault="008B1E52">
      <w:pPr>
        <w:pBdr>
          <w:top w:val="nil"/>
          <w:left w:val="nil"/>
          <w:bottom w:val="nil"/>
          <w:right w:val="nil"/>
          <w:between w:val="nil"/>
        </w:pBdr>
        <w:ind w:left="851"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 Sirry, Mun’im, </w:t>
      </w:r>
      <w:r>
        <w:rPr>
          <w:rFonts w:ascii="Times New Roman" w:eastAsia="Times New Roman" w:hAnsi="Times New Roman" w:cs="Times New Roman"/>
          <w:i/>
          <w:color w:val="000000"/>
        </w:rPr>
        <w:t xml:space="preserve">Sejarah Fiqh Islam: Sebuah Pengantar, </w:t>
      </w:r>
      <w:r>
        <w:rPr>
          <w:rFonts w:ascii="Times New Roman" w:eastAsia="Times New Roman" w:hAnsi="Times New Roman" w:cs="Times New Roman"/>
          <w:color w:val="000000"/>
        </w:rPr>
        <w:t xml:space="preserve">Ed. II; Surabaya: Risalah Gusti, 1996. </w:t>
      </w:r>
    </w:p>
    <w:p w14:paraId="359629AF" w14:textId="77777777" w:rsidR="00CB0793" w:rsidRDefault="008B1E52">
      <w:pPr>
        <w:pBdr>
          <w:top w:val="nil"/>
          <w:left w:val="nil"/>
          <w:bottom w:val="nil"/>
          <w:right w:val="nil"/>
          <w:between w:val="nil"/>
        </w:pBdr>
        <w:ind w:left="851" w:hanging="851"/>
        <w:rPr>
          <w:rFonts w:ascii="Times New Roman" w:eastAsia="Times New Roman" w:hAnsi="Times New Roman" w:cs="Times New Roman"/>
          <w:color w:val="000000"/>
        </w:rPr>
      </w:pPr>
      <w:r>
        <w:rPr>
          <w:rFonts w:ascii="Times New Roman" w:eastAsia="Times New Roman" w:hAnsi="Times New Roman" w:cs="Times New Roman"/>
          <w:color w:val="000000"/>
        </w:rPr>
        <w:t>Abu Zahrah,</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Muhammad, </w:t>
      </w:r>
      <w:r>
        <w:rPr>
          <w:rFonts w:ascii="Times New Roman" w:eastAsia="Times New Roman" w:hAnsi="Times New Roman" w:cs="Times New Roman"/>
          <w:i/>
          <w:color w:val="000000"/>
        </w:rPr>
        <w:t xml:space="preserve">Uṣūl al-Fiqh, </w:t>
      </w:r>
      <w:r>
        <w:rPr>
          <w:rFonts w:ascii="Times New Roman" w:eastAsia="Times New Roman" w:hAnsi="Times New Roman" w:cs="Times New Roman"/>
          <w:color w:val="000000"/>
        </w:rPr>
        <w:t xml:space="preserve">Mesir: Dār al-Fikr al-Arabī, 1958. </w:t>
      </w:r>
    </w:p>
    <w:p w14:paraId="5CC9DD83" w14:textId="77777777" w:rsidR="00CB0793" w:rsidRDefault="008B1E52">
      <w:pPr>
        <w:pBdr>
          <w:top w:val="nil"/>
          <w:left w:val="nil"/>
          <w:bottom w:val="nil"/>
          <w:right w:val="nil"/>
          <w:between w:val="nil"/>
        </w:pBdr>
        <w:ind w:left="851"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Al- Āmidī, Saifuddīn Abī al-Husain Ali bin Abī Ali bin Muhammad, </w:t>
      </w:r>
      <w:r>
        <w:rPr>
          <w:rFonts w:ascii="Times New Roman" w:eastAsia="Times New Roman" w:hAnsi="Times New Roman" w:cs="Times New Roman"/>
          <w:i/>
          <w:color w:val="000000"/>
        </w:rPr>
        <w:t xml:space="preserve">Al-Iḥkām fī Uṣūl al-Aḥkām, </w:t>
      </w:r>
      <w:r>
        <w:rPr>
          <w:rFonts w:ascii="Times New Roman" w:eastAsia="Times New Roman" w:hAnsi="Times New Roman" w:cs="Times New Roman"/>
          <w:color w:val="000000"/>
        </w:rPr>
        <w:t xml:space="preserve"> Juz I, Ed. I; Lebanon: Dar al-Fikr, 1997. </w:t>
      </w:r>
    </w:p>
    <w:p w14:paraId="4743DA9C" w14:textId="77777777" w:rsidR="00CB0793" w:rsidRDefault="008B1E52">
      <w:pPr>
        <w:pBdr>
          <w:top w:val="nil"/>
          <w:left w:val="nil"/>
          <w:bottom w:val="nil"/>
          <w:right w:val="nil"/>
          <w:between w:val="nil"/>
        </w:pBdr>
        <w:ind w:left="720" w:hanging="720"/>
        <w:rPr>
          <w:rFonts w:ascii="Times" w:eastAsia="Times" w:hAnsi="Times" w:cs="Times"/>
          <w:color w:val="000000"/>
        </w:rPr>
      </w:pPr>
      <w:r>
        <w:rPr>
          <w:rFonts w:ascii="Times" w:eastAsia="Times" w:hAnsi="Times" w:cs="Times"/>
          <w:color w:val="000000"/>
        </w:rPr>
        <w:t xml:space="preserve">Devy, Soraya, dan Dwi Mekar Suci. “The Implementation of Verdict Execution on Providing Maḍiyah Maintenance Following Divorce According to Islamic Law (Case Study in Syar’iyyah Court Banda Aceh).” </w:t>
      </w:r>
      <w:r>
        <w:rPr>
          <w:rFonts w:ascii="Times" w:eastAsia="Times" w:hAnsi="Times" w:cs="Times"/>
          <w:i/>
          <w:color w:val="000000"/>
        </w:rPr>
        <w:t>Samarah: Jurnal Hukum Keluarga dan Hukum Islam</w:t>
      </w:r>
      <w:r>
        <w:rPr>
          <w:rFonts w:ascii="Times" w:eastAsia="Times" w:hAnsi="Times" w:cs="Times"/>
          <w:color w:val="000000"/>
        </w:rPr>
        <w:t xml:space="preserve"> 4, no. 2 (2020).</w:t>
      </w:r>
    </w:p>
    <w:p w14:paraId="11265B5B" w14:textId="77777777" w:rsidR="00CB0793" w:rsidRDefault="008B1E52">
      <w:pPr>
        <w:pBdr>
          <w:top w:val="nil"/>
          <w:left w:val="nil"/>
          <w:bottom w:val="nil"/>
          <w:right w:val="nil"/>
          <w:between w:val="nil"/>
        </w:pBdr>
        <w:ind w:left="720" w:hanging="720"/>
        <w:rPr>
          <w:rFonts w:ascii="Times" w:eastAsia="Times" w:hAnsi="Times" w:cs="Times"/>
          <w:color w:val="000000"/>
        </w:rPr>
      </w:pPr>
      <w:r>
        <w:rPr>
          <w:rFonts w:ascii="Times" w:eastAsia="Times" w:hAnsi="Times" w:cs="Times"/>
          <w:color w:val="000000"/>
        </w:rPr>
        <w:t xml:space="preserve">Djawas, Mursyid. “Implementasi Pengelolaan Zakat di Aceh.” </w:t>
      </w:r>
      <w:r>
        <w:rPr>
          <w:rFonts w:ascii="Times" w:eastAsia="Times" w:hAnsi="Times" w:cs="Times"/>
          <w:i/>
          <w:color w:val="000000"/>
        </w:rPr>
        <w:t>Mazahib</w:t>
      </w:r>
      <w:r>
        <w:rPr>
          <w:rFonts w:ascii="Times" w:eastAsia="Times" w:hAnsi="Times" w:cs="Times"/>
          <w:color w:val="000000"/>
        </w:rPr>
        <w:t xml:space="preserve"> 15, no. 1 (2016).</w:t>
      </w:r>
    </w:p>
    <w:p w14:paraId="078B6CE2" w14:textId="77777777" w:rsidR="00CB0793" w:rsidRDefault="008B1E52">
      <w:pPr>
        <w:pBdr>
          <w:top w:val="nil"/>
          <w:left w:val="nil"/>
          <w:bottom w:val="nil"/>
          <w:right w:val="nil"/>
          <w:between w:val="nil"/>
        </w:pBdr>
        <w:ind w:left="720" w:hanging="720"/>
        <w:rPr>
          <w:rFonts w:ascii="Times" w:eastAsia="Times" w:hAnsi="Times" w:cs="Times"/>
          <w:color w:val="000000"/>
        </w:rPr>
      </w:pPr>
      <w:r>
        <w:rPr>
          <w:rFonts w:ascii="Times" w:eastAsia="Times" w:hAnsi="Times" w:cs="Times"/>
          <w:color w:val="000000"/>
        </w:rPr>
        <w:lastRenderedPageBreak/>
        <w:t xml:space="preserve">Djawas, Mursyid, and Sri Astuti Abdul Samad. “Conflict, Traditional, and Family Resistance: The pattern of Dispute Resolution in Acehnese Community According to Islamic Law.” </w:t>
      </w:r>
      <w:r>
        <w:rPr>
          <w:rFonts w:ascii="Times" w:eastAsia="Times" w:hAnsi="Times" w:cs="Times"/>
          <w:i/>
          <w:color w:val="000000"/>
        </w:rPr>
        <w:t>Samarah: Jurnal Hukum Keluarga dan Hukum Islam</w:t>
      </w:r>
      <w:r>
        <w:rPr>
          <w:rFonts w:ascii="Times" w:eastAsia="Times" w:hAnsi="Times" w:cs="Times"/>
          <w:color w:val="000000"/>
        </w:rPr>
        <w:t xml:space="preserve"> 4, no. 1 (2020).</w:t>
      </w:r>
    </w:p>
    <w:p w14:paraId="0ADCBDC5" w14:textId="77777777" w:rsidR="00CB0793" w:rsidRDefault="008B1E52">
      <w:pPr>
        <w:pBdr>
          <w:top w:val="nil"/>
          <w:left w:val="nil"/>
          <w:bottom w:val="nil"/>
          <w:right w:val="nil"/>
          <w:between w:val="nil"/>
        </w:pBdr>
        <w:ind w:left="720" w:hanging="720"/>
        <w:rPr>
          <w:rFonts w:ascii="Times" w:eastAsia="Times" w:hAnsi="Times" w:cs="Times"/>
          <w:color w:val="000000"/>
        </w:rPr>
      </w:pPr>
      <w:r>
        <w:rPr>
          <w:rFonts w:ascii="Times" w:eastAsia="Times" w:hAnsi="Times" w:cs="Times"/>
          <w:color w:val="000000"/>
        </w:rPr>
        <w:t xml:space="preserve">Hanapi, Agustin, dan Edy Yuhermansyah. “Urgency of Marriage Registration for Women and Child Protection in Gayo Lues District.” </w:t>
      </w:r>
      <w:r>
        <w:rPr>
          <w:rFonts w:ascii="Times" w:eastAsia="Times" w:hAnsi="Times" w:cs="Times"/>
          <w:i/>
          <w:color w:val="000000"/>
        </w:rPr>
        <w:t>Samarah: Jurnal Hukum Keluarga dan Hukum Islam</w:t>
      </w:r>
      <w:r>
        <w:rPr>
          <w:rFonts w:ascii="Times" w:eastAsia="Times" w:hAnsi="Times" w:cs="Times"/>
          <w:color w:val="000000"/>
        </w:rPr>
        <w:t xml:space="preserve"> 4, no. 2 (2020).</w:t>
      </w:r>
    </w:p>
    <w:p w14:paraId="5168F3B9" w14:textId="77777777" w:rsidR="00CB0793" w:rsidRDefault="008B1E52">
      <w:pPr>
        <w:pBdr>
          <w:top w:val="nil"/>
          <w:left w:val="nil"/>
          <w:bottom w:val="nil"/>
          <w:right w:val="nil"/>
          <w:between w:val="nil"/>
        </w:pBdr>
        <w:ind w:left="720" w:hanging="720"/>
        <w:rPr>
          <w:rFonts w:ascii="Times" w:eastAsia="Times" w:hAnsi="Times" w:cs="Times"/>
          <w:color w:val="000000"/>
        </w:rPr>
      </w:pPr>
      <w:r>
        <w:rPr>
          <w:rFonts w:ascii="Times" w:eastAsia="Times" w:hAnsi="Times" w:cs="Times"/>
          <w:color w:val="000000"/>
        </w:rPr>
        <w:t xml:space="preserve">Hasballah, Khairuddin. “The Milk Al-Yamin Concept as a Validity of Sexual Relationship in a Modern Context: an Analysis of Muhammad Syahrur’s Thoughts.” </w:t>
      </w:r>
      <w:r>
        <w:rPr>
          <w:rFonts w:ascii="Times" w:eastAsia="Times" w:hAnsi="Times" w:cs="Times"/>
          <w:i/>
          <w:color w:val="000000"/>
        </w:rPr>
        <w:t>Samarah: Jurnal Hukum Keluarga dan Hukum Islam</w:t>
      </w:r>
      <w:r>
        <w:rPr>
          <w:rFonts w:ascii="Times" w:eastAsia="Times" w:hAnsi="Times" w:cs="Times"/>
          <w:color w:val="000000"/>
        </w:rPr>
        <w:t xml:space="preserve"> 4, no. 2 (2020).</w:t>
      </w:r>
    </w:p>
    <w:p w14:paraId="425AF326" w14:textId="77777777" w:rsidR="00CB0793" w:rsidRDefault="008B1E52">
      <w:pPr>
        <w:pBdr>
          <w:top w:val="nil"/>
          <w:left w:val="nil"/>
          <w:bottom w:val="nil"/>
          <w:right w:val="nil"/>
          <w:between w:val="nil"/>
        </w:pBdr>
        <w:ind w:left="720" w:hanging="720"/>
        <w:rPr>
          <w:rFonts w:ascii="Calibri" w:hAnsi="Calibri"/>
          <w:color w:val="000000"/>
        </w:rPr>
      </w:pPr>
      <w:r>
        <w:rPr>
          <w:rFonts w:ascii="Times" w:eastAsia="Times" w:hAnsi="Times" w:cs="Times"/>
          <w:color w:val="000000"/>
        </w:rPr>
        <w:t xml:space="preserve">Kasim, Fajri M, dan Abidin Nurdin. “Study of Sociological Law on Conflict Resolution Through Adat in Aceh Community According to Islamic Law.” </w:t>
      </w:r>
      <w:r>
        <w:rPr>
          <w:rFonts w:ascii="Times" w:eastAsia="Times" w:hAnsi="Times" w:cs="Times"/>
          <w:i/>
          <w:color w:val="000000"/>
        </w:rPr>
        <w:t>Samarah: Jurnal Hukum Keluarga dan Hukum Islam</w:t>
      </w:r>
      <w:r>
        <w:rPr>
          <w:rFonts w:ascii="Times" w:eastAsia="Times" w:hAnsi="Times" w:cs="Times"/>
          <w:color w:val="000000"/>
        </w:rPr>
        <w:t xml:space="preserve"> 4, no. 2 (2020).</w:t>
      </w:r>
    </w:p>
    <w:p w14:paraId="362EC4B5" w14:textId="77777777" w:rsidR="00CB0793" w:rsidRDefault="00CB0793">
      <w:pPr>
        <w:pBdr>
          <w:top w:val="nil"/>
          <w:left w:val="nil"/>
          <w:bottom w:val="nil"/>
          <w:right w:val="nil"/>
          <w:between w:val="nil"/>
        </w:pBdr>
        <w:ind w:left="720" w:hanging="720"/>
        <w:rPr>
          <w:rFonts w:ascii="Times" w:eastAsia="Times" w:hAnsi="Times" w:cs="Times"/>
          <w:color w:val="000000"/>
        </w:rPr>
      </w:pPr>
    </w:p>
    <w:sectPr w:rsidR="00CB0793">
      <w:headerReference w:type="even" r:id="rId11"/>
      <w:headerReference w:type="default" r:id="rId12"/>
      <w:footerReference w:type="default" r:id="rId13"/>
      <w:headerReference w:type="first" r:id="rId14"/>
      <w:footerReference w:type="first" r:id="rId15"/>
      <w:pgSz w:w="9979" w:h="14181"/>
      <w:pgMar w:top="1418" w:right="1134"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BC862" w14:textId="77777777" w:rsidR="00E90A2C" w:rsidRDefault="00E90A2C">
      <w:r>
        <w:separator/>
      </w:r>
    </w:p>
  </w:endnote>
  <w:endnote w:type="continuationSeparator" w:id="0">
    <w:p w14:paraId="2FA1B621" w14:textId="77777777" w:rsidR="00E90A2C" w:rsidRDefault="00E9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E1CA" w14:textId="77777777" w:rsidR="00CB0793" w:rsidRDefault="00CB0793">
    <w:pPr>
      <w:pBdr>
        <w:top w:val="nil"/>
        <w:left w:val="nil"/>
        <w:bottom w:val="nil"/>
        <w:right w:val="nil"/>
        <w:between w:val="nil"/>
      </w:pBdr>
      <w:tabs>
        <w:tab w:val="center" w:pos="4513"/>
        <w:tab w:val="right" w:pos="9026"/>
      </w:tabs>
      <w:rPr>
        <w:rFonts w:ascii="Times" w:eastAsia="Times" w:hAnsi="Times" w:cs="Times"/>
        <w:color w:val="000000"/>
        <w:sz w:val="20"/>
        <w:szCs w:val="20"/>
      </w:rPr>
    </w:pPr>
    <w:bookmarkStart w:id="2" w:name="_heading=h.30j0zll" w:colFirst="0" w:colLast="0"/>
    <w:bookmarkEnd w:id="2"/>
  </w:p>
  <w:p w14:paraId="5679DB06" w14:textId="77777777" w:rsidR="00CB0793" w:rsidRDefault="008B1E52">
    <w:pPr>
      <w:pBdr>
        <w:top w:val="nil"/>
        <w:left w:val="nil"/>
        <w:bottom w:val="nil"/>
        <w:right w:val="nil"/>
        <w:between w:val="nil"/>
      </w:pBdr>
      <w:tabs>
        <w:tab w:val="center" w:pos="4513"/>
        <w:tab w:val="right" w:pos="9026"/>
      </w:tabs>
      <w:rPr>
        <w:rFonts w:ascii="Times" w:eastAsia="Times" w:hAnsi="Times" w:cs="Times"/>
        <w:color w:val="000000"/>
        <w:sz w:val="20"/>
        <w:szCs w:val="20"/>
      </w:rPr>
    </w:pPr>
    <w:r>
      <w:rPr>
        <w:rFonts w:ascii="Times" w:eastAsia="Times" w:hAnsi="Times" w:cs="Times"/>
        <w:color w:val="000000"/>
        <w:sz w:val="20"/>
        <w:szCs w:val="20"/>
      </w:rPr>
      <w:t>http://jurnal.arraniry.ac.id/index.php/samarah</w:t>
    </w:r>
  </w:p>
  <w:p w14:paraId="1BD44A73" w14:textId="77777777" w:rsidR="00CB0793" w:rsidRDefault="00CB0793">
    <w:pPr>
      <w:pBdr>
        <w:top w:val="nil"/>
        <w:left w:val="nil"/>
        <w:bottom w:val="nil"/>
        <w:right w:val="nil"/>
        <w:between w:val="nil"/>
      </w:pBdr>
      <w:tabs>
        <w:tab w:val="center" w:pos="4513"/>
        <w:tab w:val="right" w:pos="9026"/>
      </w:tabs>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ECE6" w14:textId="77777777" w:rsidR="00CB0793" w:rsidRDefault="00CB0793">
    <w:pPr>
      <w:pBdr>
        <w:top w:val="nil"/>
        <w:left w:val="nil"/>
        <w:bottom w:val="nil"/>
        <w:right w:val="nil"/>
        <w:between w:val="nil"/>
      </w:pBdr>
      <w:tabs>
        <w:tab w:val="center" w:pos="4513"/>
        <w:tab w:val="right" w:pos="9026"/>
      </w:tabs>
      <w:rPr>
        <w:rFonts w:ascii="Times" w:eastAsia="Times" w:hAnsi="Times" w:cs="Times"/>
        <w:color w:val="000000"/>
        <w:sz w:val="20"/>
        <w:szCs w:val="20"/>
      </w:rPr>
    </w:pPr>
  </w:p>
  <w:tbl>
    <w:tblPr>
      <w:tblStyle w:val="1"/>
      <w:tblW w:w="7508"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2410"/>
      <w:gridCol w:w="2693"/>
    </w:tblGrid>
    <w:tr w:rsidR="00CB0793" w14:paraId="4AA651AC" w14:textId="77777777">
      <w:trPr>
        <w:jc w:val="center"/>
      </w:trPr>
      <w:tc>
        <w:tcPr>
          <w:tcW w:w="2405" w:type="dxa"/>
        </w:tcPr>
        <w:p w14:paraId="0E4B291F" w14:textId="77777777" w:rsidR="00CB0793" w:rsidRDefault="008B1E52">
          <w:pPr>
            <w:rPr>
              <w:sz w:val="20"/>
              <w:szCs w:val="20"/>
            </w:rPr>
          </w:pPr>
          <w:r>
            <w:rPr>
              <w:sz w:val="20"/>
              <w:szCs w:val="20"/>
            </w:rPr>
            <w:t xml:space="preserve">║ Submitted:             </w:t>
          </w:r>
        </w:p>
      </w:tc>
      <w:tc>
        <w:tcPr>
          <w:tcW w:w="2410" w:type="dxa"/>
        </w:tcPr>
        <w:p w14:paraId="74753D83" w14:textId="77777777" w:rsidR="00CB0793" w:rsidRDefault="008B1E52">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 Accepted:</w:t>
          </w:r>
        </w:p>
      </w:tc>
      <w:tc>
        <w:tcPr>
          <w:tcW w:w="2693" w:type="dxa"/>
        </w:tcPr>
        <w:p w14:paraId="50C5ADB8" w14:textId="77777777" w:rsidR="00CB0793" w:rsidRDefault="008B1E52">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║Published:</w:t>
          </w:r>
        </w:p>
      </w:tc>
    </w:tr>
  </w:tbl>
  <w:p w14:paraId="6998078D" w14:textId="77777777" w:rsidR="00CB0793" w:rsidRDefault="00CB0793">
    <w:pPr>
      <w:pBdr>
        <w:top w:val="nil"/>
        <w:left w:val="nil"/>
        <w:bottom w:val="nil"/>
        <w:right w:val="nil"/>
        <w:between w:val="nil"/>
      </w:pBdr>
      <w:tabs>
        <w:tab w:val="center" w:pos="4513"/>
        <w:tab w:val="right" w:pos="9026"/>
      </w:tabs>
      <w:rPr>
        <w:rFonts w:ascii="Times" w:eastAsia="Times" w:hAnsi="Times" w:cs="Times"/>
        <w:color w:val="000000"/>
        <w:sz w:val="20"/>
        <w:szCs w:val="20"/>
      </w:rPr>
    </w:pPr>
  </w:p>
  <w:p w14:paraId="0866A4C9" w14:textId="77777777" w:rsidR="00CB0793" w:rsidRDefault="008B1E52">
    <w:pPr>
      <w:pBdr>
        <w:top w:val="nil"/>
        <w:left w:val="nil"/>
        <w:bottom w:val="nil"/>
        <w:right w:val="nil"/>
        <w:between w:val="nil"/>
      </w:pBdr>
      <w:tabs>
        <w:tab w:val="center" w:pos="4513"/>
        <w:tab w:val="right" w:pos="9026"/>
      </w:tabs>
      <w:rPr>
        <w:rFonts w:ascii="Times" w:eastAsia="Times" w:hAnsi="Times" w:cs="Times"/>
        <w:color w:val="000000"/>
        <w:sz w:val="20"/>
        <w:szCs w:val="20"/>
      </w:rPr>
    </w:pPr>
    <w:r>
      <w:rPr>
        <w:rFonts w:ascii="Times" w:eastAsia="Times" w:hAnsi="Times" w:cs="Times"/>
        <w:color w:val="000000"/>
        <w:sz w:val="20"/>
        <w:szCs w:val="20"/>
      </w:rPr>
      <w:t>http://jurnal.arraniry.ac.id/index.php/samarah</w:t>
    </w:r>
  </w:p>
  <w:p w14:paraId="64CC7075" w14:textId="77777777" w:rsidR="00CB0793" w:rsidRDefault="008B1E52">
    <w:pPr>
      <w:pBdr>
        <w:top w:val="nil"/>
        <w:left w:val="nil"/>
        <w:bottom w:val="nil"/>
        <w:right w:val="nil"/>
        <w:between w:val="nil"/>
      </w:pBdr>
      <w:tabs>
        <w:tab w:val="center" w:pos="4513"/>
        <w:tab w:val="right" w:pos="9026"/>
      </w:tabs>
      <w:jc w:val="center"/>
      <w:rPr>
        <w:rFonts w:ascii="Calibri" w:hAnsi="Calibri"/>
        <w:color w:val="000000"/>
      </w:rPr>
    </w:pPr>
    <w:r>
      <w:rPr>
        <w:rFonts w:ascii="Calibri" w:hAnsi="Calibri"/>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A4FA4" w14:textId="77777777" w:rsidR="00E90A2C" w:rsidRDefault="00E90A2C">
      <w:r>
        <w:separator/>
      </w:r>
    </w:p>
  </w:footnote>
  <w:footnote w:type="continuationSeparator" w:id="0">
    <w:p w14:paraId="7A00C313" w14:textId="77777777" w:rsidR="00E90A2C" w:rsidRDefault="00E90A2C">
      <w:r>
        <w:continuationSeparator/>
      </w:r>
    </w:p>
  </w:footnote>
  <w:footnote w:id="1">
    <w:p w14:paraId="3006270B"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{"citationItems":[{"id":"ITEM-1","itemData":{"DOI":"10.24235/mahkamah.v6i2.9148","ISSN":"1693-5063","abstract":"… , dan beberapa dispensasi diantaranya diperbolehkan melakukan shalat jamak dan qashar … Dispensasi nikah bila bagi di bawah usia dibawah 19 tahun untuk pria dan 16 tahun untuk …","author":[{"dropping-particle":"","family":"Kosim","given":"Kosim","non-dropping-particle":"","parse-names":false,"suffix":""}],"container-title":"Mahkamah : Jurnal Kajian Hukum Islam","id":"ITEM-1","issue":"2","issued":{"date-parts":[["2021"]]},"title":"PENCATATAN PERKAWINAN DALAM KAJIAN TEORI MUSHLAHAH DAN HILAH","type":"article-journal","volume":"6"},"uris":["http://www.mendeley.com/documents/?uuid=52700b69-d275-39b0-a9da-3b1d1473d5f9"]}],"mendeley":{"formattedCitation":"Kosim Kosim, “PENCATATAN PERKAWINAN DALAM KAJIAN TEORI MUSHLAHAH DAN HILAH,” &lt;i&gt;Mahkamah : Jurnal Kajian Hukum Islam&lt;/i&gt; 6, no. 2 (2021), https://doi.org/10.24235/mahkamah.v6i2.9148.","plainTextFormattedCitation":"Kosim Kosim, “PENCATATAN PERKAWINAN DALAM KAJIAN TEORI MUSHLAHAH DAN HILAH,” Mahkamah : Jurnal Kajian Hukum Islam 6, no. 2 (2021), https://doi.org/10.24235/mahkamah.v6i2.9148.","previouslyFormattedCitation":"Kosim Kosim, “PENCATATAN PERKAWINAN DALAM KAJIAN TEORI MUSHLAHAH DAN HILAH,” &lt;i&gt;Mahkamah : Jurnal Kajian Hukum Islam&lt;/i&gt; 6, no. 2 (2021), https://doi.org/10.24235/mahkamah.v6i2.9148."},"properties":{"noteIndex":1},"schema":"https://github.com/citation-style-language/schema/raw/master/csl-citation.json"}</w:instrText>
      </w:r>
      <w:r>
        <w:fldChar w:fldCharType="separate"/>
      </w:r>
      <w:r w:rsidRPr="002E2420">
        <w:rPr>
          <w:noProof/>
        </w:rPr>
        <w:t xml:space="preserve">Kosim Kosim, “PENCATATAN PERKAWINAN DALAM KAJIAN TEORI MUSHLAHAH DAN HILAH,” </w:t>
      </w:r>
      <w:r w:rsidRPr="002E2420">
        <w:rPr>
          <w:i/>
          <w:noProof/>
        </w:rPr>
        <w:t>Mahkamah : Jurnal Kajian Hukum Islam</w:t>
      </w:r>
      <w:r w:rsidRPr="002E2420">
        <w:rPr>
          <w:noProof/>
        </w:rPr>
        <w:t xml:space="preserve"> 6, no. 2 (2021), https://doi.org/10.24235/mahkamah.v6i2.9148.</w:t>
      </w:r>
      <w:r>
        <w:fldChar w:fldCharType="end"/>
      </w:r>
    </w:p>
  </w:footnote>
  <w:footnote w:id="2">
    <w:p w14:paraId="7714A43D"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{"citationItems":[{"id":"ITEM-1","itemData":{"DOI":"10.22373/al-ijtimaiyyah.v7i1.9337","ISSN":"2654-5217","abstract":"Abstract: Marriage is a sacred worship (holy) which is very influential on human survival. Therefore, authentic evidence is needed, namely a marriage certificate issued by a special authority, the Office of Religious Affairs (KUA). The aim is as a form of legal protection for married husband and wife. Thus, security, justice, and welfare can be realized in the household. In fact, marriage registration is not one of the pillars and conditions of marriage in Islam, so it is considered not important for brides who want to get married. When viewed from an Islamic point of view, marriage is a form of worship that is considered to bring great mashlahah to every ummah. The purpose of this study was to determine the urgency of marriage registration based on istislahi reasoning. The method used in this research is normative juridical and with a social law research approach. In istislahi reasoning, marriage registration is considered to bring benefits to husbands, wives, and children. Therefore, marriage registration is mandatory for every bride and groom who wants to get married.Keywords: Marriage Registration; Marriage Law; Mashlahah.Abstrak: Perkawinan merupakan ibadah sakral (suci) yang sangat berdampak pada keberlangsungan kehidupan manusia. Oleh sebab itu, perlu adanya bukti yang autentik telah terjadinya suatu perkawinan yaitu akta nikah (marriage book) yang diberikan oleh lembaga khusus yang berwenang, Kantor Urusan Agama (KUA). Adapun tujuannya adalah untuk memberikan perlindungan hukum terhadap pasangan suami isteri yang telah menikah. Sehingga dapat terealisasinya keamanan, keadilan serta kesejahteraan di dalam rumah tangga. Akan tetapi pencatatan perkawinan bukanlah termasuk salah satu rukun dan syarat suatu terjadinya perkawinan dalam Islam, sehingga hal ini menjadi salah satu peluang bagi calon pengantin yang akan menikah lalu menghiraukan pencatatan perkawinan tersebut. Jika dilihat dari sudut pandang Islam, perkawinan merupakan salah satu ibadah yang dianggap dapat mendatangkan mashlahah yang besar bagi semua pihak. Adapun tujuan penelitian adalah untuk mengetahui urgensi dari pencatatan perkawinan berdasarkan penalaran istislahi. Metode penelitian adalah yuridis normative dengan pendekatan social legal reseach. Dalam penalaran istislahi bahwa pencatatan perkawinan akan mendatangkan kemaslahtan bagi suami dan isteri beserta anak-anaknya. Oleh sebab itu, pencatatan suatu perkawinan menjadi sesuatu yang wajib untuk dilaksanakan bagi setiap calon pas…","author":[{"dropping-particle":"","family":"Siregar","given":"Ahlun Nazi","non-dropping-particle":"","parse-names":false,"suffix":""},{"dropping-particle":"","family":"Arfan","given":"Abbas","non-dropping-particle":"","parse-names":false,"suffix":""},{"dropping-particle":"","family":"Yasin","given":"Noer","non-dropping-particle":"","parse-names":false,"suffix":""}],"container-title":"JURNAL AL-IJTIMAIYYAH","id":"ITEM-1","issue":"1","issued":{"date-parts":[["2021"]]},"title":"PENALARAN ISTISLAHI TERHADAP PENCATATAN PERKAWINAN","type":"article-journal","volume":"7"},"uris":["http://www.mendeley.com/documents/?uuid=c172e8cc-cc01-33a8-985e-a6f278cb7fa5"]}],"mendeley":{"formattedCitation":"Ahlun Nazi Siregar, Abbas Arfan, and Noer Yasin, “PENALARAN ISTISLAHI TERHADAP PENCATATAN PERKAWINAN,” &lt;i&gt;JURNAL AL-IJTIMAIYYAH&lt;/i&gt; 7, no. 1 (2021), https://doi.org/10.22373/al-ijtimaiyyah.v7i1.9337.","plainTextFormattedCitation":"Ahlun Nazi Siregar, Abbas Arfan, and Noer Yasin, “PENALARAN ISTISLAHI TERHADAP PENCATATAN PERKAWINAN,” JURNAL AL-IJTIMAIYYAH 7, no. 1 (2021), https://doi.org/10.22373/al-ijtimaiyyah.v7i1.9337.","previouslyFormattedCitation":"Ahlun Nazi Siregar, Abbas Arfan, and Noer Yasin, “PENALARAN ISTISLAHI TERHADAP PENCATATAN PERKAWINAN,” &lt;i&gt;JURNAL AL-IJTIMAIYYAH&lt;/i&gt; 7, no. 1 (2021), https://doi.org/10.22373/al-ijtimaiyyah.v7i1.9337."},"properties":{"noteIndex":2},"schema":"https://github.com/citation-style-language/schema/raw/master/csl-citation.json"}</w:instrText>
      </w:r>
      <w:r>
        <w:fldChar w:fldCharType="separate"/>
      </w:r>
      <w:r w:rsidRPr="00F00A1A">
        <w:rPr>
          <w:noProof/>
        </w:rPr>
        <w:t xml:space="preserve">Ahlun Nazi Siregar, Abbas Arfan, and Noer Yasin, “PENALARAN ISTISLAHI TERHADAP PENCATATAN PERKAWINAN,” </w:t>
      </w:r>
      <w:r w:rsidRPr="00F00A1A">
        <w:rPr>
          <w:i/>
          <w:noProof/>
        </w:rPr>
        <w:t>JURNAL AL-IJTIMAIYYAH</w:t>
      </w:r>
      <w:r w:rsidRPr="00F00A1A">
        <w:rPr>
          <w:noProof/>
        </w:rPr>
        <w:t xml:space="preserve"> 7, no. 1 (2021), https://doi.org/10.22373/al-ijtimaiyyah.v7i1.9337.</w:t>
      </w:r>
      <w:r>
        <w:fldChar w:fldCharType="end"/>
      </w:r>
    </w:p>
  </w:footnote>
  <w:footnote w:id="3">
    <w:p w14:paraId="6DEDB0CB"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{"citationItems":[{"id":"ITEM-1","itemData":{"DOI":"10.22373/sjhk.v4i2.7942","ISSN":"25493167","abstract":"Currently, marriages that are carried out in secret are synonymous with elopement and are not recorded in the Religious Affairs Office. The phenomenon of underage elopement, which the locals refer to as ‘naik’ (rising), is quite prevalent in Gayo Lues District. There have been six cases occurred already in one year. A pair of students who were still under 19 without the permission of their parents or the school deliberately went to a traditional leader, begging to be married off, while some others even dared to skip the administrative procedures and directly married, thinking that the procedures could be taken care of later. However, real-life is not as smooth as they expected, and so their marriage was not registered, eventually causing the women and children to be the victims. In this study, the focus is related the perspective of Islamic jurisprudence and legislation in Indonesia on marriage registration and the consequences for women and children when there is no marriage registration. This qualitative study used in-depth interviews, descriptive analysis methods, the empirical juridical approach and the normative juridical approach. The results of the study showed that students who eloped in high school generally no longer continued their studies because of shame and inferiority towards their friends. Marriage registration is handled by the State or the Government through statutory regulations in order to create orderly marriage in society.","author":[{"dropping-particle":"","family":"Hanapi","given":"Agustin","non-dropping-particle":"","parse-names":false,"suffix":""},{"dropping-particle":"","family":"Yuhermansyah","given":"Edi","non-dropping-particle":"","parse-names":false,"suffix":""}],"container-title":"Samarah","id":"ITEM-1","issue":"2","issued":{"date-parts":[["2020"]]},"page":"528-544","title":"Urgency of marriage registration for women and child protection in Gayo Lues District","type":"article-journal","volume":"4"},"uris":["http://www.mendeley.com/documents/?uuid=a6e895e8-397a-4210-9d94-4aedc2c0e2cd"]}],"mendeley":{"formattedCitation":"Agustin Hanapi and Edi Yuhermansyah, “Urgency of Marriage Registration for Women and Child Protection in Gayo Lues District,” &lt;i&gt;Samarah&lt;/i&gt; 4, no. 2 (2020): 528–44, https://doi.org/10.22373/sjhk.v4i2.7942.","plainTextFormattedCitation":"Agustin Hanapi and Edi Yuhermansyah, “Urgency of Marriage Registration for Women and Child Protection in Gayo Lues District,” Samarah 4, no. 2 (2020): 528–44, https://doi.org/10.22373/sjhk.v4i2.7942.","previouslyFormattedCitation":"Agustin Hanapi and Edi Yuhermansyah, “Urgency of Marriage Registration for Women and Child Protection in Gayo Lues District,” &lt;i&gt;Samarah&lt;/i&gt; 4, no. 2 (2020): 528–44, https://doi.org/10.22373/sjhk.v4i2.7942."},"properties":{"noteIndex":3},"schema":"https://github.com/citation-style-language/schema/raw/master/csl-citation.json"}</w:instrText>
      </w:r>
      <w:r>
        <w:fldChar w:fldCharType="separate"/>
      </w:r>
      <w:r w:rsidRPr="00D41A07">
        <w:rPr>
          <w:noProof/>
        </w:rPr>
        <w:t xml:space="preserve">Agustin Hanapi and Edi Yuhermansyah, “Urgency of Marriage Registration for Women and Child Protection in Gayo Lues District,” </w:t>
      </w:r>
      <w:r w:rsidRPr="00D41A07">
        <w:rPr>
          <w:i/>
          <w:noProof/>
        </w:rPr>
        <w:t>Samarah</w:t>
      </w:r>
      <w:r w:rsidRPr="00D41A07">
        <w:rPr>
          <w:noProof/>
        </w:rPr>
        <w:t xml:space="preserve"> 4, no. 2 (2020): 528–44, https://doi.org/10.22373/sjhk.v4i2.7942.</w:t>
      </w:r>
      <w:r>
        <w:fldChar w:fldCharType="end"/>
      </w:r>
    </w:p>
  </w:footnote>
  <w:footnote w:id="4">
    <w:p w14:paraId="52A446AB"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{"citationItems":[{"id":"ITEM-1","itemData":{"DOI":"10.33084/jhm.v8i2.3079","ISSN":"2407-3865","abstract":"Pernikahan dibawah tangan adalah pernikahan yang telah memenuhi unsur syarat dan rukun nikah, namun tidak dicatatkan pada lembaga resmi Pemerintah. Penulis sepakat dengan pendapat ulama klasik dan fatwa MUI. Perbedaan sikap antara Ulama Timur Tengah di Mesir dan Yordania dengan MUI, dilatarbelakangi berbagai faktor sosiologis di masing-masing Negara. Faktor sosiologis masyarakat Indonesia yang beragam adat-istiadat, budaya dan letak geografisnya tentunya memberi pengaruh terhadap interaksi sosial dan sikap keber-agamaan. Faktor sosiologis ini sesuai dengan kaidah fikih “taghaiyur al-fatwa bi taghaiyur al-azman wa al-makan” (berubahnya fatwa disebabkan perubahan zaman dan keadaan). Penulis berkesimpulan, bahwa pernikahan dibawah tangan di Indonesia hukumnya sah selama terpenuhi unsur syarat dan rukun nikah, karena masih banyak masyarakat muslim Indonesia yang berada di bahwa garis kemiskinan, hidup di daerah yang sangat terpencil, ditambah lagi aturan birokrasi perikahan dan poligami yang masih sulit. Namun dalam kondisi normal hukumnya haram, hal ini untuk menghindari mudharat yang berdampak negatif kepada pihak istri dan masa depan anak demi tercapainya kemashlahatan dalam kehidupan manusia. Maka pencatatan pernikahan menjadi sangat penting dan menjadi wajib dalam kondisi normal.","author":[{"dropping-particle":"","family":"Arisman","given":"Arisman","non-dropping-particle":"","parse-names":false,"suffix":""}],"container-title":"Jurnal Hadratul Madaniyah","id":"ITEM-1","issue":"2","issued":{"date-parts":[["2022"]]},"title":"FATWA MUI TENTANG NIKAH DIBAWAH TANGAN PERSPEKTIF SOSIOLOGI HUKUM ISLAM","type":"article-journal","volume":"8"},"uris":["http://www.mendeley.com/documents/?uuid=db4d8e6c-691b-3166-8c9f-8dd238121617"]}],"mendeley":{"formattedCitation":"Arisman Arisman, “FATWA MUI TENTANG NIKAH DIBAWAH TANGAN PERSPEKTIF SOSIOLOGI HUKUM ISLAM,” &lt;i&gt;Jurnal Hadratul Madaniyah&lt;/i&gt; 8, no. 2 (2022), https://doi.org/10.33084/jhm.v8i2.3079.","plainTextFormattedCitation":"Arisman Arisman, “FATWA MUI TENTANG NIKAH DIBAWAH TANGAN PERSPEKTIF SOSIOLOGI HUKUM ISLAM,” Jurnal Hadratul Madaniyah 8, no. 2 (2022), https://doi.org/10.33084/jhm.v8i2.3079.","previouslyFormattedCitation":"Arisman Arisman, “FATWA MUI TENTANG NIKAH DIBAWAH TANGAN PERSPEKTIF SOSIOLOGI HUKUM ISLAM,” &lt;i&gt;Jurnal Hadratul Madaniyah&lt;/i&gt; 8, no. 2 (2022), https://doi.org/10.33084/jhm.v8i2.3079."},"properties":{"noteIndex":4},"schema":"https://github.com/citation-style-language/schema/raw/master/csl-citation.json"}</w:instrText>
      </w:r>
      <w:r>
        <w:fldChar w:fldCharType="separate"/>
      </w:r>
      <w:r w:rsidRPr="002A08D0">
        <w:rPr>
          <w:noProof/>
        </w:rPr>
        <w:t xml:space="preserve">Arisman Arisman, “FATWA MUI TENTANG NIKAH DIBAWAH TANGAN PERSPEKTIF SOSIOLOGI HUKUM ISLAM,” </w:t>
      </w:r>
      <w:r w:rsidRPr="002A08D0">
        <w:rPr>
          <w:i/>
          <w:noProof/>
        </w:rPr>
        <w:t>Jurnal Hadratul Madaniyah</w:t>
      </w:r>
      <w:r w:rsidRPr="002A08D0">
        <w:rPr>
          <w:noProof/>
        </w:rPr>
        <w:t xml:space="preserve"> 8, no. 2 (2022), https://doi.org/10.33084/jhm.v8i2.3079.</w:t>
      </w:r>
      <w:r>
        <w:fldChar w:fldCharType="end"/>
      </w:r>
    </w:p>
  </w:footnote>
  <w:footnote w:id="5">
    <w:p w14:paraId="0337EFC2"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{"citationItems":[{"id":"ITEM-1","itemData":{"abstract":"Sepasang suami istri memiliki peran yang signifikan dalam menjalankan semua kewajiban rumah tangganya. Selain kewajiban yang dijalani, sepasang suami istri juga memiliki hak yang melekat pada keduanya. Oleh karena itu suami istri dituntut untuk menjalankan hak dan kewajiban secara adil dan berimbang. Penafsiran al-Quran tentang ayat yang menjelaskan tentang relevansi hak dan kewajiban suami istri tentu perlu dijelaskan dengan Hadits. relasi suami istri dalam pernikahan merupakan mitra yang sejajar dan bukan relasi subordinasi dari suami dan mengabaikan hak-hak istri. Karena itu istri memiliki hak-hak dalam rumah tangga, baik berkaitan dengan tempat tinggal, nafkah, maupun rasa aman. Sehingga dari konteks tersebut, perlu kita ketahui bagaimana relevansi antara tafsir ayat Al-Qur’an dan Hadits. Artikel ini memberikan kesimpulan bahwa pertama Relasi antara Hak dan Kewajiban Suami Istri dalam Rumah tangga menimbulkan beberapa hak dan kewajiban yang setara atas keduanya, di antaranya adalah hak Istri atas suami, Hak Suami atas Istri, dan Hak bersama. Kedua, penafsiran ayat ahkam dengan relevansinya terhadap Hadits ahkam tentang hak dan kewajiban suami dan Istri dalam hubungan rumah tangga dapat dibagi menjadi kewajiban suami yang menjadi hak istri dalam al-Qur’an disebutkan Bahwa suami harus memberi nafkah istri, memperlakukan istri dengan ma’ruf baik dalam sehari-hari maupun dalam menggaulinya ini sejalan dengan tafsir Hadits Asy ’ari bahwa suami mempunyai tanggung jawab penuh atas istri baik mengenai nafkah dan perlakukan kepadanya. Sedangkan kewajiban istri yang menjadi hak suami dalam al-Qur’an disebutkan ayat bahwa istri harus menjaga segala sesuatu yang berkenaan dengan milik suami, ini sejalan dengan tafsir Hadits tentang segala hal termasuk keluar rumah, berdandan, menggunakan harta, masalah perizinan haruslah meminta izin dahulu kepada suami karena suami merupakan ladang surga dan bisa menjadi lading neraka bagi seorang istri.","author":[{"dropping-particle":"","family":"Nurani","given":"Sifa Mulya","non-dropping-particle":"","parse-names":false,"suffix":""}],"container-title":"Al-Syakhsyiyyah Journal of Law and Family Studies","id":"ITEM-1","issue":"1","issued":{"date-parts":[["2021"]]},"title":"Relasi Hak dan Kewajiban Suami Istri dalam Perspektif Hukum Islam","type":"article-journal","volume":"3"},"uris":["http://www.mendeley.com/documents/?uuid=7528310a-59f8-3c2e-b60f-65de6dba7b65"]}],"mendeley":{"formattedCitation":"Sifa Mulya Nurani, “Relasi Hak Dan Kewajiban Suami Istri Dalam Perspektif Hukum Islam,” &lt;i&gt;Al-Syakhsyiyyah Journal of Law and Family Studies&lt;/i&gt; 3, no. 1 (2021).","plainTextFormattedCitation":"Sifa Mulya Nurani, “Relasi Hak Dan Kewajiban Suami Istri Dalam Perspektif Hukum Islam,” Al-Syakhsyiyyah Journal of Law and Family Studies 3, no. 1 (2021).","previouslyFormattedCitation":"Sifa Mulya Nurani, “Relasi Hak Dan Kewajiban Suami Istri Dalam Perspektif Hukum Islam,” &lt;i&gt;Al-Syakhsyiyyah Journal of Law and Family Studies&lt;/i&gt; 3, no. 1 (2021)."},"properties":{"noteIndex":5},"schema":"https://github.com/citation-style-language/schema/raw/master/csl-citation.json"}</w:instrText>
      </w:r>
      <w:r>
        <w:fldChar w:fldCharType="separate"/>
      </w:r>
      <w:r w:rsidRPr="00D406F4">
        <w:rPr>
          <w:noProof/>
        </w:rPr>
        <w:t xml:space="preserve">Sifa Mulya Nurani, “Relasi Hak Dan Kewajiban Suami Istri Dalam Perspektif Hukum Islam,” </w:t>
      </w:r>
      <w:r w:rsidRPr="00D406F4">
        <w:rPr>
          <w:i/>
          <w:noProof/>
        </w:rPr>
        <w:t>Al-Syakhsyiyyah Journal of Law and Family Studies</w:t>
      </w:r>
      <w:r w:rsidRPr="00D406F4">
        <w:rPr>
          <w:noProof/>
        </w:rPr>
        <w:t xml:space="preserve"> 3, no. 1 (2021).</w:t>
      </w:r>
      <w:r>
        <w:fldChar w:fldCharType="end"/>
      </w:r>
    </w:p>
  </w:footnote>
  <w:footnote w:id="6">
    <w:p w14:paraId="13F58C98"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{"citationItems":[{"id":"ITEM-1","itemData":{"DOI":"10.22373/hadhanah.v2i1.1567","ISSN":"2829-1042","abstract":"Some society assumed that all person who perform marriages under the hands or unregistered marriages are marriages that are carried out secretly without the knowledge of official officers, namely mariages record officer. Unregistered marriages become a problem in the community that can’t stop it soon, more harm than good. Unregistered marriages can also have a big impact on the consequences of the marriages law there is especially an bad effect on women and children. Now a days much of all still many unregistered marriages processed, because there are still many unofficial marriages with decision of false judge, therefore need for applicate the sanctions for the two perpetrators of unregistered marriages, in this case teh MPU Aceh have the create Fatwa about this problem one, so they must state a regulation to protect this habitual can not occur again in our community. Therefore, the researcher is interested in reviewing the application of sanctions for unregistered marriages perpetrators in MPU Aceh Fatwa No. 1 of 2010 concerning Siri Marriages. The research methods used are field research and literature research. The result in this study state that MPU Aceh applied sanctions for perpetrators of this series of marriages against false judge with imprisonment, the presence of false judge this unregistered marriages is viral now, therefore there needs to be sanctions applied. In the study of Maqasid Syar’iyah the recording of marriages agreements falls into the category of primary benefits of Daruriyat that can protect and maintain the benefit of religion, soul, reason, offspring, and property. Related to offspring, because with the recording, for women children benefif from the wife gets an inheritance and the child gets.","author":[{"dropping-particle":"","family":"Hanapi","given":"Agustin","non-dropping-particle":"","parse-names":false,"suffix":""},{"dropping-particle":"","family":"Mauliana","given":"Sudjah","non-dropping-particle":"","parse-names":false,"suffix":""}],"container-title":"El-Hadhanah : Indonesian Journal Of Family Law And Islamic Law","id":"ITEM-1","issue":"1","issued":{"date-parts":[["2022"]]},"page":"1-16","title":"Penerapan Sanksi Bagi Pelaku Nikah Siri Dalam Fatwa MPU Aceh Nomor 1 tahun 2010 Tentang Nikah Siri","type":"article-journal","volume":"2"},"uris":["http://www.mendeley.com/documents/?uuid=e737d6a4-d649-4275-9f3a-c3574abe8381"]}],"mendeley":{"formattedCitation":"Agustin Hanapi and Sudjah Mauliana, “Penerapan Sanksi Bagi Pelaku Nikah Siri Dalam Fatwa MPU Aceh Nomor 1 Tahun 2010 Tentang Nikah Siri,” &lt;i&gt;El-Hadhanah : Indonesian Journal Of Family Law And Islamic Law&lt;/i&gt; 2, no. 1 (2022): 1–16, https://doi.org/10.22373/hadhanah.v2i1.1567.","plainTextFormattedCitation":"Agustin Hanapi and Sudjah Mauliana, “Penerapan Sanksi Bagi Pelaku Nikah Siri Dalam Fatwa MPU Aceh Nomor 1 Tahun 2010 Tentang Nikah Siri,” El-Hadhanah : Indonesian Journal Of Family Law And Islamic Law 2, no. 1 (2022): 1–16, https://doi.org/10.22373/hadhanah.v2i1.1567.","previouslyFormattedCitation":"Agustin Hanapi and Sudjah Mauliana, “Penerapan Sanksi Bagi Pelaku Nikah Siri Dalam Fatwa MPU Aceh Nomor 1 Tahun 2010 Tentang Nikah Siri,” &lt;i&gt;El-Hadhanah : Indonesian Journal Of Family Law And Islamic Law&lt;/i&gt; 2, no. 1 (2022): 1–16, https://doi.org/10.22373/hadhanah.v2i1.1567."},"properties":{"noteIndex":6},"schema":"https://github.com/citation-style-language/schema/raw/master/csl-citation.json"}</w:instrText>
      </w:r>
      <w:r>
        <w:fldChar w:fldCharType="separate"/>
      </w:r>
      <w:r w:rsidRPr="00982DBE">
        <w:rPr>
          <w:noProof/>
        </w:rPr>
        <w:t xml:space="preserve">Agustin Hanapi and Sudjah Mauliana, “Penerapan Sanksi Bagi Pelaku Nikah Siri Dalam Fatwa MPU Aceh Nomor 1 Tahun 2010 Tentang Nikah Siri,” </w:t>
      </w:r>
      <w:r w:rsidRPr="00982DBE">
        <w:rPr>
          <w:i/>
          <w:noProof/>
        </w:rPr>
        <w:t>El-Hadhanah : Indonesian Journal Of Family Law And Islamic Law</w:t>
      </w:r>
      <w:r w:rsidRPr="00982DBE">
        <w:rPr>
          <w:noProof/>
        </w:rPr>
        <w:t xml:space="preserve"> 2, no. 1 (2022): 1–16, https://doi.org/10.22373/hadhanah.v2i1.1567.</w:t>
      </w:r>
      <w:r>
        <w:fldChar w:fldCharType="end"/>
      </w:r>
    </w:p>
  </w:footnote>
  <w:footnote w:id="7">
    <w:p w14:paraId="4E1F4FA7"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{"citationItems":[{"id":"ITEM-1","itemData":{"DOI":"10.24014/jhi.v22i1.13798","ISSN":"1411-8041","abstract":"Indonesia strictly regulates polygamy procedures, which triggers many people to use secret marriage methods in second marriages. Of the cases that have been brought to court, the sanctions imposed have always been based on Article 279 of the Criminal Code regarding illegal polygamy. In fact, if studied further, this decision has a major impact on the recognition of the existence of secret marital status which should not be considered by the state. By using a conceptual approach through Jasser Auda's perspective, this study shows that the status of secret polygamy committed by the perpetrators cannot be said to be legal, and the appropriate sanctions to punish the perpetrators should be based on Article 284 of the Criminal Code regarding infidelity.","author":[{"dropping-particle":"","family":"Wardani","given":"Galuh Retno Setyo","non-dropping-particle":"","parse-names":false,"suffix":""},{"dropping-particle":"","family":"Hidayah","given":"Khoirul","non-dropping-particle":"","parse-names":false,"suffix":""}],"container-title":"Hukum Islam","id":"ITEM-1","issue":"1","issued":{"date-parts":[["2022"]]},"page":"95","title":"Sanksi Pidana Pelaku Poligami Siri Di Indonesia Perspektif Maqashid Syari’Ah Jasser Auda","type":"article-journal","volume":"22"},"uris":["http://www.mendeley.com/documents/?uuid=c136f963-1c59-4241-8699-b3b3b4ad67fc"]}],"mendeley":{"formattedCitation":"Galuh Retno Setyo Wardani and Khoirul Hidayah, “Sanksi Pidana Pelaku Poligami Siri Di Indonesia Perspektif Maqashid Syari’Ah Jasser Auda,” &lt;i&gt;Hukum Islam&lt;/i&gt; 22, no. 1 (2022): 95, https://doi.org/10.24014/jhi.v22i1.13798.","plainTextFormattedCitation":"Galuh Retno Setyo Wardani and Khoirul Hidayah, “Sanksi Pidana Pelaku Poligami Siri Di Indonesia Perspektif Maqashid Syari’Ah Jasser Auda,” Hukum Islam 22, no. 1 (2022): 95, https://doi.org/10.24014/jhi.v22i1.13798.","previouslyFormattedCitation":"Galuh Retno Setyo Wardani and Khoirul Hidayah, “Sanksi Pidana Pelaku Poligami Siri Di Indonesia Perspektif Maqashid Syari’Ah Jasser Auda,” &lt;i&gt;Hukum Islam&lt;/i&gt; 22, no. 1 (2022): 95, https://doi.org/10.24014/jhi.v22i1.13798."},"properties":{"noteIndex":7},"schema":"https://github.com/citation-style-language/schema/raw/master/csl-citation.json"}</w:instrText>
      </w:r>
      <w:r>
        <w:fldChar w:fldCharType="separate"/>
      </w:r>
      <w:r w:rsidRPr="004B7B83">
        <w:rPr>
          <w:noProof/>
        </w:rPr>
        <w:t xml:space="preserve">Galuh Retno Setyo Wardani and Khoirul Hidayah, “Sanksi Pidana Pelaku Poligami Siri Di Indonesia Perspektif Maqashid Syari’Ah Jasser Auda,” </w:t>
      </w:r>
      <w:r w:rsidRPr="004B7B83">
        <w:rPr>
          <w:i/>
          <w:noProof/>
        </w:rPr>
        <w:t>Hukum Islam</w:t>
      </w:r>
      <w:r w:rsidRPr="004B7B83">
        <w:rPr>
          <w:noProof/>
        </w:rPr>
        <w:t xml:space="preserve"> 22, no. 1 (2022): 95, https://doi.org/10.24014/jhi.v22i1.13798.</w:t>
      </w:r>
      <w:r>
        <w:fldChar w:fldCharType="end"/>
      </w:r>
    </w:p>
  </w:footnote>
  <w:footnote w:id="8">
    <w:p w14:paraId="223F9F7F"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{"citationItems":[{"id":"ITEM-1","itemData":{"DOI":"10.22373/taujih.v2i2.6530","ISSN":"2598-585X","abstract":"ABSTRAKNikah siri merupakan perkawinan yang dilaksanakan sesuai dengan rukun syarat nikah menurut agama Islam tetapi tidak dicatatkan di Kantor Urusan Agama seperti yang diatur dalam Undang-undang Perkawinan Nomor 1 Tahun 1974 pasal 2 ayat 2. Perkawinan dibawah tangan akan membawa perilaku tidak baik terhadap keluarga, bermasalah hukum bagi anak yang dilahirkan, terhadap harta benda dan pasangan suami istri tersebut, karena nikah siri tidak mempunyai bukti yang autentik sehingga perkawinan tersebut tidak mempunyai kekuatan hukum, Maka munculah penelitian tentang Dampak Nikah Siri terhadap Perilaku Keluarga, Permasalahan yang dikaji adalah,  Apa itu nikah siri dan bagaimana dampak nikah siri terhadap perilaku keluarga. Hasil penelitian menunjukkan bahwa yang dimaksud dengan nikah siri adalah nikah yang dilakukan diluar Kantor Urusan Agama, artinya pernikahan ini dilakukan tidak berdasarkan hukum negara tetapi pernikahan ini dilakukan berdasarkan hukum syari’at Islam.Dampak  Nikah siri terhadap perilaku keluarga antara lain hilang tanggung jawab, sulit terjadi keharmonisan dalam keluarga, tidak saling menghormati, berbeda kasih sayang terhadap anak, .Dampak nikah siri bagi anak dan istri adalah: Anak itu tidak diakui oleh negara menurut UUD. Anak itu secara hukum dia tidak bisa mendapatkan hak waris. Tidak memiliki akte. Dampak yang lebih fatal apabila ada kasus hukum maka tidak punya kekuatan hukum yang mengikat bagi anggota keluarga karena dia tidak punya bukti autentik tentang nikah nya yang diakui oleh negara.Kata Kunci: Nikah Siri dan Perilaku Keluarga","author":[{"dropping-particle":"","family":"M. Yusuf","given":"M. Yusuf","non-dropping-particle":"","parse-names":false,"suffix":""}],"container-title":"At-Taujih : Bimbingan dan Konseling Islam","id":"ITEM-1","issue":"2","issued":{"date-parts":[["2020"]]},"title":"DAMPAK NIKAH SIRI TERHADAP PERILAKU KELUARGA","type":"article-journal","volume":"2"},"uris":["http://www.mendeley.com/documents/?uuid=ad56796e-1440-3a25-b180-1995e0491f94"]}],"mendeley":{"formattedCitation":"M. Yusuf M. Yusuf, “DAMPAK NIKAH SIRI TERHADAP PERILAKU KELUARGA,” &lt;i&gt;At-Taujih : Bimbingan Dan Konseling Islam&lt;/i&gt; 2, no. 2 (2020), https://doi.org/10.22373/taujih.v2i2.6530.","plainTextFormattedCitation":"M. Yusuf M. Yusuf, “DAMPAK NIKAH SIRI TERHADAP PERILAKU KELUARGA,” At-Taujih : Bimbingan Dan Konseling Islam 2, no. 2 (2020), https://doi.org/10.22373/taujih.v2i2.6530.","previouslyFormattedCitation":"M. Yusuf M. Yusuf, “DAMPAK NIKAH SIRI TERHADAP PERILAKU KELUARGA,” &lt;i&gt;At-Taujih : Bimbingan Dan Konseling Islam&lt;/i&gt; 2, no. 2 (2020), https://doi.org/10.22373/taujih.v2i2.6530."},"properties":{"noteIndex":8},"schema":"https://github.com/citation-style-language/schema/raw/master/csl-citation.json"}</w:instrText>
      </w:r>
      <w:r>
        <w:fldChar w:fldCharType="separate"/>
      </w:r>
      <w:r w:rsidRPr="002A08D0">
        <w:rPr>
          <w:noProof/>
        </w:rPr>
        <w:t xml:space="preserve">M. Yusuf M. Yusuf, “DAMPAK NIKAH SIRI TERHADAP PERILAKU KELUARGA,” </w:t>
      </w:r>
      <w:r w:rsidRPr="002A08D0">
        <w:rPr>
          <w:i/>
          <w:noProof/>
        </w:rPr>
        <w:t>At-Taujih : Bimbingan Dan Konseling Islam</w:t>
      </w:r>
      <w:r w:rsidRPr="002A08D0">
        <w:rPr>
          <w:noProof/>
        </w:rPr>
        <w:t xml:space="preserve"> 2, no. 2 (2020), https://doi.org/10.22373/taujih.v2i2.6530.</w:t>
      </w:r>
      <w:r>
        <w:fldChar w:fldCharType="end"/>
      </w:r>
    </w:p>
  </w:footnote>
  <w:footnote w:id="9">
    <w:p w14:paraId="7DD69F34"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{"citationItems":[{"id":"ITEM-1","itemData":{"DOI":"10.31102/alulum.9.3.2022.219-230","ISSN":"2549-3833","abstract":"Nikah Sirri is a phenomenon that often occurs in the midst of society, this occurs from several factors such as the absence of fees for formal marriage, not being old enough and other obstacles that make this phenomenon interesting to study and investigate more deeply. The method used in this research is to use a qualitative approach with descriptive type, data collection techniques used are interviews and documentation. The subject of his research with several communities in East Karawang. The results showed that the reasons why people in East Karawang did unregistered marriages were due to strict polygamy permits, age factors, official/work/school ties, other parties and even families who did not approve of the marriage, there were hereditary problems so that the wife could not be blessed with children, and In the case of the inheritance of a child born from an unregistered marriage or a wife who is married in an unregistered marriage, it will be difficult to claim their rights, because there is no evidence that shows there is a legal relationship between the child and the siri father or the wife and her husband. Based on the results of this study, it is recommended to the community, so that offspring can be registered before government law, it is better if the siri marriage should be carried out if it is urgent, and immediately raised to the KUA, so that the position of the child from the marriage can be recorded by the government.","author":[{"dropping-particle":"","family":"Lestari","given":"Diana Yuni","non-dropping-particle":"","parse-names":false,"suffix":""},{"dropping-particle":"","family":"Permana","given":"Hinggil","non-dropping-particle":"","parse-names":false,"suffix":""}],"container-title":"Al-Ulum Jurnal Pemikiran dan Penelitian ke Islaman","id":"ITEM-1","issue":"4","issued":{"date-parts":[["2022"]]},"page":"348-359","title":"Persepsi Masyarakat Karawang Timur Tentang Nikah Siri Dan Dampak Dari Nikah Siri","type":"article-journal","volume":"9"},"uris":["http://www.mendeley.com/documents/?uuid=d61fd4a9-64dc-4004-9248-18bee8e61795"]}],"mendeley":{"formattedCitation":"Diana Yuni Lestari and Hinggil Permana, “Persepsi Masyarakat Karawang Timur Tentang Nikah Siri Dan Dampak Dari Nikah Siri,” &lt;i&gt;Al-Ulum Jurnal Pemikiran Dan Penelitian Ke Islaman&lt;/i&gt; 9, no. 4 (2022): 348–59, https://doi.org/10.31102/alulum.9.3.2022.219-230.","plainTextFormattedCitation":"Diana Yuni Lestari and Hinggil Permana, “Persepsi Masyarakat Karawang Timur Tentang Nikah Siri Dan Dampak Dari Nikah Siri,” Al-Ulum Jurnal Pemikiran Dan Penelitian Ke Islaman 9, no. 4 (2022): 348–59, https://doi.org/10.31102/alulum.9.3.2022.219-230."},"properties":{"noteIndex":9},"schema":"https://github.com/citation-style-language/schema/raw/master/csl-citation.json"}</w:instrText>
      </w:r>
      <w:r>
        <w:fldChar w:fldCharType="separate"/>
      </w:r>
      <w:r w:rsidRPr="006D2C07">
        <w:rPr>
          <w:noProof/>
        </w:rPr>
        <w:t xml:space="preserve">Diana Yuni Lestari and Hinggil Permana, “Persepsi Masyarakat Karawang Timur Tentang Nikah Siri Dan Dampak Dari Nikah Siri,” </w:t>
      </w:r>
      <w:r w:rsidRPr="006D2C07">
        <w:rPr>
          <w:i/>
          <w:noProof/>
        </w:rPr>
        <w:t>Al-Ulum Jurnal Pemikiran Dan Penelitian Ke Islaman</w:t>
      </w:r>
      <w:r w:rsidRPr="006D2C07">
        <w:rPr>
          <w:noProof/>
        </w:rPr>
        <w:t xml:space="preserve"> 9, no. 4 (2022): 348–59, https://doi.org/10.31102/alulum.9.3.2022.219-230.</w:t>
      </w:r>
      <w:r>
        <w:fldChar w:fldCharType="end"/>
      </w:r>
    </w:p>
  </w:footnote>
  <w:footnote w:id="10">
    <w:p w14:paraId="2DA68674"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{"citationItems":[{"id":"ITEM-1","itemData":{"DOI":"10.20961/jolsic.v9i1.52111","abstract":"&lt;p&gt;Kebanyakan orang meyakini bahwa perkawinan dibawah tangan dianggap sah menurut hukum islam apabila telah memenuhi rukun dan syarat-syartnya, sekalipun perkawinan tersebut tidak dicatakan di Kantor Urusan Agama (KUA). Akibat dari pemahaman tersebut timbulah dualisme hukum yang  ada di negara Indonesia ini, yaitu disatu sisi perkawinan itu harus dicatatkan di Kantor Urusan Agama dan disisi lain perkawinan tanpa dicatatpun tetap berlaku dan diakui oleh masyarakat. Penelitian ini bertujuan untuk mengetahui dan menganalisis tentang peranan Kantor Urusan Agama dalam mengatasi perkawinan dibawah tangan dan untuk mengetahui kendala apa saja yang dihadapi Kantor Urusan Agama dalam mengatasi perkawinan dibawah tangan. Penelitian ini menggunakan hukum sosiologis atau empiris biasa  juga disebut dengan penelitian lapangan. Sumber data yang digunakan adalah sumber data primer dan sekunder. Hasil Penelitian menunjukan bahwa Peranan Kantor Urusan Agama (KUA) Pasar Kliwon Surakarta dalam mengatasi perkawinan dibawah tangan meliputi, &lt;em&gt;Pertama&lt;/em&gt; melakukan kegiatan penyuluhan terkait Pencatatan Pernikahan dan Keluarga Bahagia yang dilakukan oleh Badan Penasehat Pembinaan dan Pelestarian Perkawinan (BP4) di Kantor Urusan Agama (KUA) kepada calon pengantin, &lt;em&gt;Kedua &lt;/em&gt;menggencarkan sosialisasi manfaat pencatatan pernikahan dan dampak negatif terkait keberlangsungan keluarganya kelak melalui pengajian yang diselenggarakan oleh Departemen Agama di tingkat kecamatan. Kendala yang dialami oleh  Kantor Urusan Agama (KUA) dalam mengatasi perkawinan dibawah tangan di Kecamatan Pasar Kliwon adalah, &lt;em&gt;Pertama &lt;/em&gt;karena adanya Anggapan Masyarakat Bahwa Pencatatan perkawinan di KUA Hanya Sekedar Pencatatan Adminstrasi saja, &lt;em&gt;Kedua &lt;/em&gt;Perkawinan dibawah tangan dianggap cukup dan diakui oleh masyarakat sekitar&lt;/p&gt;","author":[{"dropping-particle":"","family":"Gibran","given":"Ananda Muhammaad Khalil","non-dropping-particle":"","parse-names":false,"suffix":""}],"container-title":"Journal of Law, Society, and Islamic Civilization","id":"ITEM-1","issue":"1","issued":{"date-parts":[["2021"]]},"title":"Peranan Kantor Urusan Agama dalam Mengatasi Perkawinan Dibawah Tangan","type":"article-journal","volume":"9"},"uris":["http://www.mendeley.com/documents/?uuid=07cd8256-8a1f-3b8e-99f0-9118d8786702"]}],"mendeley":{"formattedCitation":"Ananda Muhammaad Khalil Gibran, “Peranan Kantor Urusan Agama Dalam Mengatasi Perkawinan Dibawah Tangan,” &lt;i&gt;Journal of Law, Society, and Islamic Civilization&lt;/i&gt; 9, no. 1 (2021), https://doi.org/10.20961/jolsic.v9i1.52111.","plainTextFormattedCitation":"Ananda Muhammaad Khalil Gibran, “Peranan Kantor Urusan Agama Dalam Mengatasi Perkawinan Dibawah Tangan,” Journal of Law, Society, and Islamic Civilization 9, no. 1 (2021), https://doi.org/10.20961/jolsic.v9i1.52111.","previouslyFormattedCitation":"Ananda Muhammaad Khalil Gibran, “Peranan Kantor Urusan Agama Dalam Mengatasi Perkawinan Dibawah Tangan,” &lt;i&gt;Journal of Law, Society, and Islamic Civilization&lt;/i&gt; 9, no. 1 (2021), https://doi.org/10.20961/jolsic.v9i1.52111."},"properties":{"noteIndex":10},"schema":"https://github.com/citation-style-language/schema/raw/master/csl-citation.json"}</w:instrText>
      </w:r>
      <w:r>
        <w:fldChar w:fldCharType="separate"/>
      </w:r>
      <w:r w:rsidRPr="00631F01">
        <w:rPr>
          <w:noProof/>
        </w:rPr>
        <w:t xml:space="preserve">Ananda Muhammaad Khalil Gibran, “Peranan Kantor Urusan Agama Dalam Mengatasi Perkawinan Dibawah Tangan,” </w:t>
      </w:r>
      <w:r w:rsidRPr="00631F01">
        <w:rPr>
          <w:i/>
          <w:noProof/>
        </w:rPr>
        <w:t>Journal of Law, Society, and Islamic Civilization</w:t>
      </w:r>
      <w:r w:rsidRPr="00631F01">
        <w:rPr>
          <w:noProof/>
        </w:rPr>
        <w:t xml:space="preserve"> 9, no. 1 (2021), https://doi.org/10.20961/jolsic.v9i1.52111.</w:t>
      </w:r>
      <w:r>
        <w:fldChar w:fldCharType="end"/>
      </w:r>
    </w:p>
  </w:footnote>
  <w:footnote w:id="11">
    <w:p w14:paraId="6880CDA8"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{"citationItems":[{"id":"ITEM-1","itemData":{"DOI":"10.30984/ajifl.v3i1.2384","ISSN":"2809-2805","abstract":"Marriage under the hands is a form of marriage that has become a fashion that arises and develops secretly in some Indonesian Islamic communities. They try to avoid the bureaucratic and convoluted system and manner of regulating the implementation of marriage and the length of its management or deliberately keep the marriage secret because of polygamy. For this reason, they take their way that does not contradict Islamic law. So that the formulation of the problem in this study is How is the legal legality of unrecorded marriages? This research method is normative juridical. The results of this study found that the practice of marriage that occurs in the community only partially refers to the law. Because some societies carry out the course of marriage referring to the norms of the Islamic law that allow serial marriage (marriage under the hand) and not positive state law as an authoritative reference, therefore, it is necessary to have legal awareness of the entire Muslim community about the nature of Islamic marriage so that there is no longer a narrow understanding and awareness that views marriage only to legalize sexual relations. Keywords: Legality; Marriage; Underhand. ABSTRAK Perkawinan dibawah tangan merupakan bentuk perkawinan yang telah merupakan mode masa kini yang timbul dan berkembang diam-diam pada sebagian masyarakat Islam Indonesia. Mereka berusaha menghindari diri dari system dan cara pengaturan pelaksanaan perkawinan yang birokratis dan berbelit-belit serta lama pengurusannya atau secara sengaja merahasiakan perkawinan karena poligami. Untuk itu mereka menempuh cara sendiri yang tidak bertentangan dengan hukum Islam. Sehingga rumusan masalah dalam penelitian ini adalah Bagaimana legalitas hukum terhadap perkawinan yang tidak tercatat Metode penelitian ini adalah yuridis normatif. Hasil penelitian ini menemukan bahwa praktik perkawinan yang terjadi dilingkungan masyarakat tidak sepenuhnya mengacu kepada undang-undang. Karena sebagian masyarakat melangsungkan praktik perkawinan mengacu pada norma hukum Islam yang mengijinkan perkawinan siri dan bukan hukum positif negara sebagai acuan otoritatif. Oleh karena itu, perlunya kesadaran hukum seluruh masyarakat muslim akan hakikat pernikahan Islam, sehingga tidak tumbuh lagi pemahaman dan kesadaran sempit yang memandang pernikahan hanya untuk melegalkan hubungan badan semata.","author":[{"dropping-particle":"","family":"Rasyid","given":"Serpin","non-dropping-particle":"","parse-names":false,"suffix":""},{"dropping-particle":"","family":"B.","given":"Sumiyati","non-dropping-particle":"","parse-names":false,"suffix":""},{"dropping-particle":"","family":"Darmawati","given":"Darmawati","non-dropping-particle":"","parse-names":false,"suffix":""}],"container-title":"Al-Mujtahid: Journal of Islamic Family Law","id":"ITEM-1","issue":"1","issued":{"date-parts":[["2023"]]},"page":"25","title":"Upaya Legalitas Pernikahan Dibawah Tangan di Buntulia, Kabupaten Pohuwato","type":"article-journal","volume":"3"},"uris":["http://www.mendeley.com/documents/?uuid=9e1b988e-9c47-4e14-9ad9-0518f897ce7a"]}],"mendeley":{"formattedCitation":"Serpin Rasyid, Sumiyati B., and Darmawati Darmawati, “Upaya Legalitas Pernikahan Dibawah Tangan Di Buntulia, Kabupaten Pohuwato,” &lt;i&gt;Al-Mujtahid: Journal of Islamic Family Law&lt;/i&gt; 3, no. 1 (2023): 25, https://doi.org/10.30984/ajifl.v3i1.2384.","plainTextFormattedCitation":"Serpin Rasyid, Sumiyati B., and Darmawati Darmawati, “Upaya Legalitas Pernikahan Dibawah Tangan Di Buntulia, Kabupaten Pohuwato,” Al-Mujtahid: Journal of Islamic Family Law 3, no. 1 (2023): 25, https://doi.org/10.30984/ajifl.v3i1.2384.","previouslyFormattedCitation":"Serpin Rasyid, Sumiyati B., and Darmawati Darmawati, “Upaya Legalitas Pernikahan Dibawah Tangan Di Buntulia, Kabupaten Pohuwato,” &lt;i&gt;Al-Mujtahid: Journal of Islamic Family Law&lt;/i&gt; 3, no. 1 (2023): 25, https://doi.org/10.30984/ajifl.v3i1.2384."},"properties":{"noteIndex":11},"schema":"https://github.com/citation-style-language/schema/raw/master/csl-citation.json"}</w:instrText>
      </w:r>
      <w:r>
        <w:fldChar w:fldCharType="separate"/>
      </w:r>
      <w:r w:rsidRPr="00CF0ACE">
        <w:rPr>
          <w:noProof/>
        </w:rPr>
        <w:t xml:space="preserve">Serpin Rasyid, Sumiyati B., and Darmawati Darmawati, “Upaya Legalitas Pernikahan Dibawah Tangan Di Buntulia, Kabupaten Pohuwato,” </w:t>
      </w:r>
      <w:r w:rsidRPr="00CF0ACE">
        <w:rPr>
          <w:i/>
          <w:noProof/>
        </w:rPr>
        <w:t>Al-Mujtahid: Journal of Islamic Family Law</w:t>
      </w:r>
      <w:r w:rsidRPr="00CF0ACE">
        <w:rPr>
          <w:noProof/>
        </w:rPr>
        <w:t xml:space="preserve"> 3, no. 1 (2023): 25, https://doi.org/10.30984/ajifl.v3i1.2384.</w:t>
      </w:r>
      <w:r>
        <w:fldChar w:fldCharType="end"/>
      </w:r>
    </w:p>
  </w:footnote>
  <w:footnote w:id="12">
    <w:p w14:paraId="305E84BE"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{"citationItems":[{"id":"ITEM-1","itemData":{"DOI":"10.35961/jppmkepri.v1i1.170","ISSN":"2775-0361","abstract":"ABSTRAK\r             Pengabdian kepada masyarakat dalam bentuk penyuluhan hukum dilakukan sebagai sosialisasi atas surat edaran Dirjen Bimas Islam No. P-003 Perubahan SE Dirjen Bimas Islam No. P-002 tentang pelaksanaan protokol penanganan Covid-19 pada area publik di lingkungan Direktoral Jenderal Bimbingan Masyarakat Islam. Diantara salah satu ketentuannya mengatakan bahwa permohonan pelaksanaan akad nikah di masa darurat Covid-19 untuk pendaftaran baru tidak dilayani serta meminta masyarakat untuk menunda pelaksanaannya. Regulasi ini berdampak pada kondisi calon pasangan pengantin yang mengalami kekecewaan. Diantaranya adalah kerugian materi karena banyak calon pengantin yang sudah mempersiapkan segala persiapan pernikahan secara maksimal. Mulai dari pemesanan gedung pernikahan, catering, dan tenda serta baju pengantin. Akibat dari regulasi ini, banyak juga calon pengantin yang tetap ingin melangsungkan pernikahan via online.Penyuluhan hukum ini bermanfaat untuk memberikan pemahaman kepada masyarakat tentang dampak hukum nikah sirri online. Oleh karena itu, penyuluhan ini tetap dipilih dan dilaksanakan di Tanjungpinang, khususnya   pada jama’ah mushalla Nurul Mubin Jl. Adi Sucipto Batu 10 Perumahan Mutiara Bintan RT.08/ RW 01, Kelurahan Pinang Kencana, Kecamatan Tanjung Pinang Timur, Kota Tanjungpinang dengan metode pretest tentang SE Dirjen Bimas Islam No. P-003 dan akibat dari perkawinan sirri online, ceramah keagamaan mengenai hukum perkawinan sirri online dalam perspektif hukum Islam dan hukum positif serta dampaknya, post test, diskusi dan konsultasi hukum yang dilakukan melalui via daring. Sehingga  kesimpulan dari penyuluhan ini adalah semakin tinggi tingkat pengetahuan dan pemahaman masyarakat tentang dampak hukum nikah sirri online maka semakin berkurang hasrat dan keinginan seseorang untuk melakukannya.\r  \r  \r  ","author":[{"dropping-particle":"","family":"Hudiyani","given":"Zulfa","non-dropping-particle":"","parse-names":false,"suffix":""},{"dropping-particle":"","family":"Pradana Hidayatullah","given":"Rizki","non-dropping-particle":"","parse-names":false,"suffix":""},{"dropping-particle":"","family":"Jalili","given":"Ahmad","non-dropping-particle":"","parse-names":false,"suffix":""},{"dropping-particle":"","family":"Lutfi","given":"Amrul","non-dropping-particle":"","parse-names":false,"suffix":""},{"dropping-particle":"","family":"Angkat","given":"M. Arbisora","non-dropping-particle":"","parse-names":false,"suffix":""}],"container-title":"JPPM Kepri: Jurnal Pengabdian dan Pemberdayaan Masyarakat Kepulauan Riau","id":"ITEM-1","issue":"1","issued":{"date-parts":[["2021"]]},"page":"9-23","title":"Program Pengabdian Masyarakat Dalam Bentuk Penyuluhan Hukum Perkawinan Sirri Online dan Regulasi Menag Tentang Pencegahan Covid-19 di Lingkungan KUA Pada Masyarakat Tanjungpinang","type":"article-journal","volume":"1"},"uris":["http://www.mendeley.com/documents/?uuid=cf30f8b2-ee3e-4022-b26d-4770320d8388"]}],"mendeley":{"formattedCitation":"Zulfa Hudiyani et al., “Program Pengabdian Masyarakat Dalam Bentuk Penyuluhan Hukum Perkawinan Sirri Online Dan Regulasi Menag Tentang Pencegahan Covid-19 Di Lingkungan KUA Pada Masyarakat Tanjungpinang,” &lt;i&gt;JPPM Kepri: Jurnal Pengabdian Dan Pemberdayaan Masyarakat Kepulauan Riau&lt;/i&gt; 1, no. 1 (2021): 9–23, https://doi.org/10.35961/jppmkepri.v1i1.170.","plainTextFormattedCitation":"Zulfa Hudiyani et al., “Program Pengabdian Masyarakat Dalam Bentuk Penyuluhan Hukum Perkawinan Sirri Online Dan Regulasi Menag Tentang Pencegahan Covid-19 Di Lingkungan KUA Pada Masyarakat Tanjungpinang,” JPPM Kepri: Jurnal Pengabdian Dan Pemberdayaan Masyarakat Kepulauan Riau 1, no. 1 (2021): 9–23, https://doi.org/10.35961/jppmkepri.v1i1.170.","previouslyFormattedCitation":"Zulfa Hudiyani et al., “Program Pengabdian Masyarakat Dalam Bentuk Penyuluhan Hukum Perkawinan Sirri Online Dan Regulasi Menag Tentang Pencegahan Covid-19 Di Lingkungan KUA Pada Masyarakat Tanjungpinang,” &lt;i&gt;JPPM Kepri: Jurnal Pengabdian Dan Pemberdayaan Masyarakat Kepulauan Riau&lt;/i&gt; 1, no. 1 (2021): 9–23, https://doi.org/10.35961/jppmkepri.v1i1.170."},"properties":{"noteIndex":12},"schema":"https://github.com/citation-style-language/schema/raw/master/csl-citation.json"}</w:instrText>
      </w:r>
      <w:r>
        <w:fldChar w:fldCharType="separate"/>
      </w:r>
      <w:r w:rsidRPr="00D014E9">
        <w:rPr>
          <w:noProof/>
        </w:rPr>
        <w:t xml:space="preserve">Zulfa Hudiyani et al., “Program Pengabdian Masyarakat Dalam Bentuk Penyuluhan Hukum Perkawinan Sirri Online Dan Regulasi Menag Tentang Pencegahan Covid-19 Di Lingkungan KUA Pada Masyarakat Tanjungpinang,” </w:t>
      </w:r>
      <w:r w:rsidRPr="00D014E9">
        <w:rPr>
          <w:i/>
          <w:noProof/>
        </w:rPr>
        <w:t>JPPM Kepri: Jurnal Pengabdian Dan Pemberdayaan Masyarakat Kepulauan Riau</w:t>
      </w:r>
      <w:r w:rsidRPr="00D014E9">
        <w:rPr>
          <w:noProof/>
        </w:rPr>
        <w:t xml:space="preserve"> 1, no. 1 (2021): 9–23, https://doi.org/10.35961/jppmkepri.v1i1.170.</w:t>
      </w:r>
      <w:r>
        <w:fldChar w:fldCharType="end"/>
      </w:r>
    </w:p>
  </w:footnote>
  <w:footnote w:id="13">
    <w:p w14:paraId="35173747"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{"citationItems":[{"id":"ITEM-1","itemData":{"DOI":"10.53401/iktsf.v1i1.4","abstract":"Kebanyakan orang meyakini bahwa pernikahan tanpa melalui pencatatan KUA dianggap sah menurut hukum Islam apabila telah memenuhi rukun dan syarat-syaratnya, sekalipun pernikahan tersebut tidak dicatat di Kantor Urusan Agama (KUA). Akibat dari pemahaman tersebut timbullah dualism hukum yang ada di Negara Indonesia ini, yaitu disatu sisi perkawinan itu harus dicatatkan di Kantor Urusan Agama (KUA) dan disisi lain perkawinan tanpa dicatatpun tetap berlaku. Jika dilihat dari kenyataan yang ada, nikah dibawah tangan merupakan salah satu model perkawinan yang bermasalah dan cenderung mengutamakan kepentingan-kepentingan subjektif. Jenis penelitian ini adalah penelitian kualitatif yaitu penelitian yang memuat gambaran secara sistematis, faktual dan akurat mengenai data berupa ucapan atau tulisan dan perilaku yang dapat diamati didapat untuk mengungkap mengenai peran KUA dalam meminimalisir nikah tanpa pencatatan di Kecamatan Purwaharja. Tempat ataupun wilayah yang akan dijadikan lokasi dalam penelitian ini adalah Kantor Urusan Agama Kecamatan Purwaharja Kota Banjar dengan waktu penelitian yang diperlukan kurang lebih selama tiga bulan yakni dari bulan April sampai Juni 2018. Berdasarkan hasil Pemeriksaan dan Pencatatan Nikah dan Rujuk dengan peristiwa Nikah di Kecamatan Purwaharja pada tahun 20017 sebanyak 202 pernikahan. Selanjutnya berdasarkan catatan Pengadilan Agama dari bulan Januari sampai bulan Desember tahun 2017 masyarakat yang melakukan nikah tanpa pencatatan KUA berdasarkan alamat domisili pemohon itsbat nikah dengan jumlah yang sangat lumayan besar yaitu 17 orang dengan 4 Desa/Kelurahan yang berada dibawah naungan Kecamatan Purwaharja. Upaya yang dilakukan Kantor Urusan Agama kecamatan Purwaharja dalam meminalisir pernikahan dibawah tangan adalah: Pertama, melakukan penyuluhan-penyuluhan Pencatatan Pernikahan dan Keluarga Bahagia yang dilakukan oleh Badan Penasehat, Pembinaan dan Pelestarian Perkawinan (BP4) di Kantor Urusan Agama kepada calon pengantin dan wali. Kedua, melakukan sosialisasi tentang pentingnya pencatatan pernikahan dan dampak buruknya terhadap keluarga, ibu dan anak melalui seminar-seminar dan pengajian-pengajian yang diadakan oleh Departemen Agama melalui perwakilannya di kecamatan yang diselenggarakan di masyarakat. Ketiga, Kantor Urusan Agama saling bekerjasama dengan rekan kerjanya yang berada di setiap desa yaitu P3N (Pembantu Pegawai Pencatat Nikah/ Amil Desa) bersama staff aparatur desa melakukan penyuluhan-penyuluhan setiap …","author":[{"dropping-particle":"","family":"Gojin","given":"Ahmad","non-dropping-particle":"","parse-names":false,"suffix":""},{"dropping-particle":"","family":"Ruskandar","given":"Sofyan","non-dropping-particle":"","parse-names":false,"suffix":""}],"container-title":"Iktisyaf: Jurnal Ilmu Dakwah dan Tasawuf","id":"ITEM-1","issue":"1","issued":{"date-parts":[["2020"]]},"page":"19-32","title":"Upaya Bimbingan Pembinaan Kantor Urusan Agama Dalam Antisipasi Pernikahan Tanpa Melalui Pencatatan Kua Di Kecamatan Purwaharja Kota Banjar","type":"article-journal","volume":"1"},"uris":["http://www.mendeley.com/documents/?uuid=7e541c12-2b16-465a-9fc4-4f01b3f4e613"]}],"mendeley":{"formattedCitation":"Ahmad Gojin and Sofyan Ruskandar, “Upaya Bimbingan Pembinaan Kantor Urusan Agama Dalam Antisipasi Pernikahan Tanpa Melalui Pencatatan Kua Di Kecamatan Purwaharja Kota Banjar,” &lt;i&gt;Iktisyaf: Jurnal Ilmu Dakwah Dan Tasawuf&lt;/i&gt; 1, no. 1 (2020): 19–32, https://doi.org/10.53401/iktsf.v1i1.4.","plainTextFormattedCitation":"Ahmad Gojin and Sofyan Ruskandar, “Upaya Bimbingan Pembinaan Kantor Urusan Agama Dalam Antisipasi Pernikahan Tanpa Melalui Pencatatan Kua Di Kecamatan Purwaharja Kota Banjar,” Iktisyaf: Jurnal Ilmu Dakwah Dan Tasawuf 1, no. 1 (2020): 19–32, https://doi.org/10.53401/iktsf.v1i1.4.","previouslyFormattedCitation":"Ahmad Gojin and Sofyan Ruskandar, “Upaya Bimbingan Pembinaan Kantor Urusan Agama Dalam Antisipasi Pernikahan Tanpa Melalui Pencatatan Kua Di Kecamatan Purwaharja Kota Banjar,” &lt;i&gt;Iktisyaf: Jurnal Ilmu Dakwah Dan Tasawuf&lt;/i&gt; 1, no. 1 (2020): 19–32, https://doi.org/10.53401/iktsf.v1i1.4."},"properties":{"noteIndex":13},"schema":"https://github.com/citation-style-language/schema/raw/master/csl-citation.json"}</w:instrText>
      </w:r>
      <w:r>
        <w:fldChar w:fldCharType="separate"/>
      </w:r>
      <w:r w:rsidRPr="005A5AF4">
        <w:rPr>
          <w:noProof/>
        </w:rPr>
        <w:t xml:space="preserve">Ahmad Gojin and Sofyan Ruskandar, “Upaya Bimbingan Pembinaan Kantor Urusan Agama Dalam Antisipasi Pernikahan Tanpa Melalui Pencatatan Kua Di Kecamatan Purwaharja Kota Banjar,” </w:t>
      </w:r>
      <w:r w:rsidRPr="005A5AF4">
        <w:rPr>
          <w:i/>
          <w:noProof/>
        </w:rPr>
        <w:t>Iktisyaf: Jurnal Ilmu Dakwah Dan Tasawuf</w:t>
      </w:r>
      <w:r w:rsidRPr="005A5AF4">
        <w:rPr>
          <w:noProof/>
        </w:rPr>
        <w:t xml:space="preserve"> 1, no. 1 (2020): 19–32, https://doi.org/10.53401/iktsf.v1i1.4.</w:t>
      </w:r>
      <w:r>
        <w:fldChar w:fldCharType="end"/>
      </w:r>
    </w:p>
  </w:footnote>
  <w:footnote w:id="14">
    <w:p w14:paraId="56B078DB"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{"citationItems":[{"id":"ITEM-1","itemData":{"DOI":"10.21043/palastren.v12i2.6357","ISSN":"1979-6056","abstract":"&lt;p&gt;Pernikahan dini di pedesaaan marak terjadi termasuk di Desa Prawoto, Kecamatan Sukolilo, Kabupaten Pati. Sebagian besar perkawinan dilakukan secara &lt;em&gt;sirri&lt;/em&gt;, selebihnya dilakukan&lt;em&gt; &lt;/em&gt;secara tercatat melalui proses dispensasi nikah. Berbagai upaya pencegahan pernikahan di bawah umur sudah dilakukan terutama oleh pihak KUA Sukolilo dengan melakukan penolakan secara institusional melalui pelaksanaan kebijakan pembatasan usia minimal perkawinan dan pendekatan terhadap tokoh agama yang berperan menikahkan mereka secara sirri, tetapi hasilnya belum signifikan, bahkan banyak persoalan kesenjangan gender  yang terjadi dalam pelaksanaan kebijakan tersebut setelah dianalisis menggunakan &lt;em&gt;Gender Analysis Pathway&lt;/em&gt;.  Dengan demikian, &lt;em&gt;collaborative governance&lt;/em&gt;  berbasis gender menjadi solusi alternatifnya dengan melibatkan masyarakat, pemuda, tokoh agama, tokoh perempuan, Ketua RT, Kepala Desa, Kecamatan, KUA, dan Pengadilan Agama.&lt;/p&gt;","author":[{"dropping-particle":"","family":"Dewi","given":"Siti Malaiha","non-dropping-particle":"","parse-names":false,"suffix":""},{"dropping-particle":"","family":"Rahayu","given":"Rahayu","non-dropping-particle":"","parse-names":false,"suffix":""},{"dropping-particle":"","family":"Kismartini","given":"Kismartini","non-dropping-particle":"","parse-names":false,"suffix":""},{"dropping-particle":"","family":"Yuniningsih","given":"Tri","non-dropping-particle":"","parse-names":false,"suffix":""}],"container-title":"PALASTREN Jurnal Studi Gender","id":"ITEM-1","issue":"2","issued":{"date-parts":[["2019"]]},"page":"519","title":"Pencegahan Perkawinan Dini dan Sirri melalui Collaborative Governance Berbasis Gender di Kabupaten Pati Berbasis Gender di Kabupaten Pati","type":"article-journal","volume":"12"},"uris":["http://www.mendeley.com/documents/?uuid=741ffeee-06e3-4586-981a-2d0213a668b5"]}],"mendeley":{"formattedCitation":"Siti Malaiha Dewi et al., “Pencegahan Perkawinan Dini Dan Sirri Melalui Collaborative Governance Berbasis Gender Di Kabupaten Pati Berbasis Gender Di Kabupaten Pati,” &lt;i&gt;PALASTREN Jurnal Studi Gender&lt;/i&gt; 12, no. 2 (2019): 519, https://doi.org/10.21043/palastren.v12i2.6357.","plainTextFormattedCitation":"Siti Malaiha Dewi et al., “Pencegahan Perkawinan Dini Dan Sirri Melalui Collaborative Governance Berbasis Gender Di Kabupaten Pati Berbasis Gender Di Kabupaten Pati,” PALASTREN Jurnal Studi Gender 12, no. 2 (2019): 519, https://doi.org/10.21043/palastren.v12i2.6357.","previouslyFormattedCitation":"Siti Malaiha Dewi et al., “Pencegahan Perkawinan Dini Dan Sirri Melalui Collaborative Governance Berbasis Gender Di Kabupaten Pati Berbasis Gender Di Kabupaten Pati,” &lt;i&gt;PALASTREN Jurnal Studi Gender&lt;/i&gt; 12, no. 2 (2019): 519, https://doi.org/10.21043/palastren.v12i2.6357."},"properties":{"noteIndex":14},"schema":"https://github.com/citation-style-language/schema/raw/master/csl-citation.json"}</w:instrText>
      </w:r>
      <w:r>
        <w:fldChar w:fldCharType="separate"/>
      </w:r>
      <w:r w:rsidRPr="00D84CE9">
        <w:rPr>
          <w:noProof/>
        </w:rPr>
        <w:t xml:space="preserve">Siti Malaiha Dewi et al., “Pencegahan Perkawinan Dini Dan Sirri Melalui Collaborative Governance Berbasis Gender Di Kabupaten Pati Berbasis Gender Di Kabupaten Pati,” </w:t>
      </w:r>
      <w:r w:rsidRPr="00D84CE9">
        <w:rPr>
          <w:i/>
          <w:noProof/>
        </w:rPr>
        <w:t>PALASTREN Jurnal Studi Gender</w:t>
      </w:r>
      <w:r w:rsidRPr="00D84CE9">
        <w:rPr>
          <w:noProof/>
        </w:rPr>
        <w:t xml:space="preserve"> 12, no. 2 (2019): 519, https://doi.org/10.21043/palastren.v12i2.6357.</w:t>
      </w:r>
      <w:r>
        <w:fldChar w:fldCharType="end"/>
      </w:r>
    </w:p>
  </w:footnote>
  <w:footnote w:id="15">
    <w:p w14:paraId="4B195023" w14:textId="77777777" w:rsidR="00B857D7" w:rsidRDefault="00B857D7" w:rsidP="00B857D7">
      <w:pPr>
        <w:pStyle w:val="FootnoteText"/>
      </w:pPr>
      <w:r>
        <w:rPr>
          <w:rStyle w:val="FootnoteReference"/>
        </w:rPr>
        <w:footnoteRef/>
      </w:r>
      <w:r>
        <w:t xml:space="preserve"> </w:t>
      </w:r>
      <w:r>
        <w:fldChar w:fldCharType="begin" w:fldLock="1"/>
      </w:r>
      <w:r>
        <w:instrText>ADDIN CSL_CITATION {"citationItems":[{"id":"ITEM-1","itemData":{"ISSN":"2809-1620","abstract":"… Undang Perkawinan, Pasal 2 ayat (2): Tiap-tiap perkawinan … – Undang Perkawinan menyatakan bahwa suatu perkawinan … itu tiap – tiap perkawinan harus dicatat menurut peraturan …","author":[{"dropping-particle":"","family":"Karim","given":"Fibriyanti","non-dropping-particle":"","parse-names":false,"suffix":""}],"container-title":"Humantech : Jurnal Ilmiah Multidisiplin Indonesia","id":"ITEM-1","issue":"1","issued":{"date-parts":[["2022"]]},"page":"942-948","title":"Optimalisasi pencatatan nikah terhadap fenomena perkawinan sirri di Kabupaten Boalem","type":"article-journal","volume":"7"},"uris":["http://www.mendeley.com/documents/?uuid=2f0d0eb2-69fd-40e3-bbf2-7e8bcdbcbaee"]}],"mendeley":{"formattedCitation":"Fibriyanti Karim, “Optimalisasi Pencatatan Nikah Terhadap Fenomena Perkawinan Sirri Di Kabupaten Boalem,” &lt;i&gt;Humantech : Jurnal Ilmiah Multidisiplin Indonesia&lt;/i&gt; 7, no. 1 (2022): 942–48.","plainTextFormattedCitation":"Fibriyanti Karim, “Optimalisasi Pencatatan Nikah Terhadap Fenomena Perkawinan Sirri Di Kabupaten Boalem,” Humantech : Jurnal Ilmiah Multidisiplin Indonesia 7, no. 1 (2022): 942–48.","previouslyFormattedCitation":"Fibriyanti Karim, “Optimalisasi Pencatatan Nikah Terhadap Fenomena Perkawinan Sirri Di Kabupaten Boalem,” &lt;i&gt;Humantech : Jurnal Ilmiah Multidisiplin Indonesia&lt;/i&gt; 7, no. 1 (2022): 942–48."},"properties":{"noteIndex":15},"schema":"https://github.com/citation-style-language/schema/raw/master/csl-citation.json"}</w:instrText>
      </w:r>
      <w:r>
        <w:fldChar w:fldCharType="separate"/>
      </w:r>
      <w:r w:rsidRPr="00D406F4">
        <w:rPr>
          <w:noProof/>
        </w:rPr>
        <w:t xml:space="preserve">Fibriyanti Karim, “Optimalisasi Pencatatan Nikah Terhadap Fenomena Perkawinan Sirri Di Kabupaten Boalem,” </w:t>
      </w:r>
      <w:r w:rsidRPr="00D406F4">
        <w:rPr>
          <w:i/>
          <w:noProof/>
        </w:rPr>
        <w:t>Humantech : Jurnal Ilmiah Multidisiplin Indonesia</w:t>
      </w:r>
      <w:r w:rsidRPr="00D406F4">
        <w:rPr>
          <w:noProof/>
        </w:rPr>
        <w:t xml:space="preserve"> 7, no. 1 (2022): 942–48.</w:t>
      </w:r>
      <w:r>
        <w:fldChar w:fldCharType="end"/>
      </w:r>
    </w:p>
  </w:footnote>
  <w:footnote w:id="16">
    <w:p w14:paraId="7A797F6C" w14:textId="77777777" w:rsidR="00A43271" w:rsidRDefault="00A43271" w:rsidP="00A43271">
      <w:pPr>
        <w:pStyle w:val="FootnoteText"/>
      </w:pPr>
      <w:r>
        <w:rPr>
          <w:rStyle w:val="FootnoteReference"/>
        </w:rPr>
        <w:footnoteRef/>
      </w:r>
      <w:r>
        <w:t xml:space="preserve"> </w:t>
      </w:r>
      <w:r>
        <w:t>A jakfar, kepala Desa Pondok Kandang, Wawancara, November 2023</w:t>
      </w:r>
    </w:p>
  </w:footnote>
  <w:footnote w:id="17">
    <w:p w14:paraId="221A3E22" w14:textId="77777777" w:rsidR="00A43271" w:rsidRDefault="00A43271" w:rsidP="00A43271">
      <w:pPr>
        <w:pStyle w:val="FootnoteText"/>
      </w:pPr>
      <w:r>
        <w:rPr>
          <w:rStyle w:val="FootnoteReference"/>
        </w:rPr>
        <w:footnoteRef/>
      </w:r>
      <w:r>
        <w:t xml:space="preserve"> </w:t>
      </w:r>
      <w:r>
        <w:t>Amir Hamzah, Tokoh Adat Desa Pondok Kandang, Wawancara, November 2023</w:t>
      </w:r>
    </w:p>
  </w:footnote>
  <w:footnote w:id="18">
    <w:p w14:paraId="4ED96277" w14:textId="77777777" w:rsidR="00A43271" w:rsidRPr="00EE3A59" w:rsidRDefault="00A43271" w:rsidP="00A4327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Fitri, Kepala Kaum Caniago Desa Pondok Kandang, Wawancara,  November 2023</w:t>
      </w:r>
    </w:p>
    <w:p w14:paraId="04A3548A" w14:textId="77777777" w:rsidR="00A43271" w:rsidRPr="00EE3A59" w:rsidRDefault="00A43271" w:rsidP="00A43271">
      <w:pPr>
        <w:pStyle w:val="FootnoteText"/>
        <w:rPr>
          <w:rFonts w:asciiTheme="majorBidi" w:hAnsiTheme="majorBidi" w:cstheme="majorBidi"/>
        </w:rPr>
      </w:pPr>
    </w:p>
  </w:footnote>
  <w:footnote w:id="19">
    <w:p w14:paraId="02820234" w14:textId="77777777" w:rsidR="002876C1" w:rsidRDefault="002876C1" w:rsidP="002876C1">
      <w:pPr>
        <w:pStyle w:val="FootnoteText"/>
      </w:pPr>
      <w:r>
        <w:rPr>
          <w:rStyle w:val="FootnoteReference"/>
        </w:rPr>
        <w:footnoteRef/>
      </w:r>
      <w:r>
        <w:t xml:space="preserve"> </w:t>
      </w:r>
      <w:r w:rsidRPr="00EE3A59">
        <w:rPr>
          <w:rFonts w:asciiTheme="majorBidi" w:hAnsiTheme="majorBidi" w:cstheme="majorBidi"/>
        </w:rPr>
        <w:t>Abdul Sadar, Ketua Adat Desa Pondok Kandang, Wawancara, November 2023</w:t>
      </w:r>
    </w:p>
  </w:footnote>
  <w:footnote w:id="20">
    <w:p w14:paraId="509B33F2"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Abdul Sadar, Ketua Adat Desa Pondok Kandang, Wawancara, November 2023</w:t>
      </w:r>
    </w:p>
  </w:footnote>
  <w:footnote w:id="21">
    <w:p w14:paraId="6D24A773"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Abdul Sadar, Ketua Adat Desa Pondok Kandang, Wawancara, November 2023</w:t>
      </w:r>
    </w:p>
    <w:p w14:paraId="3238E422" w14:textId="77777777" w:rsidR="002876C1" w:rsidRPr="00EE3A59" w:rsidRDefault="002876C1" w:rsidP="002876C1">
      <w:pPr>
        <w:pStyle w:val="FootnoteText"/>
        <w:rPr>
          <w:rFonts w:asciiTheme="majorBidi" w:hAnsiTheme="majorBidi" w:cstheme="majorBidi"/>
        </w:rPr>
      </w:pPr>
    </w:p>
  </w:footnote>
  <w:footnote w:id="22">
    <w:p w14:paraId="4B94C1D8"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Abdul Rahman, Kepala Kaum Melayu Gedang Desa Pondok Kandang, Wawancara, November 2023</w:t>
      </w:r>
    </w:p>
  </w:footnote>
  <w:footnote w:id="23">
    <w:p w14:paraId="24DD5EFA"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Abdul Sadar, Ketua Adat Desa Pondok Kandang, Wawancara, November 2023</w:t>
      </w:r>
    </w:p>
  </w:footnote>
  <w:footnote w:id="24">
    <w:p w14:paraId="5B9158B0"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Abdul Rahman, Kepala Kaum Melayu Gedang Desa Pondok Kandang, Wawancara, November 2023</w:t>
      </w:r>
    </w:p>
  </w:footnote>
  <w:footnote w:id="25">
    <w:p w14:paraId="720436CB" w14:textId="77777777" w:rsidR="002876C1" w:rsidRPr="00EE3A59" w:rsidRDefault="002876C1" w:rsidP="002876C1">
      <w:pPr>
        <w:pStyle w:val="FootnoteText"/>
        <w:rPr>
          <w:rFonts w:asciiTheme="majorBidi" w:hAnsiTheme="majorBidi" w:cstheme="majorBidi"/>
        </w:rPr>
      </w:pPr>
      <w:r w:rsidRPr="00EE3A59">
        <w:rPr>
          <w:rStyle w:val="FootnoteReference"/>
          <w:rFonts w:asciiTheme="majorBidi" w:hAnsiTheme="majorBidi" w:cstheme="majorBidi"/>
        </w:rPr>
        <w:footnoteRef/>
      </w:r>
      <w:r w:rsidRPr="00EE3A59">
        <w:rPr>
          <w:rFonts w:asciiTheme="majorBidi" w:hAnsiTheme="majorBidi" w:cstheme="majorBidi"/>
        </w:rPr>
        <w:t xml:space="preserve"> </w:t>
      </w:r>
      <w:r w:rsidRPr="00EE3A59">
        <w:rPr>
          <w:rFonts w:asciiTheme="majorBidi" w:hAnsiTheme="majorBidi" w:cstheme="majorBidi"/>
        </w:rPr>
        <w:t>Apriani, Masyarakat Desa Pondok Kandang, Wawancara, November 2023</w:t>
      </w:r>
    </w:p>
    <w:p w14:paraId="26B7084D" w14:textId="77777777" w:rsidR="002876C1" w:rsidRPr="00EE3A59" w:rsidRDefault="002876C1" w:rsidP="002876C1">
      <w:pPr>
        <w:pStyle w:val="FootnoteText"/>
        <w:rPr>
          <w:rFonts w:asciiTheme="majorBidi" w:hAnsiTheme="majorBidi" w:cstheme="majorBidi"/>
        </w:rPr>
      </w:pPr>
    </w:p>
  </w:footnote>
  <w:footnote w:id="26">
    <w:p w14:paraId="504EDF23"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Mursyid Djawas dan Sri Astuti Abdul Samad, “Conflict, Traditional, and Family Resistance: The pattern of Dispute Resolution in Acehnese Community According to Islamic Law,” </w:t>
      </w:r>
      <w:r>
        <w:rPr>
          <w:rFonts w:ascii="Times" w:eastAsia="Times" w:hAnsi="Times" w:cs="Times"/>
          <w:i/>
          <w:color w:val="000000"/>
          <w:sz w:val="20"/>
          <w:szCs w:val="20"/>
        </w:rPr>
        <w:t>Samarah: Jurnal Hukum Keluarga dan Hukum Islam</w:t>
      </w:r>
      <w:r>
        <w:rPr>
          <w:rFonts w:ascii="Times" w:eastAsia="Times" w:hAnsi="Times" w:cs="Times"/>
          <w:color w:val="000000"/>
          <w:sz w:val="20"/>
          <w:szCs w:val="20"/>
        </w:rPr>
        <w:t xml:space="preserve"> 4, no. 1 (2020), p. 65–84.</w:t>
      </w:r>
    </w:p>
  </w:footnote>
  <w:footnote w:id="27">
    <w:p w14:paraId="7CD30F30"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Fajri M Kasim dan Abidin Nurdin, “Study of Sociological Law on Conflict Resolution Through Adat in Aceh Community According to Islamic Law,” </w:t>
      </w:r>
      <w:r>
        <w:rPr>
          <w:rFonts w:ascii="Times" w:eastAsia="Times" w:hAnsi="Times" w:cs="Times"/>
          <w:i/>
          <w:color w:val="000000"/>
          <w:sz w:val="20"/>
          <w:szCs w:val="20"/>
        </w:rPr>
        <w:t>Samarah: Jurnal Hukum Keluarga dan Hukum Islam</w:t>
      </w:r>
      <w:r>
        <w:rPr>
          <w:rFonts w:ascii="Times" w:eastAsia="Times" w:hAnsi="Times" w:cs="Times"/>
          <w:color w:val="000000"/>
          <w:sz w:val="20"/>
          <w:szCs w:val="20"/>
        </w:rPr>
        <w:t xml:space="preserve"> 4, no. 2 (2020), p. 375–97.</w:t>
      </w:r>
    </w:p>
  </w:footnote>
  <w:footnote w:id="28">
    <w:p w14:paraId="47FA9D99"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Khairuddin Hasballah, “The Milk Al-Yamin Concept as a Validity of Sexual Relationship in a Modern Context: an Analysis of Muhammad Syahrur’s Thoughts,” </w:t>
      </w:r>
      <w:r>
        <w:rPr>
          <w:rFonts w:ascii="Times" w:eastAsia="Times" w:hAnsi="Times" w:cs="Times"/>
          <w:i/>
          <w:color w:val="000000"/>
          <w:sz w:val="20"/>
          <w:szCs w:val="20"/>
        </w:rPr>
        <w:t>Samarah: Jurnal Hukum Keluarga dan Hukum Islam</w:t>
      </w:r>
      <w:r>
        <w:rPr>
          <w:rFonts w:ascii="Times" w:eastAsia="Times" w:hAnsi="Times" w:cs="Times"/>
          <w:color w:val="000000"/>
          <w:sz w:val="20"/>
          <w:szCs w:val="20"/>
        </w:rPr>
        <w:t xml:space="preserve"> 4, no. 2 (2020), p. 337–59.</w:t>
      </w:r>
    </w:p>
  </w:footnote>
  <w:footnote w:id="29">
    <w:p w14:paraId="747CC57B"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Soraya Devy dan Dwi Mekar Suci, “The Implementation of Verdict Execution on Providing Maḍiyah Maintenance Following Divorce According to Islamic Law (Case Study in Syar’iyyah Court Banda Aceh),” </w:t>
      </w:r>
      <w:r>
        <w:rPr>
          <w:rFonts w:ascii="Times" w:eastAsia="Times" w:hAnsi="Times" w:cs="Times"/>
          <w:i/>
          <w:color w:val="000000"/>
          <w:sz w:val="20"/>
          <w:szCs w:val="20"/>
        </w:rPr>
        <w:t>Samarah: Jurnal Hukum Keluarga dan Hukum Islam</w:t>
      </w:r>
      <w:r>
        <w:rPr>
          <w:rFonts w:ascii="Times" w:eastAsia="Times" w:hAnsi="Times" w:cs="Times"/>
          <w:color w:val="000000"/>
          <w:sz w:val="20"/>
          <w:szCs w:val="20"/>
        </w:rPr>
        <w:t xml:space="preserve"> 4, no. 2 (2020), p. 416–42.</w:t>
      </w:r>
    </w:p>
  </w:footnote>
  <w:footnote w:id="30">
    <w:p w14:paraId="71B0E3C9"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Agustin Hanapi dan Edy Yuhermansyah, “Urgency of Marriage Registration for Women and Child Protection in Gayo Lues District,” </w:t>
      </w:r>
      <w:r>
        <w:rPr>
          <w:rFonts w:ascii="Times" w:eastAsia="Times" w:hAnsi="Times" w:cs="Times"/>
          <w:i/>
          <w:color w:val="000000"/>
          <w:sz w:val="20"/>
          <w:szCs w:val="20"/>
        </w:rPr>
        <w:t>Samarah: Jurnal Hukum Keluarga dan Hukum Islam</w:t>
      </w:r>
      <w:r>
        <w:rPr>
          <w:rFonts w:ascii="Times" w:eastAsia="Times" w:hAnsi="Times" w:cs="Times"/>
          <w:color w:val="000000"/>
          <w:sz w:val="20"/>
          <w:szCs w:val="20"/>
        </w:rPr>
        <w:t xml:space="preserve"> 4, no. 2 (2020), p. 528–44.</w:t>
      </w:r>
    </w:p>
  </w:footnote>
  <w:footnote w:id="31">
    <w:p w14:paraId="2A1F89A3" w14:textId="77777777" w:rsidR="00CB0793" w:rsidRDefault="008B1E52">
      <w:pPr>
        <w:pBdr>
          <w:top w:val="nil"/>
          <w:left w:val="nil"/>
          <w:bottom w:val="nil"/>
          <w:right w:val="nil"/>
          <w:between w:val="nil"/>
        </w:pBdr>
        <w:ind w:firstLine="851"/>
        <w:rPr>
          <w:rFonts w:ascii="Times" w:eastAsia="Times" w:hAnsi="Times" w:cs="Times"/>
          <w:color w:val="000000"/>
          <w:sz w:val="20"/>
          <w:szCs w:val="20"/>
        </w:rPr>
      </w:pPr>
      <w:r>
        <w:rPr>
          <w:rStyle w:val="FootnoteReference"/>
        </w:rPr>
        <w:footnoteRef/>
      </w:r>
      <w:r>
        <w:rPr>
          <w:rFonts w:ascii="Times" w:eastAsia="Times" w:hAnsi="Times" w:cs="Times"/>
          <w:color w:val="000000"/>
          <w:sz w:val="20"/>
          <w:szCs w:val="20"/>
        </w:rPr>
        <w:t xml:space="preserve"> </w:t>
      </w:r>
      <w:r>
        <w:rPr>
          <w:rFonts w:ascii="Times" w:eastAsia="Times" w:hAnsi="Times" w:cs="Times"/>
          <w:color w:val="000000"/>
          <w:sz w:val="20"/>
          <w:szCs w:val="20"/>
        </w:rPr>
        <w:t xml:space="preserve">Mursyid Djawas, “Implementasi Pengelolaan Zakat di Aceh,” </w:t>
      </w:r>
      <w:r>
        <w:rPr>
          <w:rFonts w:ascii="Times" w:eastAsia="Times" w:hAnsi="Times" w:cs="Times"/>
          <w:i/>
          <w:color w:val="000000"/>
          <w:sz w:val="20"/>
          <w:szCs w:val="20"/>
        </w:rPr>
        <w:t>Mazahib</w:t>
      </w:r>
      <w:r>
        <w:rPr>
          <w:rFonts w:ascii="Times" w:eastAsia="Times" w:hAnsi="Times" w:cs="Times"/>
          <w:color w:val="000000"/>
          <w:sz w:val="20"/>
          <w:szCs w:val="20"/>
        </w:rPr>
        <w:t xml:space="preserve"> 15, no. 1 (2016), p. 90–103.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C5D8" w14:textId="77777777" w:rsidR="00CB0793" w:rsidRDefault="008B1E52">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end"/>
    </w:r>
  </w:p>
  <w:p w14:paraId="549DBD78" w14:textId="77777777" w:rsidR="00CB0793" w:rsidRDefault="00CB0793">
    <w:pPr>
      <w:pBdr>
        <w:top w:val="nil"/>
        <w:left w:val="nil"/>
        <w:bottom w:val="nil"/>
        <w:right w:val="nil"/>
        <w:between w:val="nil"/>
      </w:pBdr>
      <w:tabs>
        <w:tab w:val="center" w:pos="4513"/>
        <w:tab w:val="right" w:pos="9026"/>
      </w:tabs>
      <w:ind w:right="360"/>
      <w:rPr>
        <w:rFonts w:ascii="Calibri" w:hAnsi="Calibri"/>
        <w:color w:val="000000"/>
      </w:rPr>
    </w:pPr>
  </w:p>
  <w:p w14:paraId="2324E9E7" w14:textId="77777777" w:rsidR="00C75A95" w:rsidRDefault="00C75A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eading=h.gjdgxs" w:colFirst="0" w:colLast="0"/>
  <w:bookmarkEnd w:id="1"/>
  <w:p w14:paraId="70D2942C" w14:textId="77777777" w:rsidR="00CB0793" w:rsidRDefault="008B1E52">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71463B">
      <w:rPr>
        <w:rFonts w:ascii="Calibri" w:hAnsi="Calibri"/>
        <w:noProof/>
        <w:color w:val="000000"/>
      </w:rPr>
      <w:t>2</w:t>
    </w:r>
    <w:r>
      <w:rPr>
        <w:rFonts w:ascii="Calibri" w:hAnsi="Calibri"/>
        <w:color w:val="000000"/>
      </w:rPr>
      <w:fldChar w:fldCharType="end"/>
    </w:r>
  </w:p>
  <w:p w14:paraId="598B621B" w14:textId="77777777" w:rsidR="00CB0793" w:rsidRDefault="008B1E52">
    <w:pPr>
      <w:ind w:right="360"/>
      <w:rPr>
        <w:b/>
        <w:sz w:val="20"/>
        <w:szCs w:val="20"/>
      </w:rPr>
    </w:pPr>
    <w:r>
      <w:rPr>
        <w:b/>
        <w:sz w:val="20"/>
        <w:szCs w:val="20"/>
      </w:rPr>
      <w:t>Title: 3-7 Words</w:t>
    </w:r>
  </w:p>
  <w:p w14:paraId="533F850B" w14:textId="77777777" w:rsidR="00CB0793" w:rsidRDefault="008B1E52">
    <w:pPr>
      <w:rPr>
        <w:sz w:val="20"/>
        <w:szCs w:val="20"/>
      </w:rPr>
    </w:pPr>
    <w:r>
      <w:rPr>
        <w:sz w:val="20"/>
        <w:szCs w:val="20"/>
      </w:rPr>
      <w:t>Author</w:t>
    </w:r>
  </w:p>
  <w:p w14:paraId="46DFCBAA" w14:textId="77777777" w:rsidR="00CB0793" w:rsidRDefault="008B1E52">
    <w:pPr>
      <w:pBdr>
        <w:top w:val="nil"/>
        <w:left w:val="nil"/>
        <w:bottom w:val="nil"/>
        <w:right w:val="nil"/>
        <w:between w:val="nil"/>
      </w:pBdr>
      <w:tabs>
        <w:tab w:val="center" w:pos="4513"/>
        <w:tab w:val="right" w:pos="9026"/>
      </w:tabs>
      <w:rPr>
        <w:rFonts w:ascii="Calibri" w:hAnsi="Calibri"/>
        <w:color w:val="000000"/>
        <w:sz w:val="20"/>
        <w:szCs w:val="20"/>
      </w:rPr>
    </w:pPr>
    <w:r>
      <w:rPr>
        <w:rFonts w:ascii="Calibri" w:hAnsi="Calibri"/>
        <w:color w:val="000000"/>
        <w:sz w:val="20"/>
        <w:szCs w:val="20"/>
      </w:rPr>
      <w:t xml:space="preserve">DOI: </w:t>
    </w:r>
  </w:p>
  <w:p w14:paraId="12951C57" w14:textId="77777777" w:rsidR="00CB0793" w:rsidRDefault="00CB0793">
    <w:pPr>
      <w:pBdr>
        <w:top w:val="nil"/>
        <w:left w:val="nil"/>
        <w:bottom w:val="nil"/>
        <w:right w:val="nil"/>
        <w:between w:val="nil"/>
      </w:pBdr>
      <w:tabs>
        <w:tab w:val="center" w:pos="4513"/>
        <w:tab w:val="right" w:pos="9026"/>
      </w:tabs>
      <w:rPr>
        <w:rFonts w:ascii="Calibri" w:hAnsi="Calibri"/>
        <w:color w:val="000000"/>
      </w:rPr>
    </w:pPr>
  </w:p>
  <w:p w14:paraId="666A688E" w14:textId="77777777" w:rsidR="00C75A95" w:rsidRDefault="00C75A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0D78" w14:textId="77777777" w:rsidR="00CB0793" w:rsidRDefault="008B1E52">
    <w:pPr>
      <w:ind w:left="1843"/>
      <w:rPr>
        <w:sz w:val="20"/>
        <w:szCs w:val="20"/>
      </w:rPr>
    </w:pPr>
    <w:r>
      <w:rPr>
        <w:b/>
        <w:sz w:val="20"/>
        <w:szCs w:val="20"/>
      </w:rPr>
      <w:t xml:space="preserve">Samarah: </w:t>
    </w:r>
    <w:r>
      <w:rPr>
        <w:sz w:val="20"/>
        <w:szCs w:val="20"/>
      </w:rPr>
      <w:t>Jurnal Hukum Keluarga dan Hukum Islam</w:t>
    </w:r>
    <w:r>
      <w:rPr>
        <w:noProof/>
        <w:lang w:val="en-US" w:eastAsia="en-US"/>
      </w:rPr>
      <w:drawing>
        <wp:anchor distT="0" distB="0" distL="0" distR="0" simplePos="0" relativeHeight="251658240" behindDoc="1" locked="0" layoutInCell="1" hidden="0" allowOverlap="1" wp14:anchorId="23911F0D" wp14:editId="1160F976">
          <wp:simplePos x="0" y="0"/>
          <wp:positionH relativeFrom="column">
            <wp:posOffset>77344</wp:posOffset>
          </wp:positionH>
          <wp:positionV relativeFrom="paragraph">
            <wp:posOffset>-106182</wp:posOffset>
          </wp:positionV>
          <wp:extent cx="727082" cy="727082"/>
          <wp:effectExtent l="0" t="0" r="0" b="0"/>
          <wp:wrapNone/>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727082" cy="727082"/>
                  </a:xfrm>
                  <a:prstGeom prst="rect">
                    <a:avLst/>
                  </a:prstGeom>
                  <a:ln/>
                </pic:spPr>
              </pic:pic>
            </a:graphicData>
          </a:graphic>
        </wp:anchor>
      </w:drawing>
    </w:r>
  </w:p>
  <w:p w14:paraId="52FE9254" w14:textId="77777777" w:rsidR="00CB0793" w:rsidRDefault="008B1E52">
    <w:pPr>
      <w:ind w:left="1843"/>
      <w:rPr>
        <w:sz w:val="20"/>
        <w:szCs w:val="20"/>
      </w:rPr>
    </w:pPr>
    <w:r>
      <w:rPr>
        <w:sz w:val="20"/>
        <w:szCs w:val="20"/>
      </w:rPr>
      <w:t xml:space="preserve">Volume 5 No. 1. January-June 2021 </w:t>
    </w:r>
  </w:p>
  <w:p w14:paraId="0B408346" w14:textId="77777777" w:rsidR="00CB0793" w:rsidRDefault="008B1E52">
    <w:pPr>
      <w:ind w:left="1843"/>
      <w:rPr>
        <w:sz w:val="20"/>
        <w:szCs w:val="20"/>
      </w:rPr>
    </w:pPr>
    <w:r>
      <w:rPr>
        <w:sz w:val="20"/>
        <w:szCs w:val="20"/>
      </w:rPr>
      <w:t>ISSN: 2549 – 3132; E-ISSN: 2549 – 3167</w:t>
    </w:r>
  </w:p>
  <w:p w14:paraId="44F8D757" w14:textId="77777777" w:rsidR="00CB0793" w:rsidRDefault="008B1E52">
    <w:pPr>
      <w:pBdr>
        <w:top w:val="nil"/>
        <w:left w:val="nil"/>
        <w:bottom w:val="nil"/>
        <w:right w:val="nil"/>
        <w:between w:val="nil"/>
      </w:pBdr>
      <w:tabs>
        <w:tab w:val="center" w:pos="4513"/>
        <w:tab w:val="right" w:pos="9026"/>
      </w:tabs>
      <w:ind w:left="1843"/>
      <w:rPr>
        <w:rFonts w:ascii="Calibri" w:hAnsi="Calibri"/>
        <w:color w:val="000000"/>
        <w:sz w:val="20"/>
        <w:szCs w:val="20"/>
      </w:rPr>
    </w:pPr>
    <w:r>
      <w:rPr>
        <w:rFonts w:ascii="Calibri" w:hAnsi="Calibri"/>
        <w:color w:val="000000"/>
        <w:sz w:val="20"/>
        <w:szCs w:val="20"/>
      </w:rPr>
      <w:t xml:space="preserve">DOI: </w:t>
    </w:r>
  </w:p>
  <w:p w14:paraId="196A0651" w14:textId="77777777" w:rsidR="00CB0793" w:rsidRDefault="00CB0793">
    <w:pPr>
      <w:pBdr>
        <w:top w:val="nil"/>
        <w:left w:val="nil"/>
        <w:bottom w:val="nil"/>
        <w:right w:val="nil"/>
        <w:between w:val="nil"/>
      </w:pBdr>
      <w:tabs>
        <w:tab w:val="center" w:pos="4513"/>
        <w:tab w:val="right" w:pos="9026"/>
      </w:tabs>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85544"/>
    <w:multiLevelType w:val="hybridMultilevel"/>
    <w:tmpl w:val="C630C76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5D624D51"/>
    <w:multiLevelType w:val="hybridMultilevel"/>
    <w:tmpl w:val="FE7C96CA"/>
    <w:lvl w:ilvl="0" w:tplc="3809000F">
      <w:start w:val="1"/>
      <w:numFmt w:val="decimal"/>
      <w:lvlText w:val="%1."/>
      <w:lvlJc w:val="left"/>
      <w:pPr>
        <w:ind w:left="2653" w:hanging="360"/>
      </w:pPr>
    </w:lvl>
    <w:lvl w:ilvl="1" w:tplc="38090019" w:tentative="1">
      <w:start w:val="1"/>
      <w:numFmt w:val="lowerLetter"/>
      <w:lvlText w:val="%2."/>
      <w:lvlJc w:val="left"/>
      <w:pPr>
        <w:ind w:left="3373" w:hanging="360"/>
      </w:pPr>
    </w:lvl>
    <w:lvl w:ilvl="2" w:tplc="3809001B" w:tentative="1">
      <w:start w:val="1"/>
      <w:numFmt w:val="lowerRoman"/>
      <w:lvlText w:val="%3."/>
      <w:lvlJc w:val="right"/>
      <w:pPr>
        <w:ind w:left="4093" w:hanging="180"/>
      </w:pPr>
    </w:lvl>
    <w:lvl w:ilvl="3" w:tplc="3809000F" w:tentative="1">
      <w:start w:val="1"/>
      <w:numFmt w:val="decimal"/>
      <w:lvlText w:val="%4."/>
      <w:lvlJc w:val="left"/>
      <w:pPr>
        <w:ind w:left="4813" w:hanging="360"/>
      </w:pPr>
    </w:lvl>
    <w:lvl w:ilvl="4" w:tplc="38090019" w:tentative="1">
      <w:start w:val="1"/>
      <w:numFmt w:val="lowerLetter"/>
      <w:lvlText w:val="%5."/>
      <w:lvlJc w:val="left"/>
      <w:pPr>
        <w:ind w:left="5533" w:hanging="360"/>
      </w:pPr>
    </w:lvl>
    <w:lvl w:ilvl="5" w:tplc="3809001B" w:tentative="1">
      <w:start w:val="1"/>
      <w:numFmt w:val="lowerRoman"/>
      <w:lvlText w:val="%6."/>
      <w:lvlJc w:val="right"/>
      <w:pPr>
        <w:ind w:left="6253" w:hanging="180"/>
      </w:pPr>
    </w:lvl>
    <w:lvl w:ilvl="6" w:tplc="3809000F" w:tentative="1">
      <w:start w:val="1"/>
      <w:numFmt w:val="decimal"/>
      <w:lvlText w:val="%7."/>
      <w:lvlJc w:val="left"/>
      <w:pPr>
        <w:ind w:left="6973" w:hanging="360"/>
      </w:pPr>
    </w:lvl>
    <w:lvl w:ilvl="7" w:tplc="38090019" w:tentative="1">
      <w:start w:val="1"/>
      <w:numFmt w:val="lowerLetter"/>
      <w:lvlText w:val="%8."/>
      <w:lvlJc w:val="left"/>
      <w:pPr>
        <w:ind w:left="7693" w:hanging="360"/>
      </w:pPr>
    </w:lvl>
    <w:lvl w:ilvl="8" w:tplc="3809001B" w:tentative="1">
      <w:start w:val="1"/>
      <w:numFmt w:val="lowerRoman"/>
      <w:lvlText w:val="%9."/>
      <w:lvlJc w:val="right"/>
      <w:pPr>
        <w:ind w:left="8413" w:hanging="180"/>
      </w:pPr>
    </w:lvl>
  </w:abstractNum>
  <w:abstractNum w:abstractNumId="2">
    <w:nsid w:val="7D4C256D"/>
    <w:multiLevelType w:val="hybridMultilevel"/>
    <w:tmpl w:val="EC0638DE"/>
    <w:lvl w:ilvl="0" w:tplc="38090019">
      <w:start w:val="1"/>
      <w:numFmt w:val="lowerLetter"/>
      <w:lvlText w:val="%1."/>
      <w:lvlJc w:val="left"/>
      <w:pPr>
        <w:ind w:left="4093" w:hanging="360"/>
      </w:pPr>
    </w:lvl>
    <w:lvl w:ilvl="1" w:tplc="38090019" w:tentative="1">
      <w:start w:val="1"/>
      <w:numFmt w:val="lowerLetter"/>
      <w:lvlText w:val="%2."/>
      <w:lvlJc w:val="left"/>
      <w:pPr>
        <w:ind w:left="4813" w:hanging="360"/>
      </w:pPr>
    </w:lvl>
    <w:lvl w:ilvl="2" w:tplc="3809001B" w:tentative="1">
      <w:start w:val="1"/>
      <w:numFmt w:val="lowerRoman"/>
      <w:lvlText w:val="%3."/>
      <w:lvlJc w:val="right"/>
      <w:pPr>
        <w:ind w:left="5533" w:hanging="180"/>
      </w:pPr>
    </w:lvl>
    <w:lvl w:ilvl="3" w:tplc="3809000F" w:tentative="1">
      <w:start w:val="1"/>
      <w:numFmt w:val="decimal"/>
      <w:lvlText w:val="%4."/>
      <w:lvlJc w:val="left"/>
      <w:pPr>
        <w:ind w:left="6253" w:hanging="360"/>
      </w:pPr>
    </w:lvl>
    <w:lvl w:ilvl="4" w:tplc="38090019" w:tentative="1">
      <w:start w:val="1"/>
      <w:numFmt w:val="lowerLetter"/>
      <w:lvlText w:val="%5."/>
      <w:lvlJc w:val="left"/>
      <w:pPr>
        <w:ind w:left="6973" w:hanging="360"/>
      </w:pPr>
    </w:lvl>
    <w:lvl w:ilvl="5" w:tplc="3809001B" w:tentative="1">
      <w:start w:val="1"/>
      <w:numFmt w:val="lowerRoman"/>
      <w:lvlText w:val="%6."/>
      <w:lvlJc w:val="right"/>
      <w:pPr>
        <w:ind w:left="7693" w:hanging="180"/>
      </w:pPr>
    </w:lvl>
    <w:lvl w:ilvl="6" w:tplc="3809000F" w:tentative="1">
      <w:start w:val="1"/>
      <w:numFmt w:val="decimal"/>
      <w:lvlText w:val="%7."/>
      <w:lvlJc w:val="left"/>
      <w:pPr>
        <w:ind w:left="8413" w:hanging="360"/>
      </w:pPr>
    </w:lvl>
    <w:lvl w:ilvl="7" w:tplc="38090019" w:tentative="1">
      <w:start w:val="1"/>
      <w:numFmt w:val="lowerLetter"/>
      <w:lvlText w:val="%8."/>
      <w:lvlJc w:val="left"/>
      <w:pPr>
        <w:ind w:left="9133" w:hanging="360"/>
      </w:pPr>
    </w:lvl>
    <w:lvl w:ilvl="8" w:tplc="3809001B" w:tentative="1">
      <w:start w:val="1"/>
      <w:numFmt w:val="lowerRoman"/>
      <w:lvlText w:val="%9."/>
      <w:lvlJc w:val="right"/>
      <w:pPr>
        <w:ind w:left="9853" w:hanging="180"/>
      </w:pPr>
    </w:lvl>
  </w:abstractNum>
  <w:abstractNum w:abstractNumId="3">
    <w:nsid w:val="7EDA3884"/>
    <w:multiLevelType w:val="hybridMultilevel"/>
    <w:tmpl w:val="B3764DD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93"/>
    <w:rsid w:val="001124D7"/>
    <w:rsid w:val="001402DE"/>
    <w:rsid w:val="00176353"/>
    <w:rsid w:val="00191A30"/>
    <w:rsid w:val="0026359D"/>
    <w:rsid w:val="002876C1"/>
    <w:rsid w:val="003B0ECA"/>
    <w:rsid w:val="003E1B78"/>
    <w:rsid w:val="004C41EC"/>
    <w:rsid w:val="005B442F"/>
    <w:rsid w:val="005C12F2"/>
    <w:rsid w:val="0071463B"/>
    <w:rsid w:val="0077404E"/>
    <w:rsid w:val="007C14AE"/>
    <w:rsid w:val="007D7C05"/>
    <w:rsid w:val="00825C51"/>
    <w:rsid w:val="008B1E52"/>
    <w:rsid w:val="009A7767"/>
    <w:rsid w:val="00A43271"/>
    <w:rsid w:val="00B857D7"/>
    <w:rsid w:val="00B94517"/>
    <w:rsid w:val="00BF50FC"/>
    <w:rsid w:val="00C07BAC"/>
    <w:rsid w:val="00C75A95"/>
    <w:rsid w:val="00CB0793"/>
    <w:rsid w:val="00D74CB7"/>
    <w:rsid w:val="00E90A2C"/>
    <w:rsid w:val="00EB1270"/>
    <w:rsid w:val="00F3199A"/>
    <w:rsid w:val="00FA5A3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d-ID" w:eastAsia="en-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 Samarah"/>
    <w:qFormat/>
    <w:rsid w:val="005D7691"/>
    <w:rPr>
      <w:rFonts w:asciiTheme="majorBidi" w:hAnsiTheme="maj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Footnote Text Char Char Char Char,Footnote Text Char Char Char"/>
    <w:basedOn w:val="Normal"/>
    <w:link w:val="FootnoteTextChar"/>
    <w:uiPriority w:val="99"/>
    <w:unhideWhenUsed/>
    <w:qFormat/>
    <w:rsid w:val="001F032E"/>
    <w:pPr>
      <w:framePr w:wrap="notBeside" w:hAnchor="text"/>
      <w:ind w:firstLine="720"/>
    </w:pPr>
    <w:rPr>
      <w:rFonts w:ascii="Times New Roman" w:hAnsi="Times New Roman"/>
      <w:sz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1F032E"/>
    <w:rPr>
      <w:rFonts w:ascii="Times New Roman" w:hAnsi="Times New Roman"/>
      <w:sz w:val="20"/>
    </w:rPr>
  </w:style>
  <w:style w:type="paragraph" w:styleId="HTMLPreformatted">
    <w:name w:val="HTML Preformatted"/>
    <w:basedOn w:val="Normal"/>
    <w:link w:val="HTMLPreformattedChar"/>
    <w:uiPriority w:val="99"/>
    <w:semiHidden/>
    <w:unhideWhenUsed/>
    <w:rsid w:val="000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22A"/>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95121F"/>
    <w:pPr>
      <w:ind w:left="720"/>
      <w:contextualSpacing/>
    </w:pPr>
  </w:style>
  <w:style w:type="character" w:styleId="Hyperlink">
    <w:name w:val="Hyperlink"/>
    <w:basedOn w:val="DefaultParagraphFont"/>
    <w:uiPriority w:val="99"/>
    <w:unhideWhenUsed/>
    <w:rsid w:val="00365BC0"/>
    <w:rPr>
      <w:color w:val="0000FF"/>
      <w:u w:val="single"/>
    </w:rPr>
  </w:style>
  <w:style w:type="table" w:styleId="TableGrid">
    <w:name w:val="Table Grid"/>
    <w:basedOn w:val="TableNormal"/>
    <w:uiPriority w:val="59"/>
    <w:rsid w:val="00365BC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1BD9"/>
    <w:pPr>
      <w:tabs>
        <w:tab w:val="center" w:pos="4513"/>
        <w:tab w:val="right" w:pos="9026"/>
      </w:tabs>
    </w:pPr>
  </w:style>
  <w:style w:type="character" w:customStyle="1" w:styleId="HeaderChar">
    <w:name w:val="Header Char"/>
    <w:basedOn w:val="DefaultParagraphFont"/>
    <w:link w:val="Header"/>
    <w:uiPriority w:val="99"/>
    <w:rsid w:val="00521BD9"/>
    <w:rPr>
      <w:rFonts w:asciiTheme="majorBidi" w:hAnsiTheme="majorBidi"/>
      <w:sz w:val="24"/>
    </w:rPr>
  </w:style>
  <w:style w:type="paragraph" w:styleId="Footer">
    <w:name w:val="footer"/>
    <w:basedOn w:val="Normal"/>
    <w:link w:val="FooterChar"/>
    <w:uiPriority w:val="99"/>
    <w:unhideWhenUsed/>
    <w:rsid w:val="00521BD9"/>
    <w:pPr>
      <w:tabs>
        <w:tab w:val="center" w:pos="4513"/>
        <w:tab w:val="right" w:pos="9026"/>
      </w:tabs>
    </w:pPr>
  </w:style>
  <w:style w:type="character" w:customStyle="1" w:styleId="FooterChar">
    <w:name w:val="Footer Char"/>
    <w:basedOn w:val="DefaultParagraphFont"/>
    <w:link w:val="Footer"/>
    <w:uiPriority w:val="99"/>
    <w:rsid w:val="00521BD9"/>
    <w:rPr>
      <w:rFonts w:asciiTheme="majorBidi" w:hAnsiTheme="majorBidi"/>
      <w:sz w:val="24"/>
    </w:rPr>
  </w:style>
  <w:style w:type="character" w:styleId="FootnoteReference">
    <w:name w:val="footnote reference"/>
    <w:basedOn w:val="DefaultParagraphFont"/>
    <w:uiPriority w:val="99"/>
    <w:semiHidden/>
    <w:unhideWhenUsed/>
    <w:rsid w:val="00DD4EDE"/>
    <w:rPr>
      <w:vertAlign w:val="superscript"/>
    </w:rPr>
  </w:style>
  <w:style w:type="paragraph" w:styleId="Bibliography">
    <w:name w:val="Bibliography"/>
    <w:basedOn w:val="Normal"/>
    <w:next w:val="Normal"/>
    <w:uiPriority w:val="37"/>
    <w:unhideWhenUsed/>
    <w:rsid w:val="00F848B7"/>
    <w:pPr>
      <w:spacing w:after="160" w:line="259" w:lineRule="auto"/>
      <w:jc w:val="left"/>
    </w:pPr>
    <w:rPr>
      <w:rFonts w:asciiTheme="minorHAnsi" w:hAnsiTheme="minorHAnsi"/>
      <w:sz w:val="22"/>
      <w:lang w:val="en-ID"/>
    </w:rPr>
  </w:style>
  <w:style w:type="character" w:styleId="PageNumber">
    <w:name w:val="page number"/>
    <w:basedOn w:val="DefaultParagraphFont"/>
    <w:uiPriority w:val="99"/>
    <w:semiHidden/>
    <w:unhideWhenUsed/>
    <w:rsid w:val="00F30BF7"/>
  </w:style>
  <w:style w:type="character" w:customStyle="1" w:styleId="ts-alignment-element">
    <w:name w:val="ts-alignment-element"/>
    <w:basedOn w:val="DefaultParagraphFont"/>
    <w:rsid w:val="0029264E"/>
  </w:style>
  <w:style w:type="character" w:customStyle="1" w:styleId="apple-converted-space">
    <w:name w:val="apple-converted-space"/>
    <w:basedOn w:val="DefaultParagraphFont"/>
    <w:rsid w:val="0029264E"/>
  </w:style>
  <w:style w:type="paragraph" w:customStyle="1" w:styleId="Bibliografi1">
    <w:name w:val="Bibliografi1"/>
    <w:basedOn w:val="Normal"/>
    <w:link w:val="BibliographyKAR"/>
    <w:rsid w:val="0033420F"/>
    <w:pPr>
      <w:ind w:left="720" w:hanging="720"/>
      <w:jc w:val="left"/>
    </w:pPr>
    <w:rPr>
      <w:rFonts w:asciiTheme="minorHAnsi" w:hAnsiTheme="minorHAnsi"/>
    </w:rPr>
  </w:style>
  <w:style w:type="character" w:customStyle="1" w:styleId="BibliographyKAR">
    <w:name w:val="Bibliography KAR"/>
    <w:basedOn w:val="DefaultParagraphFont"/>
    <w:link w:val="Bibliografi1"/>
    <w:rsid w:val="0033420F"/>
    <w:rPr>
      <w:sz w:val="24"/>
      <w:szCs w:val="24"/>
    </w:rPr>
  </w:style>
  <w:style w:type="character" w:customStyle="1" w:styleId="y2iqfc">
    <w:name w:val="y2iqfc"/>
    <w:basedOn w:val="DefaultParagraphFont"/>
    <w:rsid w:val="0063265D"/>
  </w:style>
  <w:style w:type="character" w:customStyle="1" w:styleId="UnresolvedMention">
    <w:name w:val="Unresolved Mention"/>
    <w:basedOn w:val="DefaultParagraphFont"/>
    <w:uiPriority w:val="99"/>
    <w:semiHidden/>
    <w:unhideWhenUsed/>
    <w:rsid w:val="001451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jc w:val="left"/>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jc w:val="left"/>
    </w:p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A43271"/>
    <w:rPr>
      <w:rFonts w:asciiTheme="majorBidi" w:hAnsi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d-ID" w:eastAsia="en-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 Samarah"/>
    <w:qFormat/>
    <w:rsid w:val="005D7691"/>
    <w:rPr>
      <w:rFonts w:asciiTheme="majorBidi" w:hAnsiTheme="maj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Footnote Text Char Char Char Char,Footnote Text Char Char Char"/>
    <w:basedOn w:val="Normal"/>
    <w:link w:val="FootnoteTextChar"/>
    <w:uiPriority w:val="99"/>
    <w:unhideWhenUsed/>
    <w:qFormat/>
    <w:rsid w:val="001F032E"/>
    <w:pPr>
      <w:framePr w:wrap="notBeside" w:hAnchor="text"/>
      <w:ind w:firstLine="720"/>
    </w:pPr>
    <w:rPr>
      <w:rFonts w:ascii="Times New Roman" w:hAnsi="Times New Roman"/>
      <w:sz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1F032E"/>
    <w:rPr>
      <w:rFonts w:ascii="Times New Roman" w:hAnsi="Times New Roman"/>
      <w:sz w:val="20"/>
    </w:rPr>
  </w:style>
  <w:style w:type="paragraph" w:styleId="HTMLPreformatted">
    <w:name w:val="HTML Preformatted"/>
    <w:basedOn w:val="Normal"/>
    <w:link w:val="HTMLPreformattedChar"/>
    <w:uiPriority w:val="99"/>
    <w:semiHidden/>
    <w:unhideWhenUsed/>
    <w:rsid w:val="000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322A"/>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95121F"/>
    <w:pPr>
      <w:ind w:left="720"/>
      <w:contextualSpacing/>
    </w:pPr>
  </w:style>
  <w:style w:type="character" w:styleId="Hyperlink">
    <w:name w:val="Hyperlink"/>
    <w:basedOn w:val="DefaultParagraphFont"/>
    <w:uiPriority w:val="99"/>
    <w:unhideWhenUsed/>
    <w:rsid w:val="00365BC0"/>
    <w:rPr>
      <w:color w:val="0000FF"/>
      <w:u w:val="single"/>
    </w:rPr>
  </w:style>
  <w:style w:type="table" w:styleId="TableGrid">
    <w:name w:val="Table Grid"/>
    <w:basedOn w:val="TableNormal"/>
    <w:uiPriority w:val="59"/>
    <w:rsid w:val="00365BC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1BD9"/>
    <w:pPr>
      <w:tabs>
        <w:tab w:val="center" w:pos="4513"/>
        <w:tab w:val="right" w:pos="9026"/>
      </w:tabs>
    </w:pPr>
  </w:style>
  <w:style w:type="character" w:customStyle="1" w:styleId="HeaderChar">
    <w:name w:val="Header Char"/>
    <w:basedOn w:val="DefaultParagraphFont"/>
    <w:link w:val="Header"/>
    <w:uiPriority w:val="99"/>
    <w:rsid w:val="00521BD9"/>
    <w:rPr>
      <w:rFonts w:asciiTheme="majorBidi" w:hAnsiTheme="majorBidi"/>
      <w:sz w:val="24"/>
    </w:rPr>
  </w:style>
  <w:style w:type="paragraph" w:styleId="Footer">
    <w:name w:val="footer"/>
    <w:basedOn w:val="Normal"/>
    <w:link w:val="FooterChar"/>
    <w:uiPriority w:val="99"/>
    <w:unhideWhenUsed/>
    <w:rsid w:val="00521BD9"/>
    <w:pPr>
      <w:tabs>
        <w:tab w:val="center" w:pos="4513"/>
        <w:tab w:val="right" w:pos="9026"/>
      </w:tabs>
    </w:pPr>
  </w:style>
  <w:style w:type="character" w:customStyle="1" w:styleId="FooterChar">
    <w:name w:val="Footer Char"/>
    <w:basedOn w:val="DefaultParagraphFont"/>
    <w:link w:val="Footer"/>
    <w:uiPriority w:val="99"/>
    <w:rsid w:val="00521BD9"/>
    <w:rPr>
      <w:rFonts w:asciiTheme="majorBidi" w:hAnsiTheme="majorBidi"/>
      <w:sz w:val="24"/>
    </w:rPr>
  </w:style>
  <w:style w:type="character" w:styleId="FootnoteReference">
    <w:name w:val="footnote reference"/>
    <w:basedOn w:val="DefaultParagraphFont"/>
    <w:uiPriority w:val="99"/>
    <w:semiHidden/>
    <w:unhideWhenUsed/>
    <w:rsid w:val="00DD4EDE"/>
    <w:rPr>
      <w:vertAlign w:val="superscript"/>
    </w:rPr>
  </w:style>
  <w:style w:type="paragraph" w:styleId="Bibliography">
    <w:name w:val="Bibliography"/>
    <w:basedOn w:val="Normal"/>
    <w:next w:val="Normal"/>
    <w:uiPriority w:val="37"/>
    <w:unhideWhenUsed/>
    <w:rsid w:val="00F848B7"/>
    <w:pPr>
      <w:spacing w:after="160" w:line="259" w:lineRule="auto"/>
      <w:jc w:val="left"/>
    </w:pPr>
    <w:rPr>
      <w:rFonts w:asciiTheme="minorHAnsi" w:hAnsiTheme="minorHAnsi"/>
      <w:sz w:val="22"/>
      <w:lang w:val="en-ID"/>
    </w:rPr>
  </w:style>
  <w:style w:type="character" w:styleId="PageNumber">
    <w:name w:val="page number"/>
    <w:basedOn w:val="DefaultParagraphFont"/>
    <w:uiPriority w:val="99"/>
    <w:semiHidden/>
    <w:unhideWhenUsed/>
    <w:rsid w:val="00F30BF7"/>
  </w:style>
  <w:style w:type="character" w:customStyle="1" w:styleId="ts-alignment-element">
    <w:name w:val="ts-alignment-element"/>
    <w:basedOn w:val="DefaultParagraphFont"/>
    <w:rsid w:val="0029264E"/>
  </w:style>
  <w:style w:type="character" w:customStyle="1" w:styleId="apple-converted-space">
    <w:name w:val="apple-converted-space"/>
    <w:basedOn w:val="DefaultParagraphFont"/>
    <w:rsid w:val="0029264E"/>
  </w:style>
  <w:style w:type="paragraph" w:customStyle="1" w:styleId="Bibliografi1">
    <w:name w:val="Bibliografi1"/>
    <w:basedOn w:val="Normal"/>
    <w:link w:val="BibliographyKAR"/>
    <w:rsid w:val="0033420F"/>
    <w:pPr>
      <w:ind w:left="720" w:hanging="720"/>
      <w:jc w:val="left"/>
    </w:pPr>
    <w:rPr>
      <w:rFonts w:asciiTheme="minorHAnsi" w:hAnsiTheme="minorHAnsi"/>
    </w:rPr>
  </w:style>
  <w:style w:type="character" w:customStyle="1" w:styleId="BibliographyKAR">
    <w:name w:val="Bibliography KAR"/>
    <w:basedOn w:val="DefaultParagraphFont"/>
    <w:link w:val="Bibliografi1"/>
    <w:rsid w:val="0033420F"/>
    <w:rPr>
      <w:sz w:val="24"/>
      <w:szCs w:val="24"/>
    </w:rPr>
  </w:style>
  <w:style w:type="character" w:customStyle="1" w:styleId="y2iqfc">
    <w:name w:val="y2iqfc"/>
    <w:basedOn w:val="DefaultParagraphFont"/>
    <w:rsid w:val="0063265D"/>
  </w:style>
  <w:style w:type="character" w:customStyle="1" w:styleId="UnresolvedMention">
    <w:name w:val="Unresolved Mention"/>
    <w:basedOn w:val="DefaultParagraphFont"/>
    <w:uiPriority w:val="99"/>
    <w:semiHidden/>
    <w:unhideWhenUsed/>
    <w:rsid w:val="001451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jc w:val="left"/>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jc w:val="left"/>
    </w:p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A43271"/>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miti_yarmunida@mail.uinfasbengkulu.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9sGK9aHq4BW9AB7t1AaJfIu6Bg==">AMUW2mUJJgI/EOYnYG6UbElSZIKMP5ODINAzWPLuIjLGs+5lo6gCD4IBnF1A7J2yvRE/taVO+Mmz08i+p38iqt3XKFrXR9ptbMkg3+Dye5JcWh1DnCTQTXaOUOHhVhcv2cbb3lXJMrXe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3C2393-285D-4C92-976C-67559E38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X1 Yoga</cp:lastModifiedBy>
  <cp:revision>3</cp:revision>
  <dcterms:created xsi:type="dcterms:W3CDTF">2024-05-18T04:41:00Z</dcterms:created>
  <dcterms:modified xsi:type="dcterms:W3CDTF">2024-05-18T04:49:00Z</dcterms:modified>
</cp:coreProperties>
</file>