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39506" w14:textId="77777777" w:rsidR="00B943FD" w:rsidRDefault="00B943FD" w:rsidP="00B943FD">
      <w:pPr>
        <w:jc w:val="center"/>
        <w:rPr>
          <w:rFonts w:ascii="Garamond" w:eastAsia="Garamond" w:hAnsi="Garamond" w:cs="Garamond"/>
          <w:b/>
          <w:sz w:val="32"/>
          <w:szCs w:val="32"/>
        </w:rPr>
      </w:pPr>
    </w:p>
    <w:p w14:paraId="0FB81F9E" w14:textId="106044E7" w:rsidR="00545F82" w:rsidRDefault="0095124D" w:rsidP="00B943FD">
      <w:pPr>
        <w:jc w:val="center"/>
        <w:rPr>
          <w:rFonts w:ascii="Garamond" w:eastAsia="Garamond" w:hAnsi="Garamond" w:cs="Garamond"/>
          <w:b/>
          <w:sz w:val="32"/>
          <w:szCs w:val="32"/>
        </w:rPr>
      </w:pPr>
      <w:r w:rsidRPr="00B943FD">
        <w:rPr>
          <w:rFonts w:ascii="Garamond" w:eastAsia="Garamond" w:hAnsi="Garamond" w:cs="Garamond"/>
          <w:b/>
          <w:sz w:val="32"/>
          <w:szCs w:val="32"/>
        </w:rPr>
        <w:t>Elderly Muslims</w:t>
      </w:r>
      <w:r>
        <w:rPr>
          <w:rFonts w:ascii="Garamond" w:eastAsia="Garamond" w:hAnsi="Garamond" w:cs="Garamond"/>
          <w:b/>
          <w:sz w:val="32"/>
          <w:szCs w:val="32"/>
        </w:rPr>
        <w:t xml:space="preserve">, </w:t>
      </w:r>
      <w:r w:rsidRPr="00B943FD">
        <w:rPr>
          <w:rFonts w:ascii="Garamond" w:eastAsia="Garamond" w:hAnsi="Garamond" w:cs="Garamond"/>
          <w:b/>
          <w:sz w:val="32"/>
          <w:szCs w:val="32"/>
        </w:rPr>
        <w:t xml:space="preserve">Mosques </w:t>
      </w:r>
      <w:r>
        <w:rPr>
          <w:rFonts w:ascii="Garamond" w:eastAsia="Garamond" w:hAnsi="Garamond" w:cs="Garamond"/>
          <w:b/>
          <w:sz w:val="32"/>
          <w:szCs w:val="32"/>
        </w:rPr>
        <w:t xml:space="preserve">and </w:t>
      </w:r>
      <w:r w:rsidR="00B943FD" w:rsidRPr="00B943FD">
        <w:rPr>
          <w:rFonts w:ascii="Garamond" w:eastAsia="Garamond" w:hAnsi="Garamond" w:cs="Garamond"/>
          <w:b/>
          <w:sz w:val="32"/>
          <w:szCs w:val="32"/>
        </w:rPr>
        <w:t xml:space="preserve">Restrictions </w:t>
      </w:r>
      <w:r w:rsidR="00B943FD">
        <w:rPr>
          <w:rFonts w:ascii="Garamond" w:eastAsia="Garamond" w:hAnsi="Garamond" w:cs="Garamond"/>
          <w:b/>
          <w:sz w:val="32"/>
          <w:szCs w:val="32"/>
        </w:rPr>
        <w:t>o</w:t>
      </w:r>
      <w:r w:rsidR="00B943FD" w:rsidRPr="00B943FD">
        <w:rPr>
          <w:rFonts w:ascii="Garamond" w:eastAsia="Garamond" w:hAnsi="Garamond" w:cs="Garamond"/>
          <w:b/>
          <w:sz w:val="32"/>
          <w:szCs w:val="32"/>
        </w:rPr>
        <w:t xml:space="preserve">n Worship: Cognitive Responses </w:t>
      </w:r>
      <w:r w:rsidR="00B943FD">
        <w:rPr>
          <w:rFonts w:ascii="Garamond" w:eastAsia="Garamond" w:hAnsi="Garamond" w:cs="Garamond"/>
          <w:b/>
          <w:sz w:val="32"/>
          <w:szCs w:val="32"/>
        </w:rPr>
        <w:t>i</w:t>
      </w:r>
      <w:r w:rsidR="00B943FD" w:rsidRPr="00B943FD">
        <w:rPr>
          <w:rFonts w:ascii="Garamond" w:eastAsia="Garamond" w:hAnsi="Garamond" w:cs="Garamond"/>
          <w:b/>
          <w:sz w:val="32"/>
          <w:szCs w:val="32"/>
        </w:rPr>
        <w:t xml:space="preserve">n </w:t>
      </w:r>
      <w:r w:rsidR="00A37531">
        <w:rPr>
          <w:rFonts w:ascii="Garamond" w:eastAsia="Garamond" w:hAnsi="Garamond" w:cs="Garamond"/>
          <w:b/>
          <w:sz w:val="32"/>
          <w:szCs w:val="32"/>
        </w:rPr>
        <w:t>t</w:t>
      </w:r>
      <w:r w:rsidR="00B943FD" w:rsidRPr="00B943FD">
        <w:rPr>
          <w:rFonts w:ascii="Garamond" w:eastAsia="Garamond" w:hAnsi="Garamond" w:cs="Garamond"/>
          <w:b/>
          <w:sz w:val="32"/>
          <w:szCs w:val="32"/>
        </w:rPr>
        <w:t>he Covid-19 Red Zone</w:t>
      </w:r>
    </w:p>
    <w:p w14:paraId="2A2A16F8" w14:textId="77777777" w:rsidR="0011369C" w:rsidRDefault="0011369C" w:rsidP="00B943FD">
      <w:pPr>
        <w:jc w:val="center"/>
        <w:rPr>
          <w:rFonts w:ascii="Garamond" w:eastAsia="Garamond" w:hAnsi="Garamond" w:cs="Garamond"/>
          <w:b/>
          <w:sz w:val="32"/>
          <w:szCs w:val="32"/>
        </w:rPr>
      </w:pPr>
    </w:p>
    <w:p w14:paraId="7C9347F9" w14:textId="2270E2F9" w:rsidR="0011369C" w:rsidRPr="0011369C" w:rsidRDefault="0011369C" w:rsidP="00B943FD">
      <w:pPr>
        <w:jc w:val="center"/>
        <w:rPr>
          <w:rFonts w:ascii="Garamond" w:eastAsia="Garamond" w:hAnsi="Garamond" w:cs="Garamond"/>
          <w:b/>
        </w:rPr>
      </w:pPr>
      <w:r w:rsidRPr="0011369C">
        <w:rPr>
          <w:rFonts w:ascii="Garamond" w:eastAsia="Garamond" w:hAnsi="Garamond" w:cs="Garamond"/>
          <w:b/>
        </w:rPr>
        <w:t>Poppi Damayanti</w:t>
      </w:r>
      <w:r w:rsidRPr="0011369C">
        <w:rPr>
          <w:rFonts w:ascii="Garamond" w:eastAsia="Garamond" w:hAnsi="Garamond" w:cs="Garamond"/>
          <w:b/>
          <w:vertAlign w:val="superscript"/>
        </w:rPr>
        <w:t>1</w:t>
      </w:r>
      <w:r w:rsidRPr="0011369C">
        <w:rPr>
          <w:rFonts w:ascii="Garamond" w:eastAsia="Garamond" w:hAnsi="Garamond" w:cs="Garamond"/>
          <w:b/>
        </w:rPr>
        <w:t>, Ihsan Rahmat</w:t>
      </w:r>
      <w:r w:rsidRPr="0011369C">
        <w:rPr>
          <w:rFonts w:ascii="Garamond" w:eastAsia="Garamond" w:hAnsi="Garamond" w:cs="Garamond"/>
          <w:b/>
          <w:vertAlign w:val="superscript"/>
        </w:rPr>
        <w:t>2</w:t>
      </w:r>
      <w:r w:rsidRPr="0011369C">
        <w:rPr>
          <w:rFonts w:ascii="Garamond" w:eastAsia="Garamond" w:hAnsi="Garamond" w:cs="Garamond"/>
          <w:b/>
        </w:rPr>
        <w:t>*, Vira Oktavia</w:t>
      </w:r>
      <w:r w:rsidRPr="0011369C">
        <w:rPr>
          <w:rFonts w:ascii="Garamond" w:eastAsia="Garamond" w:hAnsi="Garamond" w:cs="Garamond"/>
          <w:b/>
          <w:vertAlign w:val="superscript"/>
        </w:rPr>
        <w:t>3</w:t>
      </w:r>
    </w:p>
    <w:p w14:paraId="2574FD38" w14:textId="3D40B6E6" w:rsidR="0011369C" w:rsidRDefault="0011369C" w:rsidP="00B943FD">
      <w:pPr>
        <w:jc w:val="center"/>
        <w:rPr>
          <w:rFonts w:ascii="Garamond" w:eastAsia="Garamond" w:hAnsi="Garamond" w:cs="Garamond"/>
          <w:bCs/>
          <w:lang w:val="en-ID"/>
        </w:rPr>
      </w:pPr>
      <w:r w:rsidRPr="0011369C">
        <w:rPr>
          <w:rFonts w:ascii="Garamond" w:eastAsia="Garamond" w:hAnsi="Garamond" w:cs="Garamond"/>
          <w:bCs/>
          <w:vertAlign w:val="superscript"/>
          <w:lang w:val="en-ID"/>
        </w:rPr>
        <w:t>1,2,3</w:t>
      </w:r>
      <w:r w:rsidRPr="0011369C">
        <w:rPr>
          <w:rFonts w:ascii="Garamond" w:eastAsia="Garamond" w:hAnsi="Garamond" w:cs="Garamond"/>
          <w:bCs/>
          <w:lang w:val="en-ID"/>
        </w:rPr>
        <w:t xml:space="preserve"> UIN Fatmawati Sukarno Bengkulu, Indones</w:t>
      </w:r>
      <w:r>
        <w:rPr>
          <w:rFonts w:ascii="Garamond" w:eastAsia="Garamond" w:hAnsi="Garamond" w:cs="Garamond"/>
          <w:bCs/>
          <w:lang w:val="en-ID"/>
        </w:rPr>
        <w:t>ia</w:t>
      </w:r>
    </w:p>
    <w:p w14:paraId="7E21266D" w14:textId="36143AA2" w:rsidR="0011369C" w:rsidRPr="0011369C" w:rsidRDefault="0011369C" w:rsidP="00B943FD">
      <w:pPr>
        <w:jc w:val="center"/>
        <w:rPr>
          <w:rFonts w:ascii="Garamond" w:eastAsia="Garamond" w:hAnsi="Garamond" w:cs="Garamond"/>
          <w:bCs/>
          <w:sz w:val="22"/>
          <w:szCs w:val="22"/>
          <w:lang w:val="en-ID"/>
        </w:rPr>
      </w:pPr>
      <w:r w:rsidRPr="0011369C">
        <w:rPr>
          <w:rFonts w:ascii="Garamond" w:eastAsia="Garamond" w:hAnsi="Garamond" w:cs="Garamond"/>
          <w:b/>
          <w:sz w:val="22"/>
          <w:szCs w:val="22"/>
          <w:lang w:val="en-ID"/>
        </w:rPr>
        <w:t>*Corresponding Author:</w:t>
      </w:r>
      <w:r>
        <w:rPr>
          <w:rFonts w:ascii="Garamond" w:eastAsia="Garamond" w:hAnsi="Garamond" w:cs="Garamond"/>
          <w:bCs/>
          <w:sz w:val="22"/>
          <w:szCs w:val="22"/>
          <w:lang w:val="en-ID"/>
        </w:rPr>
        <w:t xml:space="preserve"> ihsanrahmat@mail.uinfasbengkulu.ac.id</w:t>
      </w:r>
    </w:p>
    <w:p w14:paraId="04228A55" w14:textId="77777777" w:rsidR="00545F82" w:rsidRPr="0011369C" w:rsidRDefault="00545F82">
      <w:pPr>
        <w:ind w:right="840"/>
        <w:rPr>
          <w:rFonts w:ascii="Garamond" w:eastAsia="Garamond" w:hAnsi="Garamond" w:cs="Garamond"/>
          <w:b/>
          <w:lang w:val="en-ID"/>
        </w:rPr>
      </w:pPr>
    </w:p>
    <w:p w14:paraId="3C2193C7" w14:textId="77777777" w:rsidR="00545F82" w:rsidRPr="0011369C" w:rsidRDefault="00545F82">
      <w:pPr>
        <w:ind w:right="840"/>
        <w:rPr>
          <w:rFonts w:ascii="Garamond" w:eastAsia="Garamond" w:hAnsi="Garamond" w:cs="Garamond"/>
          <w:b/>
          <w:lang w:val="en-ID"/>
        </w:rPr>
      </w:pPr>
    </w:p>
    <w:tbl>
      <w:tblPr>
        <w:tblStyle w:val="2"/>
        <w:tblW w:w="8503" w:type="dxa"/>
        <w:tblBorders>
          <w:top w:val="nil"/>
          <w:left w:val="nil"/>
          <w:bottom w:val="nil"/>
          <w:right w:val="nil"/>
          <w:insideH w:val="nil"/>
          <w:insideV w:val="nil"/>
        </w:tblBorders>
        <w:tblLayout w:type="fixed"/>
        <w:tblLook w:val="0600" w:firstRow="0" w:lastRow="0" w:firstColumn="0" w:lastColumn="0" w:noHBand="1" w:noVBand="1"/>
      </w:tblPr>
      <w:tblGrid>
        <w:gridCol w:w="2118"/>
        <w:gridCol w:w="537"/>
        <w:gridCol w:w="5848"/>
      </w:tblGrid>
      <w:tr w:rsidR="00545F82" w14:paraId="386F6414" w14:textId="77777777">
        <w:trPr>
          <w:trHeight w:val="375"/>
        </w:trPr>
        <w:tc>
          <w:tcPr>
            <w:tcW w:w="2118" w:type="dxa"/>
            <w:tcBorders>
              <w:top w:val="single" w:sz="12" w:space="0" w:color="000000"/>
              <w:left w:val="nil"/>
              <w:bottom w:val="single" w:sz="8" w:space="0" w:color="000000"/>
              <w:right w:val="nil"/>
            </w:tcBorders>
            <w:tcMar>
              <w:top w:w="100" w:type="dxa"/>
              <w:left w:w="100" w:type="dxa"/>
              <w:bottom w:w="100" w:type="dxa"/>
              <w:right w:w="100" w:type="dxa"/>
            </w:tcMar>
          </w:tcPr>
          <w:p w14:paraId="6F2F1C45" w14:textId="77777777" w:rsidR="00545F82" w:rsidRDefault="009D0906">
            <w:pPr>
              <w:jc w:val="center"/>
              <w:rPr>
                <w:rFonts w:ascii="Garamond" w:eastAsia="Garamond" w:hAnsi="Garamond" w:cs="Garamond"/>
                <w:b/>
                <w:sz w:val="20"/>
                <w:szCs w:val="20"/>
              </w:rPr>
            </w:pPr>
            <w:r>
              <w:rPr>
                <w:rFonts w:ascii="Garamond" w:eastAsia="Garamond" w:hAnsi="Garamond" w:cs="Garamond"/>
                <w:b/>
                <w:sz w:val="20"/>
                <w:szCs w:val="20"/>
              </w:rPr>
              <w:t>ARTICLE INFO</w:t>
            </w:r>
          </w:p>
        </w:tc>
        <w:tc>
          <w:tcPr>
            <w:tcW w:w="537" w:type="dxa"/>
            <w:tcBorders>
              <w:top w:val="single" w:sz="12" w:space="0" w:color="000000"/>
              <w:left w:val="nil"/>
              <w:bottom w:val="nil"/>
              <w:right w:val="nil"/>
            </w:tcBorders>
            <w:tcMar>
              <w:top w:w="100" w:type="dxa"/>
              <w:left w:w="100" w:type="dxa"/>
              <w:bottom w:w="100" w:type="dxa"/>
              <w:right w:w="100" w:type="dxa"/>
            </w:tcMar>
          </w:tcPr>
          <w:p w14:paraId="7D5C813E" w14:textId="77777777" w:rsidR="00545F82" w:rsidRDefault="009D0906">
            <w:pPr>
              <w:ind w:right="-100"/>
              <w:jc w:val="center"/>
              <w:rPr>
                <w:rFonts w:ascii="Garamond" w:eastAsia="Garamond" w:hAnsi="Garamond" w:cs="Garamond"/>
                <w:b/>
                <w:sz w:val="20"/>
                <w:szCs w:val="20"/>
              </w:rPr>
            </w:pPr>
            <w:r>
              <w:rPr>
                <w:rFonts w:ascii="Garamond" w:eastAsia="Garamond" w:hAnsi="Garamond" w:cs="Garamond"/>
                <w:b/>
                <w:sz w:val="20"/>
                <w:szCs w:val="20"/>
              </w:rPr>
              <w:t xml:space="preserve"> </w:t>
            </w:r>
          </w:p>
        </w:tc>
        <w:tc>
          <w:tcPr>
            <w:tcW w:w="5848" w:type="dxa"/>
            <w:tcBorders>
              <w:top w:val="single" w:sz="12" w:space="0" w:color="000000"/>
              <w:left w:val="nil"/>
              <w:bottom w:val="single" w:sz="8" w:space="0" w:color="000000"/>
              <w:right w:val="nil"/>
            </w:tcBorders>
            <w:tcMar>
              <w:top w:w="100" w:type="dxa"/>
              <w:left w:w="100" w:type="dxa"/>
              <w:bottom w:w="100" w:type="dxa"/>
              <w:right w:w="100" w:type="dxa"/>
            </w:tcMar>
          </w:tcPr>
          <w:p w14:paraId="60D7233A" w14:textId="77777777" w:rsidR="00545F82" w:rsidRDefault="009D0906">
            <w:pPr>
              <w:ind w:right="-100"/>
              <w:jc w:val="center"/>
              <w:rPr>
                <w:rFonts w:ascii="Garamond" w:eastAsia="Garamond" w:hAnsi="Garamond" w:cs="Garamond"/>
                <w:b/>
                <w:sz w:val="20"/>
                <w:szCs w:val="20"/>
              </w:rPr>
            </w:pPr>
            <w:r>
              <w:rPr>
                <w:rFonts w:ascii="Garamond" w:eastAsia="Garamond" w:hAnsi="Garamond" w:cs="Garamond"/>
                <w:b/>
                <w:sz w:val="20"/>
                <w:szCs w:val="20"/>
              </w:rPr>
              <w:t>ABSTRACT</w:t>
            </w:r>
          </w:p>
        </w:tc>
      </w:tr>
      <w:tr w:rsidR="00545F82" w14:paraId="115CD193" w14:textId="77777777">
        <w:trPr>
          <w:trHeight w:val="2415"/>
        </w:trPr>
        <w:tc>
          <w:tcPr>
            <w:tcW w:w="2118" w:type="dxa"/>
            <w:tcBorders>
              <w:top w:val="nil"/>
              <w:left w:val="nil"/>
              <w:right w:val="nil"/>
            </w:tcBorders>
            <w:tcMar>
              <w:top w:w="100" w:type="dxa"/>
              <w:left w:w="100" w:type="dxa"/>
              <w:bottom w:w="100" w:type="dxa"/>
              <w:right w:w="100" w:type="dxa"/>
            </w:tcMar>
          </w:tcPr>
          <w:p w14:paraId="245F1E59" w14:textId="77777777" w:rsidR="00545F82" w:rsidRDefault="009D0906">
            <w:pPr>
              <w:rPr>
                <w:rFonts w:ascii="Garamond" w:eastAsia="Garamond" w:hAnsi="Garamond" w:cs="Garamond"/>
                <w:i/>
                <w:sz w:val="20"/>
                <w:szCs w:val="20"/>
              </w:rPr>
            </w:pPr>
            <w:r>
              <w:rPr>
                <w:rFonts w:ascii="Garamond" w:eastAsia="Garamond" w:hAnsi="Garamond" w:cs="Garamond"/>
                <w:i/>
                <w:sz w:val="20"/>
                <w:szCs w:val="20"/>
              </w:rPr>
              <w:t>Article history:</w:t>
            </w:r>
          </w:p>
          <w:p w14:paraId="701BEFF4" w14:textId="77777777" w:rsidR="00545F82" w:rsidRDefault="009D0906">
            <w:pPr>
              <w:rPr>
                <w:rFonts w:ascii="Garamond" w:eastAsia="Garamond" w:hAnsi="Garamond" w:cs="Garamond"/>
                <w:sz w:val="20"/>
                <w:szCs w:val="20"/>
              </w:rPr>
            </w:pPr>
            <w:r>
              <w:rPr>
                <w:rFonts w:ascii="Garamond" w:eastAsia="Garamond" w:hAnsi="Garamond" w:cs="Garamond"/>
                <w:sz w:val="20"/>
                <w:szCs w:val="20"/>
              </w:rPr>
              <w:t>Received dd-mm-yy</w:t>
            </w:r>
          </w:p>
          <w:p w14:paraId="7AD1699C" w14:textId="77777777" w:rsidR="00545F82" w:rsidRDefault="009D0906">
            <w:pPr>
              <w:rPr>
                <w:rFonts w:ascii="Garamond" w:eastAsia="Garamond" w:hAnsi="Garamond" w:cs="Garamond"/>
                <w:sz w:val="20"/>
                <w:szCs w:val="20"/>
              </w:rPr>
            </w:pPr>
            <w:r>
              <w:rPr>
                <w:rFonts w:ascii="Garamond" w:eastAsia="Garamond" w:hAnsi="Garamond" w:cs="Garamond"/>
                <w:sz w:val="20"/>
                <w:szCs w:val="20"/>
              </w:rPr>
              <w:t>Revised dd-mm-yy</w:t>
            </w:r>
          </w:p>
          <w:p w14:paraId="4ECD7D2F" w14:textId="77777777" w:rsidR="00545F82" w:rsidRDefault="009D0906">
            <w:pPr>
              <w:rPr>
                <w:rFonts w:ascii="Garamond" w:eastAsia="Garamond" w:hAnsi="Garamond" w:cs="Garamond"/>
                <w:sz w:val="20"/>
                <w:szCs w:val="20"/>
              </w:rPr>
            </w:pPr>
            <w:r>
              <w:rPr>
                <w:rFonts w:ascii="Garamond" w:eastAsia="Garamond" w:hAnsi="Garamond" w:cs="Garamond"/>
                <w:sz w:val="20"/>
                <w:szCs w:val="20"/>
              </w:rPr>
              <w:t>Accepted dd-mm-yy</w:t>
            </w:r>
          </w:p>
          <w:p w14:paraId="3C484320" w14:textId="77777777" w:rsidR="00545F82" w:rsidRDefault="009D0906">
            <w:pPr>
              <w:spacing w:before="240"/>
              <w:rPr>
                <w:rFonts w:ascii="Garamond" w:eastAsia="Garamond" w:hAnsi="Garamond" w:cs="Garamond"/>
                <w:i/>
                <w:sz w:val="20"/>
                <w:szCs w:val="20"/>
              </w:rPr>
            </w:pPr>
            <w:r>
              <w:rPr>
                <w:rFonts w:ascii="Garamond" w:eastAsia="Garamond" w:hAnsi="Garamond" w:cs="Garamond"/>
                <w:i/>
                <w:sz w:val="20"/>
                <w:szCs w:val="20"/>
              </w:rPr>
              <w:t>Keywords:</w:t>
            </w:r>
          </w:p>
          <w:p w14:paraId="3B43EE4E" w14:textId="36E166BB" w:rsidR="00545F82" w:rsidRDefault="00FE5F13">
            <w:pPr>
              <w:spacing w:before="240"/>
              <w:rPr>
                <w:rFonts w:ascii="Garamond" w:eastAsia="Garamond" w:hAnsi="Garamond" w:cs="Garamond"/>
                <w:i/>
                <w:sz w:val="20"/>
                <w:szCs w:val="20"/>
              </w:rPr>
            </w:pPr>
            <w:r>
              <w:rPr>
                <w:rFonts w:ascii="Garamond" w:eastAsia="Garamond" w:hAnsi="Garamond" w:cs="Garamond"/>
                <w:i/>
                <w:sz w:val="20"/>
                <w:szCs w:val="20"/>
              </w:rPr>
              <w:t xml:space="preserve">Elderly muslim; </w:t>
            </w:r>
            <w:r w:rsidRPr="00FE5F13">
              <w:rPr>
                <w:rFonts w:ascii="Garamond" w:eastAsia="Garamond" w:hAnsi="Garamond" w:cs="Garamond"/>
                <w:i/>
                <w:sz w:val="20"/>
                <w:szCs w:val="20"/>
              </w:rPr>
              <w:t>Restrictions on Worship</w:t>
            </w:r>
            <w:r>
              <w:rPr>
                <w:rFonts w:ascii="Garamond" w:eastAsia="Garamond" w:hAnsi="Garamond" w:cs="Garamond"/>
                <w:i/>
                <w:sz w:val="20"/>
                <w:szCs w:val="20"/>
              </w:rPr>
              <w:t xml:space="preserve">; Mosque; Covid-19. </w:t>
            </w:r>
          </w:p>
        </w:tc>
        <w:tc>
          <w:tcPr>
            <w:tcW w:w="537" w:type="dxa"/>
            <w:tcBorders>
              <w:top w:val="nil"/>
              <w:left w:val="nil"/>
              <w:bottom w:val="nil"/>
              <w:right w:val="nil"/>
            </w:tcBorders>
            <w:tcMar>
              <w:top w:w="100" w:type="dxa"/>
              <w:left w:w="100" w:type="dxa"/>
              <w:bottom w:w="100" w:type="dxa"/>
              <w:right w:w="100" w:type="dxa"/>
            </w:tcMar>
          </w:tcPr>
          <w:p w14:paraId="3819EB59" w14:textId="77777777" w:rsidR="00545F82" w:rsidRDefault="009D0906">
            <w:pPr>
              <w:spacing w:before="240" w:after="240"/>
              <w:jc w:val="both"/>
              <w:rPr>
                <w:rFonts w:ascii="Garamond" w:eastAsia="Garamond" w:hAnsi="Garamond" w:cs="Garamond"/>
                <w:i/>
                <w:color w:val="202124"/>
                <w:sz w:val="20"/>
                <w:szCs w:val="20"/>
              </w:rPr>
            </w:pPr>
            <w:r>
              <w:rPr>
                <w:rFonts w:ascii="Garamond" w:eastAsia="Garamond" w:hAnsi="Garamond" w:cs="Garamond"/>
                <w:i/>
                <w:color w:val="202124"/>
                <w:sz w:val="20"/>
                <w:szCs w:val="20"/>
              </w:rPr>
              <w:t xml:space="preserve"> </w:t>
            </w:r>
          </w:p>
        </w:tc>
        <w:tc>
          <w:tcPr>
            <w:tcW w:w="5848" w:type="dxa"/>
            <w:tcBorders>
              <w:top w:val="nil"/>
              <w:left w:val="nil"/>
              <w:right w:val="nil"/>
            </w:tcBorders>
            <w:tcMar>
              <w:top w:w="100" w:type="dxa"/>
              <w:left w:w="100" w:type="dxa"/>
              <w:bottom w:w="100" w:type="dxa"/>
              <w:right w:w="100" w:type="dxa"/>
            </w:tcMar>
          </w:tcPr>
          <w:p w14:paraId="556673F9" w14:textId="0A58D72F" w:rsidR="00545F82" w:rsidRPr="00143395" w:rsidRDefault="009D0906">
            <w:pPr>
              <w:jc w:val="both"/>
              <w:rPr>
                <w:rFonts w:ascii="Garamond" w:eastAsia="Garamond" w:hAnsi="Garamond" w:cs="Garamond"/>
                <w:iCs/>
                <w:color w:val="FF0000"/>
                <w:lang w:val="id-ID"/>
              </w:rPr>
            </w:pPr>
            <w:r w:rsidRPr="00143395">
              <w:rPr>
                <w:rFonts w:ascii="Garamond" w:eastAsia="Garamond" w:hAnsi="Garamond" w:cs="Garamond"/>
                <w:iCs/>
                <w:lang w:val="id-ID"/>
              </w:rPr>
              <w:t>Even though Indonesia has passed Covid-19, there are still various experiences on the ground that need to be uncovered. Many previous studies have discussed the relationship between mosques as places of worship that are considered resistant to Covid-19 restricting policies. Unfortunately, how elderly Muslims react as restriction policy-breaking subjects has not been elucidated. This article aims to explain elderly Muslims' cognitive response to restriction policy in Al-Mukmin and Asy-Syifa mosques, Bengkulu City, which are always in red zone. These two sample mosques are adjacent to the main referral hospital for Covid-19 patients in Bengkulu Province. Qualitative methods were used. Data were collected through interviews, observation and documentation. Triangulation techniques and sources were used to test the validity of the data. The results showed that cognitively, elderly Muslims know, understand, apply, critique, combine with basic knowledge and evaluate the rules. The combination with prior knowledge of older Muslims is considered to be the most urgent stage for the emergence of resistant views and behaviour towards the rules.  This finding has implications for government policy in critical times - not just limited to Covid-19 - to provide the same decision at the socio-economic level of society. It was felt that village government should include religious leaders in implementing central government policy.</w:t>
            </w:r>
          </w:p>
          <w:p w14:paraId="567BEB9A" w14:textId="77777777" w:rsidR="00545F82" w:rsidRPr="00A37531" w:rsidRDefault="00545F82">
            <w:pPr>
              <w:jc w:val="both"/>
              <w:rPr>
                <w:rFonts w:ascii="Garamond" w:eastAsia="Garamond" w:hAnsi="Garamond" w:cs="Garamond"/>
                <w:lang w:val="id-ID"/>
              </w:rPr>
            </w:pPr>
          </w:p>
          <w:p w14:paraId="6B0A4C1C" w14:textId="77777777" w:rsidR="00545F82" w:rsidRDefault="009D0906">
            <w:pPr>
              <w:ind w:left="-40" w:right="-40"/>
              <w:jc w:val="right"/>
              <w:rPr>
                <w:rFonts w:ascii="Garamond" w:eastAsia="Garamond" w:hAnsi="Garamond" w:cs="Garamond"/>
                <w:color w:val="202124"/>
                <w:sz w:val="20"/>
                <w:szCs w:val="20"/>
              </w:rPr>
            </w:pPr>
            <w:r>
              <w:rPr>
                <w:rFonts w:ascii="Garamond" w:eastAsia="Garamond" w:hAnsi="Garamond" w:cs="Garamond"/>
                <w:color w:val="202124"/>
                <w:sz w:val="20"/>
                <w:szCs w:val="20"/>
              </w:rPr>
              <w:t>© 2023 The Author(s)</w:t>
            </w:r>
          </w:p>
          <w:p w14:paraId="0516ADDC" w14:textId="1A1FE209" w:rsidR="00545F82" w:rsidRDefault="009D0906">
            <w:pPr>
              <w:jc w:val="right"/>
              <w:rPr>
                <w:rFonts w:ascii="Garamond" w:eastAsia="Garamond" w:hAnsi="Garamond" w:cs="Garamond"/>
                <w:color w:val="202124"/>
                <w:sz w:val="20"/>
                <w:szCs w:val="20"/>
              </w:rPr>
            </w:pPr>
            <w:r>
              <w:rPr>
                <w:rFonts w:ascii="Garamond" w:eastAsia="Garamond" w:hAnsi="Garamond" w:cs="Garamond"/>
                <w:b/>
                <w:sz w:val="20"/>
                <w:szCs w:val="20"/>
              </w:rPr>
              <w:t>DOI</w:t>
            </w:r>
            <w:r>
              <w:rPr>
                <w:rFonts w:ascii="Garamond" w:eastAsia="Garamond" w:hAnsi="Garamond" w:cs="Garamond"/>
                <w:sz w:val="20"/>
                <w:szCs w:val="20"/>
              </w:rPr>
              <w:t>: https://doi.org/10.15642/jim.v3i1.1116</w:t>
            </w:r>
          </w:p>
          <w:p w14:paraId="521882C0" w14:textId="77777777" w:rsidR="00545F82" w:rsidRDefault="00545F82" w:rsidP="009B58A1">
            <w:pPr>
              <w:ind w:right="-40"/>
              <w:rPr>
                <w:rFonts w:ascii="Garamond" w:eastAsia="Garamond" w:hAnsi="Garamond" w:cs="Garamond"/>
                <w:color w:val="202124"/>
                <w:sz w:val="20"/>
                <w:szCs w:val="20"/>
              </w:rPr>
            </w:pPr>
          </w:p>
        </w:tc>
      </w:tr>
      <w:tr w:rsidR="00545F82" w14:paraId="379A9D22" w14:textId="77777777">
        <w:trPr>
          <w:trHeight w:val="375"/>
        </w:trPr>
        <w:tc>
          <w:tcPr>
            <w:tcW w:w="8503" w:type="dxa"/>
            <w:gridSpan w:val="3"/>
            <w:tcBorders>
              <w:left w:val="nil"/>
              <w:bottom w:val="single" w:sz="12" w:space="0" w:color="000000"/>
              <w:right w:val="nil"/>
            </w:tcBorders>
            <w:tcMar>
              <w:top w:w="100" w:type="dxa"/>
              <w:left w:w="100" w:type="dxa"/>
              <w:bottom w:w="100" w:type="dxa"/>
              <w:right w:w="100" w:type="dxa"/>
            </w:tcMar>
          </w:tcPr>
          <w:p w14:paraId="30E0B55E" w14:textId="77777777" w:rsidR="00545F82" w:rsidRDefault="00545F82">
            <w:pPr>
              <w:jc w:val="both"/>
              <w:rPr>
                <w:rFonts w:ascii="Garamond" w:eastAsia="Garamond" w:hAnsi="Garamond" w:cs="Garamond"/>
                <w:sz w:val="20"/>
                <w:szCs w:val="20"/>
              </w:rPr>
            </w:pPr>
            <w:bookmarkStart w:id="0" w:name="_heading=h.gjdgxs" w:colFirst="0" w:colLast="0"/>
            <w:bookmarkEnd w:id="0"/>
          </w:p>
        </w:tc>
      </w:tr>
    </w:tbl>
    <w:p w14:paraId="418AEDDB" w14:textId="77777777" w:rsidR="00545F82" w:rsidRDefault="00545F82">
      <w:pPr>
        <w:ind w:right="840"/>
        <w:rPr>
          <w:rFonts w:ascii="Garamond" w:eastAsia="Garamond" w:hAnsi="Garamond" w:cs="Garamond"/>
          <w:b/>
        </w:rPr>
      </w:pPr>
    </w:p>
    <w:p w14:paraId="09D3AF7F" w14:textId="77777777" w:rsidR="00545F82" w:rsidRDefault="00545F82">
      <w:pPr>
        <w:pBdr>
          <w:top w:val="nil"/>
          <w:left w:val="nil"/>
          <w:bottom w:val="nil"/>
          <w:right w:val="nil"/>
          <w:between w:val="nil"/>
        </w:pBdr>
        <w:jc w:val="both"/>
        <w:rPr>
          <w:rFonts w:ascii="Garamond" w:eastAsia="Garamond" w:hAnsi="Garamond" w:cs="Garamond"/>
          <w:b/>
          <w:color w:val="000000"/>
        </w:rPr>
      </w:pPr>
    </w:p>
    <w:p w14:paraId="190052D0" w14:textId="30E8789D" w:rsidR="00545F82" w:rsidRDefault="009D0906">
      <w:pPr>
        <w:keepNext/>
        <w:keepLines/>
        <w:pBdr>
          <w:top w:val="nil"/>
          <w:left w:val="nil"/>
          <w:bottom w:val="nil"/>
          <w:right w:val="nil"/>
          <w:between w:val="nil"/>
        </w:pBdr>
        <w:spacing w:line="360" w:lineRule="auto"/>
        <w:rPr>
          <w:rFonts w:ascii="Garamond" w:eastAsia="Garamond" w:hAnsi="Garamond" w:cs="Garamond"/>
          <w:b/>
          <w:color w:val="000000"/>
        </w:rPr>
      </w:pPr>
      <w:r>
        <w:rPr>
          <w:rFonts w:ascii="Garamond" w:eastAsia="Garamond" w:hAnsi="Garamond" w:cs="Garamond"/>
          <w:b/>
          <w:color w:val="000000"/>
        </w:rPr>
        <w:t>INTRODUCTION</w:t>
      </w:r>
    </w:p>
    <w:p w14:paraId="270C39EE" w14:textId="588F5AD0" w:rsidR="009D0906" w:rsidRDefault="009D0906" w:rsidP="009D0906">
      <w:pPr>
        <w:spacing w:line="360" w:lineRule="auto"/>
        <w:ind w:firstLine="567"/>
        <w:jc w:val="both"/>
        <w:rPr>
          <w:rFonts w:ascii="Garamond" w:eastAsia="Garamond" w:hAnsi="Garamond" w:cs="Garamond"/>
          <w:lang w:val="sv-SE"/>
        </w:rPr>
      </w:pPr>
      <w:r w:rsidRPr="009D0906">
        <w:rPr>
          <w:rFonts w:ascii="Garamond" w:eastAsia="Garamond" w:hAnsi="Garamond" w:cs="Garamond"/>
          <w:lang w:val="sv-SE"/>
        </w:rPr>
        <w:t xml:space="preserve">Covid-19 has become the deadliest disease of the 21st century. The World Health Organization (WHO) has declared it a global public health emergency. First confirmed in Wuhan, China in late 2019, it quickly spread to all corners of the world </w:t>
      </w:r>
      <w:r>
        <w:rPr>
          <w:rFonts w:ascii="Garamond" w:eastAsia="Garamond" w:hAnsi="Garamond" w:cs="Garamond"/>
        </w:rPr>
        <w:fldChar w:fldCharType="begin" w:fldLock="1"/>
      </w:r>
      <w:r>
        <w:rPr>
          <w:rFonts w:ascii="Garamond" w:eastAsia="Garamond" w:hAnsi="Garamond" w:cs="Garamond"/>
        </w:rPr>
        <w:instrText>ADDIN CSL_CITATION { "citationItems" : [ { "id" : "ITEM-1", "itemData" : { "DOI" : "10.1001/jama.2020.6130", "ISSN" : "15383598", "PMID" : "32275295", "abstract" : "Importance: Coronavirus disease 2019 (COVID-19) has become a pandemic, and it is unknown whether a combination of public health interventions can improve control of the outbreak. Objective: To evaluate the association of public health interventions with the epidemiological features of the COVID-19 outbreak in Wuhan by 5 periods according to key events and interventions. Design, Setting, and Participants: In this cohort study, individual-level data on 32583 laboratory-confirmed COVID-19 cases reported between December 8, 2019, and March 8, 2020, were extracted from the municipal Notifiable Disease Report System, including patients' age, sex, residential location, occupation, and severity classification. Exposures: Nonpharmaceutical public health interventions including cordons sanitaire, traffic restriction, social distancing, home confinement, centralized quarantine, and universal symptom survey. Main Outcomes and Measures: Rates of laboratory-confirmed COVID-19 infections (defined as the number of cases per day per million people), across age, sex, and geographic locations were calculated across 5 periods: December 8 to January 9 (no intervention), January 10 to 22 (massive human movement due to the Chinese New Year holiday), January 23 to February 1 (cordons sanitaire, traffic restriction and home quarantine), February 2 to 16 (centralized quarantine and treatment), and February 17 to March 8 (universal symptom survey). The effective reproduction number of SARS-CoV-2 (an indicator of secondary transmission) was also calculated over the periods. Results: Among 32 583 laboratory-confirmed COVID-19 cases, the median patient age was 56.7 years (range, 0-103; interquartile range, 43.4-66.8) and 16 817 (51.6%) were women. The daily confirmed case rate peaked in the third period and declined afterward across geographic regions and sex and age groups, except for children and adolescents, whose rate of confirmed cases continued to increase. The daily confirmed case rate over the whole period in local health care workers (130.5 per million people [95% CI, 123.9-137.2]) was higher than that in the general population (41.5 per million people [95% CI, 41.0-41.9]). The proportion of severe and critical cases decreased from 53.1% to 10.3% over the 5 periods. The severity risk increased with age: compared with those aged 20 to 39 years (proportion of severe and critical cases, 12.1%), elderly people (\u226580 years) had a higher risk of having severe or critical disease (\u2026", "author" : [ { "dropping-particle" : "", "family" : "Pan", "given" : "An", "non-dropping-particle" : "", "parse-names" : false, "suffix" : "" }, { "dropping-particle" : "", "family" : "Liu", "given" : "Li", "non-dropping-particle" : "", "parse-names" : false, "suffix" : "" }, { "dropping-particle" : "", "family" : "Wang", "given" : "Chaolong", "non-dropping-particle" : "", "parse-names" : false, "suffix" : "" }, { "dropping-particle" : "", "family" : "Guo", "given" : "Huan", "non-dropping-particle" : "", "parse-names" : false, "suffix" : "" }, { "dropping-particle" : "", "family" : "Hao", "given" : "Xingjie", "non-dropping-particle" : "", "parse-names" : false, "suffix" : "" }, { "dropping-particle" : "", "family" : "Wang", "given" : "Qi", "non-dropping-particle" : "", "parse-names" : false, "suffix" : "" }, { "dropping-particle" : "", "family" : "Huang", "given" : "Jiao", "non-dropping-particle" : "", "parse-names" : false, "suffix" : "" }, { "dropping-particle" : "", "family" : "He", "given" : "Na", "non-dropping-particle" : "", "parse-names" : false, "suffix" : "" }, { "dropping-particle" : "", "family" : "Yu", "given" : "Hongjie", "non-dropping-particle" : "", "parse-names" : false, "suffix" : "" }, { "dropping-particle" : "", "family" : "Lin", "given" : "Xihong", "non-dropping-particle" : "", "parse-names" : false, "suffix" : "" }, { "dropping-particle" : "", "family" : "Wei", "given" : "Sheng", "non-dropping-particle" : "", "parse-names" : false, "suffix" : "" }, { "dropping-particle" : "", "family" : "Wu", "given" : "Tangchun", "non-dropping-particle" : "", "parse-names" : false, "suffix" : "" } ], "container-title" : "JAMA - Journal of the American Medical Association", "id" : "ITEM-1", "issue" : "19", "issued" : { "date-parts" : [ [ "2020" ] ] }, "page" : "1915-1923", "title" : "Association of Public Health Interventions with the Epidemiology of the COVID-19 Outbreak in Wuhan, China", "type" : "article-journal", "volume" : "323" }, "uris" : [ "http://www.mendeley.com/documents/?uuid=775bcce2-2b92-4a96-8e0a-6bbbaebce409" ] }, { "id" : "ITEM-2", "itemData" : { "DOI" : "10.3389/fcimb.2021.596201", "ISSN" : "22352988", "PMID" : "33859951", "abstract" : "COVID-19 is a Severe Acute Respiratory Syndrome (SARS), caused by SARS-CoV-2, a novel virus which belongs to the family Coronaviridae. It was first reported in December 2019 in the Wuhan city of China and soon after, the virus and hence the disease got spread to the entire world. As of February 26, 2021, SARS-CoV-2 has infected ~112.20 million people and caused ~2.49 million deaths across the globe. Although the case fatality rate among SARS-CoV-2 patient is lower (~2.15%) than its earlier relatives, SARS-CoV (~9.5%) and MERS-CoV (~34.4%), the SARS-CoV-2 has been observed to be more infectious and caused higher morbidity and mortality worldwide. As of now, only the knowledge regarding potential transmission routes and the rapidly developed diagnostics has been guiding the world for managing the disease indicating an immediate need for a detailed understanding of the pathogen and the disease-biology. Over a very short period of time, researchers have generated a lot of information in unprecedented ways in the key areas, including viral entry into the host, dominant mutation, potential transmission routes, diagnostic targets and their detection assays, potential therapeutic targets and drug molecules for inhibiting viral entry and/or its replication in the host including cross-neutralizing antibodies and vaccine candidates that could help us to combat the ongoing COVID-19 pandemic. In the current review, we have summarized the available knowledge about the pathogen and the disease, COVID-19. We believe that this readily available knowledge base would serve as a valuable resource to the scientific and clinical community and may help in faster development of the solution to combat the disease.", "author" : [ { "dropping-particle" : "", "family" : "Kumar", "given" : "Ashok", "non-dropping-particle" : "", "parse-names" : false, "suffix" : "" }, { "dropping-particle" : "", "family" : "Singh", "given" : "Rita", "non-dropping-particle" : "", "parse-names" : false, "suffix" : "" }, { "dropping-particle" : "", "family" : "Kaur", "given" : "Jaskaran", "non-dropping-particle" : "", "parse-names" : false, "suffix" : "" }, { "dropping-particle" : "", "family" : "Pandey", "given" : "Sweta", "non-dropping-particle" : "", "parse-names" : false, "suffix" : "" }, { "dropping-particle" : "", "family" : "Sharma", "given" : "Vinita", "non-dropping-particle" : "", "parse-names" : false, "suffix" : "" }, { "dropping-particle" : "", "family" : "Thakur", "given" : "Lovnish", "non-dropping-particle" : "", "parse-names" : false, "suffix" : "" }, { "dropping-particle" : "", "family" : "Sati", "given" : "Sangeeta", "non-dropping-particle" : "", "parse-names" : false, "suffix" : "" }, { "dropping-particle" : "", "family" : "Mani", "given" : "Shailendra", "non-dropping-particle" : "", "parse-names" : false, "suffix" : "" }, { "dropping-particle" : "", "family" : "Asthana", "given" : "Shailendra", "non-dropping-particle" : "", "parse-names" : false, "suffix" : "" }, { "dropping-particle" : "", "family" : "Sharma", "given" : "Tarun Kumar", "non-dropping-particle" : "", "parse-names" : false, "suffix" : "" }, { "dropping-particle" : "", "family" : "Chaudhuri", "given" : "Susmita", "non-dropping-particle" : "", "parse-names" : false, "suffix" : "" }, { "dropping-particle" : "", "family" : "Bhattacharyya", "given" : "Sankar", "non-dropping-particle" : "", "parse-names" : false, "suffix" : "" }, { "dropping-particle" : "", "family" : "Kumar", "given" : "Niraj", "non-dropping-particle" : "", "parse-names" : false, "suffix" : "" } ], "container-title" : "Frontiers in Cellular and Infection Microbiology", "id" : "ITEM-2", "issued" : { "date-parts" : [ [ "2021" ] ] }, "title" : "Wuhan to World: The COVID-19 Pandemic", "type" : "article-journal", "volume" : "11" }, "uris" : [ "http://www.mendeley.com/documents/?uuid=407a7b4e-b7f9-4624-b908-0e9a5713486d" ] }, { "id" : "ITEM-3", "itemData" : { "DOI" : "10.1093/JTM/TAAA037", "ISSN" : "17088305", "PMID" : "32181488", "abstract" : "Background: With its epicenter in Wuhan, China, the COVID-19 outbreak was declared a Public Health Emergency of International Concern by the World Health Organization (WHO). Consequently, many countries have implemented flight restrictions to China. China itself has imposed a lockdown of the population of Wuhan as well as the entire Hubei province. However, whether these two enormous measures have led to significant changes in the spread of COVID-19 cases remains unclear. Methods: We analyzed the available data on the development of confirmed domestic and international COVID-19 cases before and after lockdown measures. We evaluated the correlation of domestic air traffic to the number of confirmed COVID-19 cases and determined the growth curves of COVID-19 cases within China before and after lockdown as well as after changes in COVID-19 diagnostic criteria. Results: Our findings indicate a significant increase in doubling time from 2 days (95% CI: 1.9\u20132.6) to 4 days (95% CI: 3.5\u20134.3), after imposing lockdown. A further increase is detected after changing diagnostic and testing methodology to 19.3 (95% CI: 15.1\u201326.3), respectively. Moreover, the correlation between domestic air traffic and COVID-19 spread became weaker following lockdown (before lockdown: r = 0.98, P &lt; 0.05 vs after lockdown: r = 0.91, P = NS). Conclusions: A significantly decreased growth rate and increased doubling time of cases was observed, which is most likely due to Chinese lockdown measures. A more stringent confinement of people in high risk areas seems to have a potential to slow down the spread of COVID-19.", "author" : [ { "dropping-particle" : "", "family" : "Lau", "given" : "Hien", "non-dropping-particle" : "", "parse-names" : false, "suffix" : "" }, { "dropping-particle" : "", "family" : "Khosrawipour", "given" : "Veria", "non-dropping-particle" : "", "parse-names" : false, "suffix" : "" }, { "dro</w:instrText>
      </w:r>
      <w:r w:rsidRPr="00CB31F5">
        <w:rPr>
          <w:rFonts w:ascii="Garamond" w:eastAsia="Garamond" w:hAnsi="Garamond" w:cs="Garamond"/>
          <w:lang w:val="nb-NO"/>
        </w:rPr>
        <w:instrText>pping-particle" : "", "family" : "Kocbach", "given" : "Piotr", "non-dropping-particle" : "", "parse-names" : false, "suffix" : "" }, { "dropping-particle" : "", "family" : "Mikolajczyk", "given" : "Agata", "non-dropping-particle" : "", "parse-names" : false, "suffix" : "" }, { "dropping-particle" : "", "family" : "Schubert", "given" : "Justyna", "non-dropping-particle" : "", "parse-names" : false, "suffix" : "" }, { "dropping-particle" : "", "family" : "Bania", "given" : "Jacek", "non-dropping-particle" : "", "parse-names" : false, "suffix" : "" }, { "dropping-particle" : "", "family" : "Khosrawipour", "given" : "Tanja", "non-dropping-particle" : "", "parse-names" : false, "suffix" : "" } ], "container-title" : "Journal of Travel Medicine", "id" : "ITEM-3", "issue" : "3", "issued" : { "date-parts" : [ [ "2021" ] ] }, "page" : "1-7", "title" : "The positive impact of lockdown in Wuhan on containing the COVID-19 outbreak in China", "type" : "article-journal", "volume" : "27" }, "uris" : [ "http://www.mendeley.com/documents/?uuid=44a70a80-2f44-49a2-af7f-62eaf794c395" ] } ], "mendeley" : { "formattedCitation" : "(Kumar et al., 2021; Lau et al., 2021; Pan et al., 2020)", "plainTextFormattedCitation" : "(Kumar et al., 2021; Lau et al., 2021; Pan et al., 2020)", "previouslyFormattedCitation" : "(Kumar et al., 2021; Lau et al., 2021; Pan et al., 2020)" }, "properties" : { "noteIndex" : 0 }, "schema" : "https://github.com/citation-style-language/schema/raw/master/csl-citation.json" }</w:instrText>
      </w:r>
      <w:r>
        <w:rPr>
          <w:rFonts w:ascii="Garamond" w:eastAsia="Garamond" w:hAnsi="Garamond" w:cs="Garamond"/>
        </w:rPr>
        <w:fldChar w:fldCharType="separate"/>
      </w:r>
      <w:r w:rsidRPr="00084AD3">
        <w:rPr>
          <w:rFonts w:ascii="Garamond" w:eastAsia="Garamond" w:hAnsi="Garamond" w:cs="Garamond"/>
          <w:noProof/>
          <w:lang w:val="nb-NO"/>
        </w:rPr>
        <w:t>(Kumar et al., 2021; Lau et al., 2021; Pan et al., 2020)</w:t>
      </w:r>
      <w:r>
        <w:rPr>
          <w:rFonts w:ascii="Garamond" w:eastAsia="Garamond" w:hAnsi="Garamond" w:cs="Garamond"/>
        </w:rPr>
        <w:fldChar w:fldCharType="end"/>
      </w:r>
      <w:r w:rsidRPr="009D0906">
        <w:rPr>
          <w:rFonts w:ascii="Garamond" w:eastAsia="Garamond" w:hAnsi="Garamond" w:cs="Garamond"/>
          <w:lang w:val="sv-SE"/>
        </w:rPr>
        <w:t xml:space="preserve">, including Indonesia </w:t>
      </w:r>
      <w:r>
        <w:rPr>
          <w:rFonts w:ascii="Garamond" w:eastAsia="Garamond" w:hAnsi="Garamond" w:cs="Garamond"/>
          <w:lang w:val="nb-NO"/>
        </w:rPr>
        <w:fldChar w:fldCharType="begin" w:fldLock="1"/>
      </w:r>
      <w:r>
        <w:rPr>
          <w:rFonts w:ascii="Garamond" w:eastAsia="Garamond" w:hAnsi="Garamond" w:cs="Garamond"/>
          <w:lang w:val="nb-NO"/>
        </w:rPr>
        <w:instrText>ADDIN CSL_CITATION { "citationItems" : [ { "id" : "ITEM-1", "itemData" : { "DOI" : "10.1080/00074918.2020.1798581", "ISSN" : "14727234", "abstract" : "The Covid-19 virus has spread across the world with alarming speed, infecting millions and causing economic disruption on an unprecedented scale. In this survey, we examine the impact of the outbreak on the Indonesian economy, as well as the government\u2019s response to the public health crisis and its provisions for the emerging economic crisis. Indonesia\u2019s delay in responding to the health crisis while Covid-19 spread in neighbouring countries in January\u2013February 2020 has been costly for the health of the population. The government\u2019s policy responses have so far been aimed at steadying the ship, addressing both the needs of the poor and the potentially poor (vulnerable) groups. At the time of writing, Covid-19 had not been tamed in Indonesia by any means. Hence, its implications for economic growth, jobs and welfare remained uncertain, as policy discussions were all about opening up the economy from virus-imposed restrictions across the country, under what has been termed the \u2018new normal\u2019.", "author" : [ { "dropping-particle" : "", "family" : "Olivia", "given" : "Susan", "non-dropping-particle" : "", "parse-names" : false, "suffix" : "" }, { "dropping-particle" : "", "family" : "Gibson", "given" : "John", "non-dropping-particle" : "", "parse-names" : false, "suffix" : "" }, { "dropping-particle" : "", "family" : "Nasrudin", "given" : "Rus\u2019an", "non-dropping-particle" : "", "parse-names" : false, "suffix" : "" } ], "container-title" : "Bulletin of Indonesian Economic Studies", "id" : "ITEM-1", "issue" : "2", "issued" : { "date-parts" : [ [ "2020" ] ] }, "page" : "143-174", "title" : "Indonesia in the Time of Covid-19", "type" : "article-journal", "volume" : "56" }, "uris" : [ "http://www.mendeley.com/documents/?uuid=65c63231-9fa9-469c-b86d-ac360a094c6b" ] }, { "id" : "ITEM-2", "itemData" : { "abstract" : "Pandemi infeksi virus corona 2019 (COVID-19) adalah masalah yang sedang dihadapi di lebih dari 200 negara di dunia. Indonesia juga terkena dampak buruk dari COVID-19 di mana tingkat kematiannya mencapai 8.9% pada akhir Maret 2020. Ketidaksiapan layanan kesehatan dan langkah besar yang diambil oleh pemerintah mungkin dapat diubah untuk memberantas infeksi ini. Dianjurkan bagi Indonesia untuk memperketat himbauan untuk diam di rumah, menurunkan penyebaran penyakit dengan karantina wilayah dalam skala besar, meningkatkan pelayanan kesehatan, serta meningkatkan ketersediaan alat pelindung diri (APD). Penting bagi negara untuk menurunkan epidemic peak agar tidak membuat negara kewalahan dengan cara mengkarantina individu dengan riwayat kontak dengan kasus COVID-19. Karantina wilayah/ lockdown juga dapat meningkatkan doubling time epidemi secara signifikan. Kebutuhan pelayanan kesehatan akan mengalami peningkatan seiring dengan melonjaknya jumlah kasus. Hal ini menggarisbawahi pentingnya melindungi tenaga kesehatan dari risiko infeksi. Penelitian ilmiah di Indonesia juga krusial untuk memberikan anjuran yang berhubungan dengan kasus COVID-19.", "author" : [ { "dropping-particle" : "", "family" : "Azwar", "given" : "Muhammad Khifzhon", "non-dropping-particle" : "", "parse-names" : false, "suffix" : "" }, { "dropping-particle" : "", "family" : "Setiati", "given" : "Siti", "non-dropping-particle" : "", "parse-names" : false, "suffix" : "" } ], "container-title" : "Acta Medica Indonesiana", "id" : "ITEM-2", "issue" : "1", "issued" : { "date-parts" : [ [ "2020" ] ] }, "page" : "84-9", "title" : "COVID-19 and Indonesia", "type" : "article-journal", "volume" : "52" }, "uris" : [ "http://www.mendeley.com/documents/?uuid=1434d964-d321-432c-b77e-4cba1913a26a" ] } ], "mendeley" : { "formattedCitation" : "(Azwar &amp; Setiati, 2020; Olivia et al., 2020)", "plainTextFormattedCitation" : "(Azwar &amp; Setiati, 2020; Olivia et al., 2020)", "previouslyFormattedCitation" : "(Azwar &amp; Setiati, 2020; Olivia et al., 2020)" }, "properties" : { "noteIndex" : 0 }, "schema" : "https://github.com/citation-style-language/schema/raw/master/csl-citation.json" }</w:instrText>
      </w:r>
      <w:r>
        <w:rPr>
          <w:rFonts w:ascii="Garamond" w:eastAsia="Garamond" w:hAnsi="Garamond" w:cs="Garamond"/>
          <w:lang w:val="nb-NO"/>
        </w:rPr>
        <w:fldChar w:fldCharType="separate"/>
      </w:r>
      <w:r w:rsidRPr="00084AD3">
        <w:rPr>
          <w:rFonts w:ascii="Garamond" w:eastAsia="Garamond" w:hAnsi="Garamond" w:cs="Garamond"/>
          <w:noProof/>
          <w:lang w:val="nb-NO"/>
        </w:rPr>
        <w:t xml:space="preserve">(Azwar &amp; Setiati, 2020; Olivia et al., </w:t>
      </w:r>
      <w:r w:rsidRPr="00084AD3">
        <w:rPr>
          <w:rFonts w:ascii="Garamond" w:eastAsia="Garamond" w:hAnsi="Garamond" w:cs="Garamond"/>
          <w:noProof/>
          <w:lang w:val="nb-NO"/>
        </w:rPr>
        <w:lastRenderedPageBreak/>
        <w:t>2020)</w:t>
      </w:r>
      <w:r>
        <w:rPr>
          <w:rFonts w:ascii="Garamond" w:eastAsia="Garamond" w:hAnsi="Garamond" w:cs="Garamond"/>
          <w:lang w:val="nb-NO"/>
        </w:rPr>
        <w:fldChar w:fldCharType="end"/>
      </w:r>
      <w:r w:rsidRPr="009D0906">
        <w:rPr>
          <w:rFonts w:ascii="Garamond" w:eastAsia="Garamond" w:hAnsi="Garamond" w:cs="Garamond"/>
          <w:lang w:val="sv-SE"/>
        </w:rPr>
        <w:t xml:space="preserve">. Based on preliminary February data, WHO </w:t>
      </w:r>
      <w:r>
        <w:rPr>
          <w:rFonts w:ascii="Garamond" w:eastAsia="Garamond" w:hAnsi="Garamond" w:cs="Garamond"/>
        </w:rPr>
        <w:fldChar w:fldCharType="begin" w:fldLock="1"/>
      </w:r>
      <w:r w:rsidRPr="00CB31F5">
        <w:rPr>
          <w:rFonts w:ascii="Garamond" w:eastAsia="Garamond" w:hAnsi="Garamond" w:cs="Garamond"/>
          <w:lang w:val="nb-NO"/>
        </w:rPr>
        <w:instrText>ADDIN CSL_CITATION { "citationItems" : [ { "id" : "ITEM-1", "itemData" : { "author" : [ { "dropping-particle" : "", "family" : "WHO", "given" : "", "non-dropping-particle" : "", "parse-names" : false, "suffix" : "" } ], "id" : "ITEM-1", "issued" : { "date-parts" : [ [ "2024" ] ] }, "title" : "COVID-19 epidemiological update \u2013 16 February 2024", "type" : "report" }, "suppress-author" : 1, "uris" : [ "http://www.mendeley.com/documents/?uuid=b5c9ec04-5c3b-4d8f-beed-65921429eccd" ] } ], "mendeley" : { "formattedCitation" : "(2024)", "plainTextFormattedCitation" : "(2024)", "previouslyFormattedCitation" : "(2024)" }, "properties" : { "noteIndex" : 0 }, "schema" : "https://github.com/citation-style-language/schema/raw/master/csl-citation.json" }</w:instrText>
      </w:r>
      <w:r>
        <w:rPr>
          <w:rFonts w:ascii="Garamond" w:eastAsia="Garamond" w:hAnsi="Garamond" w:cs="Garamond"/>
        </w:rPr>
        <w:fldChar w:fldCharType="separate"/>
      </w:r>
      <w:r w:rsidRPr="00CB31F5">
        <w:rPr>
          <w:rFonts w:ascii="Garamond" w:eastAsia="Garamond" w:hAnsi="Garamond" w:cs="Garamond"/>
          <w:noProof/>
          <w:lang w:val="nb-NO"/>
        </w:rPr>
        <w:t>(2024)</w:t>
      </w:r>
      <w:r>
        <w:rPr>
          <w:rFonts w:ascii="Garamond" w:eastAsia="Garamond" w:hAnsi="Garamond" w:cs="Garamond"/>
        </w:rPr>
        <w:fldChar w:fldCharType="end"/>
      </w:r>
      <w:r w:rsidRPr="009D0906">
        <w:rPr>
          <w:rFonts w:ascii="Garamond" w:eastAsia="Garamond" w:hAnsi="Garamond" w:cs="Garamond"/>
          <w:lang w:val="sv-SE"/>
        </w:rPr>
        <w:t xml:space="preserve"> reported more than 774 million confirmed cases and more than seven million deaths worldwide. More than 503,000 new cases were reported in the 28-day period from 8 January to 4 February 2024, a 58% decrease from the previous 28-day period. In Indonesia, 161,879 deaths, 8,245 active positives (still ill) and 6,642,003 recoveries were reported by the Ministry of Health </w:t>
      </w:r>
      <w:r>
        <w:rPr>
          <w:rFonts w:ascii="Garamond" w:eastAsia="Garamond" w:hAnsi="Garamond" w:cs="Garamond"/>
        </w:rPr>
        <w:fldChar w:fldCharType="begin" w:fldLock="1"/>
      </w:r>
      <w:r>
        <w:rPr>
          <w:rFonts w:ascii="Garamond" w:eastAsia="Garamond" w:hAnsi="Garamond" w:cs="Garamond"/>
          <w:lang w:val="sv-SE"/>
        </w:rPr>
        <w:instrText>ADDIN CSL_CITATION { "citationItems" : [ { "id" : "ITEM-1", "itemData" : { "author" : [ { "dropping-particle" : "", "family" : "Indonesia", "given" : "Ministry of Health Republic", "non-dropping-particle" : "", "parse-names" : false, "suffix" : "" } ], "id" : "ITEM-1", "issued" : { "date-parts" : [ [ "2024" ] ] }, "publisher-place" : "Jakarta", "title" : "Laporan Harian COVID-19 per 3 Januari 2024", "type" : "report" }, "suppress-author" : 1, "uris" : [ "http://www.mendeley.com/documents/?uuid=c0f8d950-757d-4147-b4bf-aede28b0b379" ] } ], "mendeley" : { "formattedCitation" : "(2024)", "plainTextFormattedCitation" : "(2024)", "previouslyFormattedCitation" : "(2024)" }, "properties" : { "noteIndex" : 0 }, "schema" : "https://github.com/citation-style-language/schema/raw/master/csl-citation.json" }</w:instrText>
      </w:r>
      <w:r>
        <w:rPr>
          <w:rFonts w:ascii="Garamond" w:eastAsia="Garamond" w:hAnsi="Garamond" w:cs="Garamond"/>
        </w:rPr>
        <w:fldChar w:fldCharType="separate"/>
      </w:r>
      <w:r w:rsidRPr="00CB31F5">
        <w:rPr>
          <w:rFonts w:ascii="Garamond" w:eastAsia="Garamond" w:hAnsi="Garamond" w:cs="Garamond"/>
          <w:noProof/>
          <w:lang w:val="sv-SE"/>
        </w:rPr>
        <w:t>(2024)</w:t>
      </w:r>
      <w:r>
        <w:rPr>
          <w:rFonts w:ascii="Garamond" w:eastAsia="Garamond" w:hAnsi="Garamond" w:cs="Garamond"/>
        </w:rPr>
        <w:fldChar w:fldCharType="end"/>
      </w:r>
      <w:r w:rsidRPr="009D0906">
        <w:rPr>
          <w:rFonts w:ascii="Garamond" w:eastAsia="Garamond" w:hAnsi="Garamond" w:cs="Garamond"/>
          <w:lang w:val="sv-SE"/>
        </w:rPr>
        <w:t>.</w:t>
      </w:r>
    </w:p>
    <w:p w14:paraId="4517F072" w14:textId="0D5E7FA1" w:rsidR="009D0906" w:rsidRDefault="009D0906" w:rsidP="009D0906">
      <w:pPr>
        <w:spacing w:line="360" w:lineRule="auto"/>
        <w:ind w:firstLine="567"/>
        <w:jc w:val="both"/>
        <w:rPr>
          <w:rFonts w:ascii="Garamond" w:eastAsia="Garamond" w:hAnsi="Garamond" w:cs="Garamond"/>
          <w:lang w:val="sv-SE"/>
        </w:rPr>
      </w:pPr>
      <w:r w:rsidRPr="009D0906">
        <w:rPr>
          <w:rFonts w:ascii="Garamond" w:eastAsia="Garamond" w:hAnsi="Garamond" w:cs="Garamond"/>
          <w:lang w:val="sv-SE"/>
        </w:rPr>
        <w:t>Indonesia has been going through a difficult time during Covid-19, which is characterised by many policies: lockdown, staying at home, quarantine, physical and social distancing, large-scale social restrictions, towards a new normal. Each of these rules has its own set of reactions from people in need of a more normal way of life. The issuance of rules on restricting religious activities is one of the rules that has aroused opposition. The rule restricting religious activities is a rule issued by the government to suppress the rate of the Corona virus. In addition to the regulations, there are also frequent appeals from a variety of non-governmental organisations. The Indonesian Ulema Council (MUI), as one of the most authoritative organisations in providing rules or laws for Muslim life in Indonesia, issued a number of appeals during the Covid 19. Based upon data from https://fatwamui.com/data-fatwa, 21 Covid-19-related fatwas were found: 1) 13 vaccination fatwas, 2) 6 worship fatwas, 3) 2 donation fatwas.</w:t>
      </w:r>
    </w:p>
    <w:p w14:paraId="0F4D42B4" w14:textId="06B53203" w:rsidR="00654FFD" w:rsidRPr="00CB31F5" w:rsidRDefault="00654FFD" w:rsidP="009D0906">
      <w:pPr>
        <w:spacing w:line="360" w:lineRule="auto"/>
        <w:ind w:firstLine="567"/>
        <w:jc w:val="both"/>
        <w:rPr>
          <w:rFonts w:ascii="Garamond" w:eastAsia="Garamond" w:hAnsi="Garamond" w:cs="Garamond"/>
          <w:lang w:val="sv-SE"/>
        </w:rPr>
      </w:pPr>
      <w:commentRangeStart w:id="1"/>
      <w:r w:rsidRPr="00654FFD">
        <w:rPr>
          <w:rFonts w:ascii="Garamond" w:eastAsia="Garamond" w:hAnsi="Garamond" w:cs="Garamond"/>
          <w:lang w:val="sv-SE"/>
        </w:rPr>
        <w:t xml:space="preserve">MUI Fatwa No. 14 of 2020 on the Implementation of Worship in the Situation of Covid-19 Outbreak on 16 March 2020 and Government Regulation of the Republic of Indonesia No. 21 of 2020 on Pembatasan Sosial Berskala Besar (PSBB) are seen as policies that change the atmosphere of Muslim worship in mosques. Various restrictions have been put in place to prevent people from congregating. Fernando et al </w:t>
      </w:r>
      <w:r w:rsidRPr="006922A3">
        <w:rPr>
          <w:rFonts w:ascii="Garamond" w:eastAsia="Garamond" w:hAnsi="Garamond" w:cs="Garamond"/>
          <w:lang w:val="sv-SE"/>
        </w:rPr>
        <w:fldChar w:fldCharType="begin" w:fldLock="1"/>
      </w:r>
      <w:r w:rsidRPr="006922A3">
        <w:rPr>
          <w:rFonts w:ascii="Garamond" w:eastAsia="Garamond" w:hAnsi="Garamond" w:cs="Garamond"/>
          <w:lang w:val="sv-SE"/>
        </w:rPr>
        <w:instrText>ADDIN CSL_CITATION { "citationItems" : [ { "id" : "ITEM-1", "itemData" : { "author" : [ { "dropping-particle" : "", "family" : "Fernando", "given" : "Henky", "non-dropping-particle" : "", "parse-names" : false, "suffix" : "" }, { "dropping-particle" : "", "family" : "Abdullah", "given" : "Irwan", "non-dropping-particle" : "", "parse-names" : false, "suffix" : "" }, { "dropping-particle" : "", "family" : "Yusuf", "given" : "Mohamad", "non-dropping-particle" : "", "parse-names" : false, "suffix" : "" } ], "container-title" : "Nurani: Jurnal Kajian Syari'ah dan Masyarakat", "id" : "ITEM-1", "issue" : "2", "issued" : { "date-parts" : [ [ "2022" ] ] }, "page" : "201-212", "title" : "Reception of Law Worship: The Experiences of Muslims Worship During Pandemic Covid-19", "type" : "article-journal", "volume" : "22" }, "suppress-author" : 1, "uris" : [ "http://www.mendeley.com/documents/?uuid=94cd28ec-d5ea-459d-a5ca-8a10f2b955c5" ] } ], "mendeley" : { "formattedCitation" : "(2022)", "plainTextFormattedCitation" : "(2022)" }, "properties" : { "noteIndex" : 0 }, "schema" : "https://github.com/citation-style-language/schema/raw/master/csl-citation.json" }</w:instrText>
      </w:r>
      <w:r w:rsidRPr="006922A3">
        <w:rPr>
          <w:rFonts w:ascii="Garamond" w:eastAsia="Garamond" w:hAnsi="Garamond" w:cs="Garamond"/>
          <w:lang w:val="sv-SE"/>
        </w:rPr>
        <w:fldChar w:fldCharType="separate"/>
      </w:r>
      <w:r w:rsidRPr="006922A3">
        <w:rPr>
          <w:rFonts w:ascii="Garamond" w:eastAsia="Garamond" w:hAnsi="Garamond" w:cs="Garamond"/>
          <w:noProof/>
          <w:lang w:val="sv-SE"/>
        </w:rPr>
        <w:t>(2022)</w:t>
      </w:r>
      <w:r w:rsidRPr="006922A3">
        <w:rPr>
          <w:rFonts w:ascii="Garamond" w:eastAsia="Garamond" w:hAnsi="Garamond" w:cs="Garamond"/>
          <w:lang w:val="sv-SE"/>
        </w:rPr>
        <w:fldChar w:fldCharType="end"/>
      </w:r>
      <w:r w:rsidRPr="00654FFD">
        <w:rPr>
          <w:rFonts w:ascii="Garamond" w:eastAsia="Garamond" w:hAnsi="Garamond" w:cs="Garamond"/>
          <w:lang w:val="sv-SE"/>
        </w:rPr>
        <w:t xml:space="preserve"> found that these restrictions have led to passive, active and reactive defiance from some Muslims who persistently worship in the mosque. Previous studies have found resistance from Muslim communities </w:t>
      </w:r>
      <w:r w:rsidRPr="006922A3">
        <w:rPr>
          <w:rFonts w:ascii="Garamond" w:eastAsia="Garamond" w:hAnsi="Garamond" w:cs="Garamond"/>
          <w:lang w:val="sv-SE"/>
        </w:rPr>
        <w:fldChar w:fldCharType="begin" w:fldLock="1"/>
      </w:r>
      <w:r w:rsidRPr="006922A3">
        <w:rPr>
          <w:rFonts w:ascii="Garamond" w:eastAsia="Garamond" w:hAnsi="Garamond" w:cs="Garamond"/>
          <w:lang w:val="sv-SE"/>
        </w:rPr>
        <w:instrText>ADDIN CSL_CITATION { "citationItems" : [ { "id" : "ITEM-1", "itemData" : { "DOI" : "10.4108/eai.15-9-2021.2315548", "abstract" : "\u2026 public resistance to the PPKM policy has implications for the delay in handling COVID-19 in \u2026 resistance concerning government policies during the COVID-19 pandemic tend to show \u2026", "author" : [ { "dropping-particle" : "", "family" : "Pabbajah", "given" : "Mustaqim", "non-dropping-particle" : "", "parse-names" : false, "suffix" : "" }, { "dropping-particle" : "", "family" : "Darwis", "given" : "Muh.", "non-dropping-particle" : "", "parse-names" : false, "suffix" : "" }, { "dropping-particle" : "", "family" : "Diab", "given" : "Ashadi", "non-dropping-particle" : "", "parse-names" : false, "suffix" : "" }, { "dropping-particle" : "", "family" : "Widyanti", "given" : "Ratri", "non-dropping-particle" : "", "parse-names" : false, "suffix" : "" }, { "dropping-particle" : "", "family" : "Jubba", "given" : "Hasse", "non-dropping-particle" : "", "parse-names" : false, "suffix" : "" }, { "dropping-particle" : "", "family" : "Juhansar", "given" : "Juhansar", "non-dropping-particle" : "", "parse-names" : false, "suffix" : "" }, { "dropping-particle" : "", "family" : "Pabbajah", "given" : "M. Taufiq", "non-dropping-particle" : "", "parse-names" : false, "suffix" : "" }, { "dropping-particle" : "", "family" : "Widyatmoko", "given" : "Widi", "non-dropping-particle" : "", "parse-names" : false, "suffix" : "" }, { "dropping-particle" : "", "family" : "Laila", "given" : "Nur", "non-dropping-particle" : "", "parse-names" : false, "suffix" : "" } ], "id" : "ITEM-1", "issued" : { "date-parts" : [ [ "2022" ] ] }, "title" : "Why Closing the Mosque: Resistance of the Indonesia\u2019s Muslim Community to the Government PPKM Policy During the Covid-19 Pandemic", "type" : "article-journal" }, "uris" : [ "http://www.mendeley.com/documents/?uuid=4f1ca9e2-6256-4fc2-bfbd-3a0e95ecc88f" ] }, { "id" : "ITEM-2", "itemData" : { "DOI" : "10.14421/jsr.v17i2.2627", "ISSN" : "1978-0362", "abstract" : "During the 2020-2021 period in Indonesia, the stricter enforcement of worship practices amid the Covid-19 pandemic resulted in opposition from various Muslim community. Prior research on this phenomenon has solely concentrated on binary notions of opposition, and as such, has not provided a comprehensive explanation of the resistance stance. The objective of this study is to elucidate the shape and manner of resistance from various Muslim groups towards the stricter enforcement of religious practices amid the Covid-19 outbreak. Qualitative methods were employed in this study, which involved collecting data through in-depth interviews and observations conducted at Mataram Mosque in Kota Gede, Yogyakarta. The findings show that resistance by some Muslim communities comes in three forms: passive, active, and reactive resistance. These three forms of opposition represent a manifestation of the citizens' ideological consciousness as they object to government policies that contradict the knowledge and collective experiences they have accumulated thus far.Pada rentang 2020-2021, kebijakan pengetatan pelaksanaan ibadah di masa Covid-19 di Indonesia telah menimbulkan sejumlah resistensi dari beberapa segmen masyarakat muslim. Studi terdahulu yang membahas fenomena ini hanya terfokus pada konsep resistensi yang dikotomis, sehingga belum menjelaskan sikap resistensi secara komprehensif. Penelitian ini bertujuan untuk menjelaskan bentuk dan pola resistensi beberapa segmen masyarakat Muslim terhadap kebijakan pengetatan kegiatan ibadah di masa pandemi Covid-19. Penelitian dilakukan melalui metode kualitatif dengan teknik pengumpulan data berupa wawancara mendalam dan observasi di Masjid Mataram Kota Gede, Yogyakarta. Temuan menunjukkan bahwa perlawanan yang dilakukan oleh sebagian masyarakat Muslim tersebut muncul dalam tiga bentuk, yaitu: perlawanan secara pasif, aktif, dan reaktif. Ketiga bentuk resistensi tersebut merupakan wujud kesadaran ideologis warga karena ketidaksetujuan terhadap kebijakan pemerintah yang berseberangan dengan pengetahuan dan pengalaman kolektif yang mereka miliki selama ini.\u00a0", "author" : [ { "dropping-particle" : "", "family" : "Fernando", "given" : "Henky", "non-dropping-particle" : "", "parse-names" : false, "suffix" : "" }, { "dropping-particle" : "", "family" : "Abdullah", "given" : "Irwan", "non-dropping-particle" : "", "parse-names" : false, "suffix" : "" }, { "dropping-particle" : "", "family" : "Yusuf", "given" : "Mohamad", "non-dropping-particle" : "", "parse-names" : false, "suffix" : "" } ], "container-title" : "Jurnal Sosiologi Reflektif", "id" : "ITEM-2", "issue" : "2", "issued" : { "date-parts" : [ [ "2023" ] ] }, "page" : "351", "title" : "Resistance of Muslims Toward the Government'S Policy on Prohibiting Congregational Worship During the Covid-19 Pandemic", "type" : "article-journal", "volume" : "17" }, "uris" : [ "http://www.mendeley.com/documents/?uuid=c973bd6f-0d5a-4a53-b08b-ab927b6863e9" ] }, { "id" : "ITEM-3", "itemData" : { "author" : [ { "dropping-particle" : "", "family" : "Said", "given" : "Imam Ghazali", "non-dropping-particle" : "", "parse-names" : false, "suffix" : "" }, { "dropping-particle" : "", "family" : "Santosa", "given" : "Nyong Eka Teguh", "non-dropping-particle" : "", "parse-names" : false, "suffix" : "" } ], "container-title" : "Journal of Indonesian Islam", "id" : "ITEM-3", "issue" : "2", "issued" : { "date-parts" : [ [ "2021" ] ] }, "title" : "Negotiating religiosities among Indonesian Muslims amid the COVID-19 pandemic: Acceptance, resistance, and transformation", "type" : "article-journal", "volume" : "15" }, "uris" : [ "http://www.mendeley.com/documents/?uuid=dd63344e-de15-45d3-ae28-cf7b2a1df132" ] }, { "id" : "ITEM-4", "itemData" : { "DOI" : "10.3390/rel12010011", "ISSN" : "20771444", "abstract" : "A whirlwind of developments have unfolded in the UK since the emergence of the COVID-19 pandemic, which has subsequently instigated an intensely animated debate among British Muslim religious leaders about the contentious and sensitive topic of mosque closure, producing a rich and sophisticated spectrum of responses. These responses emerged within the dramatic global background of an imminent closure of Islam\u2019s most cherished mosque to international pilgrims, namely the sacred precinct in Mekkah. The stakes were, therefore, high for British Muslim religious leaders considering mosque closure, facing the stark dilemma of compromising the sacrosanct status of the mosque and congregational worship in Islam or putting the lives of British Muslims in their hundreds of thousands at risk. This paper seeks to analyze the role of religious authority within the British Muslim community through the lens of the responses of the community\u2019s religious leaders to the COVID-19 closure of mosques. It builds upon a Special Issue published by this journal on leadership, authority and representation in British Muslim communities. The issue of COVID-19 mosque closure in the UK presented an excellent case study for this paper\u2019s analysis, manifesting as it does the dynamic way in which religious authority in the British Muslim community continues to evolve. This paper thus seeks to use this case-study to further enrich the literature on this topic.", "author" : [ { "dropping-particle" : "", "family" : "Al-Astewani", "given" : "Amin", "non-dropping-particle" : "", "parse-names" : false, "suffix" : "" } ], "container-title" : "Religions", "id" : "ITEM-4", "issue" : "1", "issued" : { "date-parts" : [ [ "2021" ] ] }, "page" : "1-26", "title" : "To open or close? COVID-19, mosques and the role of religious authority within the British Muslim community: A socio-legal analysis", "type" : "article-journal", "volume" : "12"</w:instrText>
      </w:r>
      <w:r w:rsidRPr="006922A3">
        <w:rPr>
          <w:rFonts w:ascii="Garamond" w:eastAsia="Garamond" w:hAnsi="Garamond" w:cs="Garamond"/>
          <w:lang w:val="nb-NO"/>
        </w:rPr>
        <w:instrText xml:space="preserve"> }, "uris" : [ "http://www.mendeley.com/documents/?uuid=371f58cc-ebf4-42fa-aa7b-3146a4f7a5f9" ] }, { "id" : "ITEM-5", "itemData" : { "author" : [ { "dropping-particle" : "", "family" : "Fernando", "given" : "Henky", "non-dropping-particle" : "", "parse-names" : false, "suffix" : "" }, { "dropping-particle" : "", "family" : "Abdullah", "given" : "Irwan", "non-dropping-particle" : "", "parse-names" : false, "suffix" : "" }, { "dropping-particle" : "", "family" : "Yusuf", "given" : "Mohamad", "non-dropping-particle" : "", "parse-names" : false, "suffix" : "" } ], "container-title" : "Nurani: Jurnal Kajian Syari'ah dan Masyarakat", "id" : "ITEM-5", "issue" : "2", "issued" : { "date-parts" : [ [ "2022" ] ] }, "page" : "201-212", "title" : "Reception of Law Worship: The Experiences of Muslims Worship During Pandemic Covid-19", "type" : "article-journal", "volume" : "22" }, "uris" : [ "http://www.mendeley.com/documents/?uuid=94cd28ec-d5ea-459d-a5ca-8a10f2b955c5" ] } ], "mendeley" : { "formattedCitation" : "(Al-Astewani, 2021; Fernando et al., 2022, 2023; Pabbajah et al., 2022; Said &amp; Santosa, 2021)", "plainTextFormattedCitation" : "(Al-Astewani, 2021; Fernando et al., 2022, 2023; Pabbajah et al., 2022; Said &amp; Santosa, 2021)", "previouslyFormattedCitation" : "(Al-Astewani, 2021; Fernando et al., 2022, 2023; Pabbajah et al., 2022; Said &amp; Santosa, 2021)" }, "properties" : { "noteIndex" : 0 }, "schema" : "https://github.com/citation-style-language/schema/raw/master/csl-citation.json" }</w:instrText>
      </w:r>
      <w:r w:rsidRPr="006922A3">
        <w:rPr>
          <w:rFonts w:ascii="Garamond" w:eastAsia="Garamond" w:hAnsi="Garamond" w:cs="Garamond"/>
          <w:lang w:val="sv-SE"/>
        </w:rPr>
        <w:fldChar w:fldCharType="separate"/>
      </w:r>
      <w:r w:rsidRPr="006922A3">
        <w:rPr>
          <w:rFonts w:ascii="Garamond" w:eastAsia="Garamond" w:hAnsi="Garamond" w:cs="Garamond"/>
          <w:noProof/>
          <w:lang w:val="nb-NO"/>
        </w:rPr>
        <w:t>(Al-Astewani, 2021; Fernando et al., 2022, 2023; Pabbajah et al., 2022; Said &amp; Santosa, 2021)</w:t>
      </w:r>
      <w:r w:rsidRPr="006922A3">
        <w:rPr>
          <w:rFonts w:ascii="Garamond" w:eastAsia="Garamond" w:hAnsi="Garamond" w:cs="Garamond"/>
          <w:lang w:val="sv-SE"/>
        </w:rPr>
        <w:fldChar w:fldCharType="end"/>
      </w:r>
      <w:r w:rsidRPr="00654FFD">
        <w:rPr>
          <w:rFonts w:ascii="Garamond" w:eastAsia="Garamond" w:hAnsi="Garamond" w:cs="Garamond"/>
          <w:lang w:val="sv-SE"/>
        </w:rPr>
        <w:t xml:space="preserve">. While resistance is seen across all age groups, older Muslims dominate. This is due to the strength of social media rumours </w:t>
      </w:r>
      <w:r w:rsidRPr="006922A3">
        <w:rPr>
          <w:rFonts w:ascii="Garamond" w:eastAsia="Garamond" w:hAnsi="Garamond" w:cs="Garamond"/>
          <w:lang w:val="sv-SE"/>
        </w:rPr>
        <w:fldChar w:fldCharType="begin" w:fldLock="1"/>
      </w:r>
      <w:r w:rsidRPr="006922A3">
        <w:rPr>
          <w:rFonts w:ascii="Garamond" w:eastAsia="Garamond" w:hAnsi="Garamond" w:cs="Garamond"/>
          <w:lang w:val="nb-NO"/>
        </w:rPr>
        <w:instrText>ADDIN CSL_CITATION { "citationItems" : [ { "id" : "ITEM-1", "itemData" : { "DOI" : "10.22373/sjhk.v5i2.10892", "ISSN" : "25493167", "abstract" : "This article aims to examine media coverage of COVID-19 and the resistance of the Indonesian people. This research is a legal sociology study that discusses the public's response to government policies regarding the Covid-19 vaccine with an Islamic legal approach. The data is analyzed using critical discourse analysis. This study concludes that community resistance to vaccines has a relationship with online media content. News content of victims who died after the vaccine, information about vaccines that impact the human body to become sick in the long term, and information about raw materials or contents of the Covid-19 vaccine that are not halal, indirectly have implications for the community resistance. This refusal was mainly due to information about victims who had been vaccinated experienced vaccine failures, especially from social media such as YouTube, WhatsApp and Facebook, which are sometimes difficult to justify. According to Islamic law, people should be careful about content and news regarding Covid-19 because it may not be accurate. Therefore, the government needs to provide solutions in various ways. First, the government oversees all social media in conveying information so that all news related to the COVID-19 vaccine needs to be more careful and wisely not to worry the public. Second, the government needs to re-strengthen media regulations or news coverage that doesn't seem to work optimally. Moreover, the government's vaccine policy aims to prevent the danger of the virus, which guarantees the safety of people's lives, and it is part of maq\u00e2shid al-syari'ah. Likewise, the government has involved the MUI, which has authority in the field of religious fatwas, so that the certainty that the vaccine is halal can be accounted for in Islamic law.", "author" : [ { "dropping-particle" : "", "family" : "Sangaji", "given" : "Ruslan", "non-dropping-particle" : "", "parse-names" : false, "suffix" : "" }, { "dropping-particle" : "", "family" : "Basri", "given" : "Halimah", "non-dropping-particle" : "", "parse-names" : false, "suffix" : "" }, { "dropping-particle" : "", "family" : "Wandi", "given" : "Wandi", "non-dropping-particle" : "", "parse-names" : false, "suffix" : "" }, { "dropping-particle" : "", "family" : "Sultan", "given" : "Muslihin", "non-dropping-particle" : "", "parse-names" : false, "suffix" : "" }, { "dropping-particle" : "", "family" : "Rasyid", "given" : "Nirwana", "non-dropping-particle" : "", "parse-names" : false, "suffix" : "" } ], "container-title" : "Samarah", "id" : "ITEM-1", "issue" : "2", "issued" : { "date-parts" : [ [ "2021" ] ] }, "page" : "957-975", "title" : "The News of the Covid-19 Vaccine in the Media and Public Resistance in Indonesia: A Study of Islamic Law", "type" : "article-journal", "volume" : "5" }, "uris" : [ "http://www.mendeley.com/documents/?uuid=0e11fe14-6ade-47e7-9fc3-a83a944a1553" ] } ], "mendeley" : { "formattedCitation" : "(Sangaji et al., 2021)", "plainTextFormattedCitation" : "(Sangaji et al., 2021)", "previouslyFormattedCitation" : "(Sangaji et al., 2021)" }, "properties" : { "noteIndex" : 0 }, "schema" : "https://github.com/citation-style-language/schema/raw/master/csl-citation.json" }</w:instrText>
      </w:r>
      <w:r w:rsidRPr="006922A3">
        <w:rPr>
          <w:rFonts w:ascii="Garamond" w:eastAsia="Garamond" w:hAnsi="Garamond" w:cs="Garamond"/>
          <w:lang w:val="sv-SE"/>
        </w:rPr>
        <w:fldChar w:fldCharType="separate"/>
      </w:r>
      <w:r w:rsidRPr="006922A3">
        <w:rPr>
          <w:rFonts w:ascii="Garamond" w:eastAsia="Garamond" w:hAnsi="Garamond" w:cs="Garamond"/>
          <w:noProof/>
          <w:lang w:val="nb-NO"/>
        </w:rPr>
        <w:t>(Sangaji et al., 2021)</w:t>
      </w:r>
      <w:r w:rsidRPr="006922A3">
        <w:rPr>
          <w:rFonts w:ascii="Garamond" w:eastAsia="Garamond" w:hAnsi="Garamond" w:cs="Garamond"/>
          <w:lang w:val="sv-SE"/>
        </w:rPr>
        <w:fldChar w:fldCharType="end"/>
      </w:r>
      <w:r w:rsidRPr="00654FFD">
        <w:rPr>
          <w:rFonts w:ascii="Garamond" w:eastAsia="Garamond" w:hAnsi="Garamond" w:cs="Garamond"/>
          <w:lang w:val="sv-SE"/>
        </w:rPr>
        <w:t xml:space="preserve">, lower levels of education among the elderly and poor </w:t>
      </w:r>
      <w:r w:rsidRPr="006922A3">
        <w:rPr>
          <w:rFonts w:ascii="Garamond" w:eastAsia="Garamond" w:hAnsi="Garamond" w:cs="Garamond"/>
          <w:lang w:val="nb-NO"/>
        </w:rPr>
        <w:fldChar w:fldCharType="begin" w:fldLock="1"/>
      </w:r>
      <w:r w:rsidRPr="006922A3">
        <w:rPr>
          <w:rFonts w:ascii="Garamond" w:eastAsia="Garamond" w:hAnsi="Garamond" w:cs="Garamond"/>
          <w:lang w:val="nb-NO"/>
        </w:rPr>
        <w:instrText>ADDIN CSL_CITATION { "citationItems" : [ { "id" : "ITEM-1", "itemData" : { "DOI" : "10.1371/journal. pone.0250495", "author" : [ { "dropping-particle" : "", "family" : "Abedin", "given" : "Minhazul", "non-dropping-particle" : "", "parse-names" : false, "suffix" : "" }, { "dropping-particle" : "", "family" : "Islam, Mohammad Aminul Rahman", "given" : "Farah Naz", "non-dropping-particle" : "", "parse-names" : false, "suffix" : "" }, { "dropping-particle" : "", "family" : "Reza", "given" : "Hasan Mahmud", "non-dropping-particle" : "", "parse-names" : false, "suffix" : "" }, { "dropping-particle" : "", "family" : "Hossain", "given" : "Mohammad Zakir", "non-dropping-particle" : "", "parse-names" : false, "suffix" : "" }, { "dropping-particle" : "", "family" : "Hossain", "given" : "Mohammad Anwar", "non-dropping-particle" : "", "parse-names" : false, "suffix" : "" }, { "dropping-particle" : "", "family" : "Arefin", "given" : "Adittya", "non-dropping-particle" : "", "parse-names" : false, "suffix" : "" }, { "dropping-particle" : "", "family" : "Hossain", "given" : "Ahmed", "non-dropping-particle" : "", "parse-names" : false, "suffix" : "" } ], "container-title" : "PloS one", "id" : "ITEM-1", "issue" : "4", "issued" : { "date-parts" : [ [ "2021" ] ] }, "page" : "e0250495", "title" : "Willingness to vaccinate against COVID-19 among Bangladeshi adults: Understanding the strategies to optimize vaccination coverage", "type" : "article-journal", "volume" : "16" }, "uris" : [ "http://www.mendeley.com/documents/?uuid=4dd66497-acb5-4ce3-b309-92fb16ba32d0" ] } ], "mendeley" : { "formattedCitation" : "(Abedin et al., 2021)", "plainTextFormattedCitation" : "(Abedin et al., 2021)", "previouslyFormattedCitation" : "(Abedin et al., 2021)" }, "properties" : { "noteIndex" : 0 }, "schema" : "https://github.com/citation-style-language/schema/raw/master/csl-citation.json" }</w:instrText>
      </w:r>
      <w:r w:rsidRPr="006922A3">
        <w:rPr>
          <w:rFonts w:ascii="Garamond" w:eastAsia="Garamond" w:hAnsi="Garamond" w:cs="Garamond"/>
          <w:lang w:val="nb-NO"/>
        </w:rPr>
        <w:fldChar w:fldCharType="separate"/>
      </w:r>
      <w:r w:rsidRPr="006922A3">
        <w:rPr>
          <w:rFonts w:ascii="Garamond" w:eastAsia="Garamond" w:hAnsi="Garamond" w:cs="Garamond"/>
          <w:noProof/>
          <w:lang w:val="nb-NO"/>
        </w:rPr>
        <w:t>(Abedin et al., 2021)</w:t>
      </w:r>
      <w:r w:rsidRPr="006922A3">
        <w:rPr>
          <w:rFonts w:ascii="Garamond" w:eastAsia="Garamond" w:hAnsi="Garamond" w:cs="Garamond"/>
          <w:lang w:val="nb-NO"/>
        </w:rPr>
        <w:fldChar w:fldCharType="end"/>
      </w:r>
      <w:r w:rsidRPr="00654FFD">
        <w:rPr>
          <w:rFonts w:ascii="Garamond" w:eastAsia="Garamond" w:hAnsi="Garamond" w:cs="Garamond"/>
          <w:lang w:val="sv-SE"/>
        </w:rPr>
        <w:t xml:space="preserve">, and community experience </w:t>
      </w:r>
      <w:r w:rsidRPr="006922A3">
        <w:rPr>
          <w:rFonts w:ascii="Garamond" w:eastAsia="Garamond" w:hAnsi="Garamond" w:cs="Garamond"/>
          <w:lang w:val="nb-NO"/>
        </w:rPr>
        <w:fldChar w:fldCharType="begin" w:fldLock="1"/>
      </w:r>
      <w:r w:rsidRPr="006922A3">
        <w:rPr>
          <w:rFonts w:ascii="Garamond" w:eastAsia="Garamond" w:hAnsi="Garamond" w:cs="Garamond"/>
          <w:lang w:val="nb-NO"/>
        </w:rPr>
        <w:instrText>ADDIN CSL_CITATION { "citationItems" : [ { "id" : "ITEM-1", "itemData" : { "DOI" : "10.14421/jsr.v17i2.2627", "ISSN" : "1978-0362", "abstract" : "During the 2020-2021 period in Indonesia, the stricter enforcement of worship practices amid the Covid-19 pandemic resulted in opposition from various Muslim community. Prior research on this phenomenon has solely concentrated on binary notions of opposition, and as such, has not provided a comprehensive explanation of the resistance stance. The objective of this study is to elucidate the shape and manner of resistance from various Muslim groups towards the stricter enforcement of religious practices amid the Covid-19 outbreak. Qualitative methods were employed in this study, which involved collecting data through in-depth interviews and observations conducted at Mataram Mosque in Kota Gede, Yogyakarta. The findings show that resistance by some Muslim communities comes in three forms: passive, active, and reactive resistance. These three forms of opposition represent a manifestation of the citizens' ideological consciousness as they object to government policies that contradict the knowledge and collective experiences they have accumulated thus far.Pada rentang 2020-2021, kebijakan pengetatan pelaksanaan ibadah di masa Covid-19 di Indonesia telah menimbulkan sejumlah resistensi dari beberapa segmen masyarakat muslim. Studi terdahulu yang membahas fenomena ini hanya terfokus pada konsep resistensi yang dikotomis, sehingga belum menjelaskan sikap resistensi secara komprehensif. Penelitian ini bertujuan untuk menjelaskan bentuk dan pola resistensi beberapa segmen masyarakat Muslim terhadap kebijakan pengetatan kegiatan ibadah di masa pandemi Covid-19. Penelitian dilakukan melalui metode kualitatif dengan teknik pengumpulan data berupa wawancara mendalam dan observasi di Masjid Mataram Kota Gede, Yogyakarta. Temuan menunjukkan bahwa perlawanan yang dilakukan oleh sebagian masyarakat Muslim tersebut m</w:instrText>
      </w:r>
      <w:r w:rsidRPr="006922A3">
        <w:rPr>
          <w:rFonts w:ascii="Garamond" w:eastAsia="Garamond" w:hAnsi="Garamond" w:cs="Garamond"/>
          <w:lang w:val="sv-SE"/>
        </w:rPr>
        <w:instrText>uncul dalam tiga bentuk, yaitu: perlawanan secara pasif, aktif, dan reaktif. Ketiga bentuk resistensi tersebut merupakan wujud kesadaran ideologis warga karena ketidaksetujuan terhadap kebijakan pemerintah yang berseberangan dengan pengetahuan dan pengalaman kolektif yang mereka miliki selama ini.\u00a0", "author" : [ { "dropping-particle" : "", "family" : "Fernando", "given" : "Henky", "non-dropping-particle" : "", "parse-names" : false, "suffix" : "" }, { "dropping-particle" : "", "family" : "Abdullah", "given" : "Irwan", "non-dropping-particle" : "", "parse-names" : false, "suffix" : "" }, { "dropping-particle" : "", "family" : "Yusuf", "given" : "Mohamad", "non-dropping-particle" : "", "parse-names" : false, "suffix" : "" } ], "container-title" : "Jurnal Sosiologi Reflektif", "id" : "ITEM-1", "issue" : "2", "issued" : { "date-parts" : [ [ "2023" ] ] }, "page" : "351", "title" : "Resistance of Muslims Toward the Government'S Policy on Prohibiting Congregational Worship During the Covid-19 Pandemic", "type" : "article-journal", "volume" : "17" }, "uris" : [ "http://www.mendeley.com/documents/?uuid=c973bd6f-0d5a-4a53-b08b-ab927b6863e9" ] } ], "mendeley" : { "formattedCitation" : "(Fernando et al., 2023)", "plainTextFormattedCitation" : "(Fernando et al., 2023)", "previouslyFormattedCitation" : "(Fernando et al., 2023)" }, "properties" : { "noteIndex" : 0 }, "schema" : "https://github.com/citation-style-language/schema/raw/master/csl-citation.json" }</w:instrText>
      </w:r>
      <w:r w:rsidRPr="006922A3">
        <w:rPr>
          <w:rFonts w:ascii="Garamond" w:eastAsia="Garamond" w:hAnsi="Garamond" w:cs="Garamond"/>
          <w:lang w:val="nb-NO"/>
        </w:rPr>
        <w:fldChar w:fldCharType="separate"/>
      </w:r>
      <w:r w:rsidRPr="006922A3">
        <w:rPr>
          <w:rFonts w:ascii="Garamond" w:eastAsia="Garamond" w:hAnsi="Garamond" w:cs="Garamond"/>
          <w:noProof/>
          <w:lang w:val="sv-SE"/>
        </w:rPr>
        <w:t>(Fernando et al., 2023)</w:t>
      </w:r>
      <w:r w:rsidRPr="006922A3">
        <w:rPr>
          <w:rFonts w:ascii="Garamond" w:eastAsia="Garamond" w:hAnsi="Garamond" w:cs="Garamond"/>
          <w:lang w:val="nb-NO"/>
        </w:rPr>
        <w:fldChar w:fldCharType="end"/>
      </w:r>
      <w:r w:rsidRPr="00654FFD">
        <w:rPr>
          <w:rFonts w:ascii="Garamond" w:eastAsia="Garamond" w:hAnsi="Garamond" w:cs="Garamond"/>
          <w:lang w:val="sv-SE"/>
        </w:rPr>
        <w:t xml:space="preserve">. Good spiritual qualities also contribute towards aversion towards social distance </w:t>
      </w:r>
      <w:r w:rsidRPr="006922A3">
        <w:rPr>
          <w:rFonts w:ascii="Garamond" w:eastAsia="Garamond" w:hAnsi="Garamond" w:cs="Garamond"/>
          <w:lang w:val="sv-SE"/>
        </w:rPr>
        <w:fldChar w:fldCharType="begin" w:fldLock="1"/>
      </w:r>
      <w:r w:rsidRPr="006922A3">
        <w:rPr>
          <w:rFonts w:ascii="Garamond" w:eastAsia="Garamond" w:hAnsi="Garamond" w:cs="Garamond"/>
          <w:lang w:val="sv-SE"/>
        </w:rPr>
        <w:instrText>ADDIN CSL_CITATION { "citationItems" : [ { "id" : "ITEM-1", "itemData" : { "DOI" : "10.1080/15528030.2021.1894627", "ISSN" : "15528049", "abstract" : "The aim of this research is to determine the relationship between spiritual well-being levels and coronavirus fear levels of individuals over 65\u00a0years old during the COVID-19 outbreak. The study adopted a cross-sectional and corelational design. The research was conducted between July 1\u201330 in the city of Mu\u015f in Turkey\u2019s Eastern Anatolia Region. The universe of the study consisted of 1780 individuals over 65\u00a0years old enrolled in a family practice center located in the city center between the specified dates. Personal information form, Spiritual Well-being Scale (FACIT-Sp) and Coronavirus Phobia Scale (C19P-S) were used to collect data. Data coding and analysis were performed in the computer environment with SPSS 25 package program. Analysis of data used number, mean, percentage distribution and Pearson correlation analysis. Participants had mean total points for the spiritual well-being scale of 28.61\u00a0\u00b1\u00a05.54, with mean coronavirus fear points of 59.66\u00a0\u00b1\u00a015.40. There was a moderate level correlation between spiritual well-being and coronavirus fear in individuals, with meaning and belief levels above the mean. Individuals with chronic disease had psychological fear levels above the mean, with somatic, economic and social fea</w:instrText>
      </w:r>
      <w:r w:rsidRPr="006922A3">
        <w:rPr>
          <w:rFonts w:ascii="Garamond" w:eastAsia="Garamond" w:hAnsi="Garamond" w:cs="Garamond"/>
          <w:lang w:val="nb-NO"/>
        </w:rPr>
        <w:instrText>r levels below the mean. A significant negative relationship was found not only between the spiritual meaning sub-dimension and individuals\u2019 fear of coronavirus but also between the peace sub-dimension and their fear of coronavirus. The data show that as individuals\u2019 spirituality increases, their fear of coronavirus levels decrease.", "author" : [ { "dropping-particle" : "", "family" : "Durmu\u015f", "given" : "Mustafa", "non-dropping-particle" : "", "parse-names" : false, "suffix" : "" }, { "dropping-particle" : "", "family" : "Durar", "given" : "Erkan", "non-dropping-particle" : "", "parse-names" : false, "suffix" : "" } ], "container-title" : "Journal of Religion, Spirituality and Aging", "id" : "ITEM-1", "issue" : "1", "issued" : { "date-parts" : [ [ "2022" ] ] }, "page" : "3-16", "title" : "The relationship between spiritual well-being and fear of COVID-19 among Turkish elders", "type" : "article-journal", "volume" : "34" }, "uris" : [ "http://www.mendeley.com/documents/?uuid=87ccbbb7-7783-434f-8c92-272be0f7a31d" ] }, { "id" : "ITEM-2", "itemData" : { "DOI" : "10.1177/00302228231163208", "ISSN" : "15413764", "abstract" : "The aim of this research is to relationship between intolerance of uncertainty and spiritual well-being levels during Covid-19 among elderly. This study was conducted with cross-sectional and corrational design. The research was conducted between January and June 2021 in Turkey\u2019s Eastern Anatolia Region. Introductory Information Form, Intolerance of Uncertainty Scale-Short Form (IUS), and Spirituality Index of Well-Being (SIWB) were used to collect data. The research was completed with 302 volunteers who met the following inclusion criteria. All participants belong to the Muslims. A negative significant correlation was found between IUS and SIWB; that is as the spirituality of the elderly individuals increased, the levels of intolerance of uncertainty decreased. It is recommended to identify the fears and intolerances of elderly individuals. For uncertainty, it is necessary to refine their spirituality. For this, it is recommended to organize spiritual education programs.", "author" : [ { "dropping-particle" : "", "family" : "Akg\u00fcn \u015eahin", "given" : "Z\u00fcmr\u00fct", "non-dropping-particle" : "", "parse-names" : false, "suffix" : "" }, { "dropping-particle" : "", "family" : "Deniz", "given" : "Muhammed", "non-dropping-particle" : "", "parse-names" : false, "suffix" : "" }, { "dropping-particle" : "", "family" : "Ak\u00e7a", "given" : "Duygu", "non-dropping-particle" : "", "parse-names" : false, "suffix" : "" }, { "dropping-particle" : "", "family" : "Uymaz Aras", "given" : "G\u00fclistan", "non-dropping-particle" : "", "parse-names" : false, "suffix" : "" }, { "dropping-particle" : "", "family" : "Do\u011fan", "given" : "Sedat", "non-dropping-particle" : "", "parse-names" : false, "suffix" : "" } ], "container-title" : "Omega (United States)", "id" : "ITEM-2", "issued" : { "date-parts" : [ [ "2023" ] ] }, "title" : "The Relationship Between Intolerance of Uncertainty and Spiritual Well-Being Levels of COVID-19 Among Elderly: A Cross Sectional and Correlational Study", "type" : "article-journal" }, "uris" : [ "http://www.mendeley.com/documents/?uuid=b1fe9f62-f8c7-4d86-b774-b251d5984619" ] } ], "mendeley" : { "formattedCitation" : "(Akg\u00fcn \u015eahin et al., 2023; Durmu\u015f &amp; Durar, 2022)", "plainTextFormattedCitation" : "(Akg\u00fcn \u015eahin et al., 2023; Durmu\u015f &amp; Durar, 2022)", "previouslyFormattedCitation" : "(Akg\u00fcn \u015eahin et al., 2023; Durmu\u015f &amp; Durar, 2022)" }, "properties" : { "noteIndex" : 0 }, "schema" : "https://github.com/citation-style-language/schema/raw/master/csl-citation.json" }</w:instrText>
      </w:r>
      <w:r w:rsidRPr="006922A3">
        <w:rPr>
          <w:rFonts w:ascii="Garamond" w:eastAsia="Garamond" w:hAnsi="Garamond" w:cs="Garamond"/>
          <w:lang w:val="sv-SE"/>
        </w:rPr>
        <w:fldChar w:fldCharType="separate"/>
      </w:r>
      <w:r w:rsidRPr="006922A3">
        <w:rPr>
          <w:rFonts w:ascii="Garamond" w:eastAsia="Garamond" w:hAnsi="Garamond" w:cs="Garamond"/>
          <w:noProof/>
          <w:lang w:val="nb-NO"/>
        </w:rPr>
        <w:t>(Akgün Şahin et al., 2023; Durmuş &amp; Durar, 2022)</w:t>
      </w:r>
      <w:r w:rsidRPr="006922A3">
        <w:rPr>
          <w:rFonts w:ascii="Garamond" w:eastAsia="Garamond" w:hAnsi="Garamond" w:cs="Garamond"/>
          <w:lang w:val="sv-SE"/>
        </w:rPr>
        <w:fldChar w:fldCharType="end"/>
      </w:r>
      <w:commentRangeEnd w:id="1"/>
      <w:r>
        <w:rPr>
          <w:rStyle w:val="CommentReference"/>
        </w:rPr>
        <w:commentReference w:id="1"/>
      </w:r>
      <w:r w:rsidRPr="00654FFD">
        <w:rPr>
          <w:rFonts w:ascii="Garamond" w:eastAsia="Garamond" w:hAnsi="Garamond" w:cs="Garamond"/>
          <w:lang w:val="sv-SE"/>
        </w:rPr>
        <w:t>.</w:t>
      </w:r>
    </w:p>
    <w:p w14:paraId="41D1FAE6" w14:textId="5AB25C2A" w:rsidR="00132D24" w:rsidRDefault="00654FFD" w:rsidP="00654FFD">
      <w:pPr>
        <w:spacing w:line="360" w:lineRule="auto"/>
        <w:ind w:firstLine="567"/>
        <w:jc w:val="both"/>
        <w:rPr>
          <w:rFonts w:ascii="Garamond" w:eastAsia="Garamond" w:hAnsi="Garamond" w:cs="Garamond"/>
          <w:lang w:val="sv-SE"/>
        </w:rPr>
      </w:pPr>
      <w:r w:rsidRPr="00654FFD">
        <w:rPr>
          <w:rFonts w:ascii="Garamond" w:eastAsia="Garamond" w:hAnsi="Garamond" w:cs="Garamond"/>
          <w:lang w:val="nb-NO"/>
        </w:rPr>
        <w:t xml:space="preserve">Unfortunately, how resistance can arise in older Muslims has not been addressed in existing studies. The aim of our research is to fill this gap through the study of resistance from the Muslim mind. This article aims to explain the cognitive response of elderly Muslims </w:t>
      </w:r>
      <w:r w:rsidRPr="00654FFD">
        <w:rPr>
          <w:rFonts w:ascii="Garamond" w:eastAsia="Garamond" w:hAnsi="Garamond" w:cs="Garamond"/>
          <w:lang w:val="nb-NO"/>
        </w:rPr>
        <w:lastRenderedPageBreak/>
        <w:t>to the restrictions on worshipping in mosques during Covid-19. Elderly Muslims are considered vulnerable to the virus and are the first victims of Covid-19 worldwide. Therefore, in order for this research to be an important contribution to policy makers in difficult times, it is important to explain it as an effort to understand the responses of older Muslims.</w:t>
      </w:r>
      <w:r w:rsidR="00F037A6" w:rsidRPr="006922A3">
        <w:rPr>
          <w:rFonts w:ascii="Garamond" w:eastAsia="Garamond" w:hAnsi="Garamond" w:cs="Garamond"/>
          <w:lang w:val="sv-SE"/>
        </w:rPr>
        <w:t xml:space="preserve"> </w:t>
      </w:r>
      <w:r w:rsidR="006D5E47" w:rsidRPr="006922A3">
        <w:rPr>
          <w:rFonts w:ascii="Garamond" w:eastAsia="Garamond" w:hAnsi="Garamond" w:cs="Garamond"/>
          <w:lang w:val="sv-SE"/>
        </w:rPr>
        <w:t xml:space="preserve"> </w:t>
      </w:r>
    </w:p>
    <w:p w14:paraId="67B78BDD" w14:textId="77777777" w:rsidR="000925BB" w:rsidRPr="00654FFD" w:rsidRDefault="000925BB" w:rsidP="00654FFD">
      <w:pPr>
        <w:spacing w:line="360" w:lineRule="auto"/>
        <w:ind w:firstLine="567"/>
        <w:jc w:val="both"/>
        <w:rPr>
          <w:rFonts w:ascii="Garamond" w:eastAsia="Garamond" w:hAnsi="Garamond" w:cs="Garamond"/>
          <w:lang w:val="nb-NO"/>
        </w:rPr>
      </w:pPr>
    </w:p>
    <w:p w14:paraId="76746CE6" w14:textId="31F25DC5" w:rsidR="003C4422" w:rsidRPr="005848F3" w:rsidRDefault="00143395" w:rsidP="003C4422">
      <w:pPr>
        <w:spacing w:line="360" w:lineRule="auto"/>
        <w:jc w:val="both"/>
        <w:rPr>
          <w:rFonts w:ascii="Garamond" w:eastAsia="Garamond" w:hAnsi="Garamond" w:cs="Garamond"/>
          <w:lang w:val="sv-SE"/>
        </w:rPr>
      </w:pPr>
      <w:r w:rsidRPr="00143395">
        <w:rPr>
          <w:rFonts w:ascii="Garamond" w:eastAsia="Garamond" w:hAnsi="Garamond" w:cs="Garamond"/>
          <w:b/>
          <w:lang w:val="sv-SE"/>
        </w:rPr>
        <w:t>CONCEPTUAL REVIEW</w:t>
      </w:r>
    </w:p>
    <w:p w14:paraId="1E9B1D43" w14:textId="5FFA1902" w:rsidR="00143395" w:rsidRPr="00143395" w:rsidRDefault="00143395" w:rsidP="00143395">
      <w:pPr>
        <w:spacing w:line="360" w:lineRule="auto"/>
        <w:jc w:val="both"/>
        <w:rPr>
          <w:rFonts w:ascii="Garamond" w:eastAsia="Garamond" w:hAnsi="Garamond" w:cs="Garamond"/>
          <w:b/>
          <w:bCs/>
          <w:lang w:val="sv-SE"/>
        </w:rPr>
      </w:pPr>
      <w:r w:rsidRPr="00143395">
        <w:rPr>
          <w:rFonts w:ascii="Garamond" w:eastAsia="Garamond" w:hAnsi="Garamond" w:cs="Garamond"/>
          <w:b/>
          <w:bCs/>
          <w:lang w:val="sv-SE"/>
        </w:rPr>
        <w:t>Cognitive Response</w:t>
      </w:r>
    </w:p>
    <w:p w14:paraId="6C60D7C6" w14:textId="65023C65" w:rsidR="00143395" w:rsidRDefault="00143395" w:rsidP="00143395">
      <w:pPr>
        <w:spacing w:line="360" w:lineRule="auto"/>
        <w:ind w:firstLine="567"/>
        <w:jc w:val="both"/>
        <w:rPr>
          <w:rFonts w:ascii="Garamond" w:eastAsia="Garamond" w:hAnsi="Garamond" w:cs="Garamond"/>
          <w:lang w:val="sv-SE"/>
        </w:rPr>
      </w:pPr>
      <w:r w:rsidRPr="00143395">
        <w:rPr>
          <w:rFonts w:ascii="Garamond" w:eastAsia="Garamond" w:hAnsi="Garamond" w:cs="Garamond"/>
          <w:lang w:val="sv-SE"/>
        </w:rPr>
        <w:t xml:space="preserve">In psychology, a response is defined as the result or impression obtained from observations about subjects, events or relationships. This is achieved by inferring information and interpreting messages </w:t>
      </w:r>
      <w:r w:rsidR="005110AF">
        <w:rPr>
          <w:rFonts w:ascii="Garamond" w:eastAsia="Garamond" w:hAnsi="Garamond" w:cs="Garamond"/>
          <w:lang w:val="sv-SE"/>
        </w:rPr>
        <w:fldChar w:fldCharType="begin" w:fldLock="1"/>
      </w:r>
      <w:r w:rsidR="005110AF" w:rsidRPr="005848F3">
        <w:rPr>
          <w:rFonts w:ascii="Garamond" w:eastAsia="Garamond" w:hAnsi="Garamond" w:cs="Garamond"/>
          <w:lang w:val="sv-SE"/>
        </w:rPr>
        <w:instrText>ADDIN CSL_CITATION { "citationItems" : [ { "id" : "ITEM-1", "itemData" : { "author" : [ { "dropping-particle" : "", "family" : "Jalaludin", "given" : "Rahmat", "non-dropping-particle" : "", "parse-names" : false, "suffix" : "" } ], "id" : "ITEM-1", "issued" : { "date-parts" : [ [ "1999" ] ] }, "number-of-pages" : "51", "publisher" : "Remaja Rosdakarya", "publisher-place" : "Bandung", "title" : "Psikologi Komunikasi", "type" : "book" }, "uris" : [ "http://www.mendeley.com/documents/?uuid=94688101-c67f-4b1d-8c0e-e2d143065d61" ] } ], "mendeley" : { "formattedCitation" : "(Jalaludin, 1999)", "plainTextFormattedCitation" : "(Jalaludin, 1999)", "previouslyFormattedCitation" : "(Jalaludin, 1999)" }, "properties" : { "not</w:instrText>
      </w:r>
      <w:r w:rsidR="005110AF">
        <w:rPr>
          <w:rFonts w:ascii="Garamond" w:eastAsia="Garamond" w:hAnsi="Garamond" w:cs="Garamond"/>
          <w:lang w:val="sv-SE"/>
        </w:rPr>
        <w:instrText>eIndex" : 0 }, "schema" : "https://github.com/citation-style-language/schema/raw/master/csl-citation.json" }</w:instrText>
      </w:r>
      <w:r w:rsidR="005110AF">
        <w:rPr>
          <w:rFonts w:ascii="Garamond" w:eastAsia="Garamond" w:hAnsi="Garamond" w:cs="Garamond"/>
          <w:lang w:val="sv-SE"/>
        </w:rPr>
        <w:fldChar w:fldCharType="separate"/>
      </w:r>
      <w:r w:rsidR="005110AF" w:rsidRPr="005041EA">
        <w:rPr>
          <w:rFonts w:ascii="Garamond" w:eastAsia="Garamond" w:hAnsi="Garamond" w:cs="Garamond"/>
          <w:noProof/>
          <w:lang w:val="sv-SE"/>
        </w:rPr>
        <w:t>(Jalaludin, 1999)</w:t>
      </w:r>
      <w:r w:rsidR="005110AF">
        <w:rPr>
          <w:rFonts w:ascii="Garamond" w:eastAsia="Garamond" w:hAnsi="Garamond" w:cs="Garamond"/>
          <w:lang w:val="sv-SE"/>
        </w:rPr>
        <w:fldChar w:fldCharType="end"/>
      </w:r>
      <w:r w:rsidRPr="00143395">
        <w:rPr>
          <w:rFonts w:ascii="Garamond" w:eastAsia="Garamond" w:hAnsi="Garamond" w:cs="Garamond"/>
          <w:lang w:val="sv-SE"/>
        </w:rPr>
        <w:t>. It is important to note that responses are influenced by both internal and external conditions.</w:t>
      </w:r>
      <w:r>
        <w:rPr>
          <w:rFonts w:ascii="Garamond" w:eastAsia="Garamond" w:hAnsi="Garamond" w:cs="Garamond"/>
          <w:lang w:val="sv-SE"/>
        </w:rPr>
        <w:t xml:space="preserve"> </w:t>
      </w:r>
      <w:r w:rsidRPr="00143395">
        <w:rPr>
          <w:rFonts w:ascii="Garamond" w:eastAsia="Garamond" w:hAnsi="Garamond" w:cs="Garamond"/>
          <w:lang w:val="sv-SE"/>
        </w:rPr>
        <w:t>The internal conditions that influence responses originate from the body. These include the existence, integrity and workings of the sensory organs, nerves and certain parts of the brain. The external conditions that influence responses originate from the environment.</w:t>
      </w:r>
      <w:r>
        <w:rPr>
          <w:rFonts w:ascii="Garamond" w:eastAsia="Garamond" w:hAnsi="Garamond" w:cs="Garamond"/>
          <w:lang w:val="sv-SE"/>
        </w:rPr>
        <w:t xml:space="preserve"> </w:t>
      </w:r>
      <w:r w:rsidRPr="00143395">
        <w:rPr>
          <w:rFonts w:ascii="Garamond" w:eastAsia="Garamond" w:hAnsi="Garamond" w:cs="Garamond"/>
          <w:lang w:val="sv-SE"/>
        </w:rPr>
        <w:t xml:space="preserve">In addition to these factors, responses are also influenced by the existence and feeling, reason, fantasy, mental views, mental thoughts, motivation and so on. The external factors which influence responses include the environment, the intensity of the exposure and the type of stimulating object </w:t>
      </w:r>
      <w:r w:rsidR="005110AF">
        <w:rPr>
          <w:rFonts w:ascii="Garamond" w:eastAsia="Garamond" w:hAnsi="Garamond" w:cs="Garamond"/>
          <w:lang w:val="sv-SE"/>
        </w:rPr>
        <w:fldChar w:fldCharType="begin" w:fldLock="1"/>
      </w:r>
      <w:r w:rsidR="005110AF">
        <w:rPr>
          <w:rFonts w:ascii="Garamond" w:eastAsia="Garamond" w:hAnsi="Garamond" w:cs="Garamond"/>
          <w:lang w:val="sv-SE"/>
        </w:rPr>
        <w:instrText>ADDIN CSL_CITATION { "citationItems" : [ { "id" : "ITEM-1", "itemData" : { "author" : [ { "dropping-particle" : "", "family" : "Walgito", "given" : "Bimo", "non-dropping-particle" : "", "parse-names" : false, "suffix" : "" } ], "id" : "ITEM-1", "issued" : { "date-parts" : [ [ "1999" ] ] }, "publisher" : "Andi Offset", "publisher-place" : "Yogyakarta", "title" : "Pengantar Psikologi Umum", "type" : "book" }, "uris" : [ "http://www.mendeley.com/documents/?uuid=a9ce202b-5580-4e4b-9fcc-a27211f135bf" ] } ], "mendeley" : { "formattedCitation" : "(Walgito, 1999)", "plainTextFormattedCitation" : "(Walgito, 1999)", "previouslyFormattedCitation" : "(Walgito, 1999)" }, "properties" : { "noteIndex" : 0 }, "schema" : "https://github.com/citation-style-language/schema/raw/master/csl-citation.json" }</w:instrText>
      </w:r>
      <w:r w:rsidR="005110AF">
        <w:rPr>
          <w:rFonts w:ascii="Garamond" w:eastAsia="Garamond" w:hAnsi="Garamond" w:cs="Garamond"/>
          <w:lang w:val="sv-SE"/>
        </w:rPr>
        <w:fldChar w:fldCharType="separate"/>
      </w:r>
      <w:r w:rsidR="005110AF" w:rsidRPr="0005620A">
        <w:rPr>
          <w:rFonts w:ascii="Garamond" w:eastAsia="Garamond" w:hAnsi="Garamond" w:cs="Garamond"/>
          <w:noProof/>
          <w:lang w:val="sv-SE"/>
        </w:rPr>
        <w:t>(Walgito, 1999)</w:t>
      </w:r>
      <w:r w:rsidR="005110AF">
        <w:rPr>
          <w:rFonts w:ascii="Garamond" w:eastAsia="Garamond" w:hAnsi="Garamond" w:cs="Garamond"/>
          <w:lang w:val="sv-SE"/>
        </w:rPr>
        <w:fldChar w:fldCharType="end"/>
      </w:r>
      <w:r>
        <w:rPr>
          <w:rFonts w:ascii="Garamond" w:eastAsia="Garamond" w:hAnsi="Garamond" w:cs="Garamond"/>
          <w:lang w:val="sv-SE"/>
        </w:rPr>
        <w:t>.</w:t>
      </w:r>
    </w:p>
    <w:p w14:paraId="3E529967" w14:textId="2677528E" w:rsidR="00143395" w:rsidRPr="005848F3" w:rsidRDefault="00143395" w:rsidP="00143395">
      <w:pPr>
        <w:spacing w:line="360" w:lineRule="auto"/>
        <w:ind w:firstLine="567"/>
        <w:jc w:val="both"/>
        <w:rPr>
          <w:rFonts w:ascii="Garamond" w:eastAsia="Garamond" w:hAnsi="Garamond" w:cs="Garamond"/>
          <w:lang w:val="sv-SE"/>
        </w:rPr>
      </w:pPr>
      <w:r w:rsidRPr="00143395">
        <w:rPr>
          <w:rFonts w:ascii="Garamond" w:eastAsia="Garamond" w:hAnsi="Garamond" w:cs="Garamond"/>
          <w:lang w:val="sv-SE"/>
        </w:rPr>
        <w:t xml:space="preserve">Chaffe and Schleuder </w:t>
      </w:r>
      <w:r w:rsidR="005110AF">
        <w:rPr>
          <w:rFonts w:ascii="Garamond" w:eastAsia="Garamond" w:hAnsi="Garamond" w:cs="Garamond"/>
          <w:lang w:val="sv-SE"/>
        </w:rPr>
        <w:fldChar w:fldCharType="begin" w:fldLock="1"/>
      </w:r>
      <w:r w:rsidR="005110AF">
        <w:rPr>
          <w:rFonts w:ascii="Garamond" w:eastAsia="Garamond" w:hAnsi="Garamond" w:cs="Garamond"/>
          <w:lang w:val="sv-SE"/>
        </w:rPr>
        <w:instrText>ADDIN CSL_CITATION { "citationItems" : [ { "id" : "ITEM-1", "itemData" : { "author" : [ { "dropping-particle" : "", "family" : "Chaffee", "given" : "Steven H.", "non-dropping-particle" : "", "parse-names" : false, "suffix" : "" }, { "dropping-particle" : "", "family" : "Schleuder", "given" : "Joan", "non-dropping-particle" : "", "parse-names" : false, "suffix" : "" } ], "container-title" : "Human Communication Research", "id" : "ITEM-1", "issue" : "1", "issued" : { "date-parts" : [ [ "1986" ] ] }, "page" : "76-107", "title" : "Measurement and effects of attention to media news", "type" : "article-journal", "volume" : "13" }, "suppress-author" : 1, "uris" : [ "http://www.mendeley.com/documents/?uuid=031a019a-0244-41dd-9f0b-0200d6c0924c" ] } ], "mendeley" : { "formattedCitation" : "(1986)", "plainTextFormattedCitation" : "(1986)", "previouslyFormattedCitation" : "(1986)" }, "properties" : { "noteIndex" : 0 }, "schema" : "https://github.com/citation-style-language/schema/raw/master/csl-citation.json" }</w:instrText>
      </w:r>
      <w:r w:rsidR="005110AF">
        <w:rPr>
          <w:rFonts w:ascii="Garamond" w:eastAsia="Garamond" w:hAnsi="Garamond" w:cs="Garamond"/>
          <w:lang w:val="sv-SE"/>
        </w:rPr>
        <w:fldChar w:fldCharType="separate"/>
      </w:r>
      <w:r w:rsidR="005110AF" w:rsidRPr="0005620A">
        <w:rPr>
          <w:rFonts w:ascii="Garamond" w:eastAsia="Garamond" w:hAnsi="Garamond" w:cs="Garamond"/>
          <w:noProof/>
          <w:lang w:val="sv-SE"/>
        </w:rPr>
        <w:t>(1986)</w:t>
      </w:r>
      <w:r w:rsidR="005110AF">
        <w:rPr>
          <w:rFonts w:ascii="Garamond" w:eastAsia="Garamond" w:hAnsi="Garamond" w:cs="Garamond"/>
          <w:lang w:val="sv-SE"/>
        </w:rPr>
        <w:fldChar w:fldCharType="end"/>
      </w:r>
      <w:r w:rsidRPr="00143395">
        <w:rPr>
          <w:rFonts w:ascii="Garamond" w:eastAsia="Garamond" w:hAnsi="Garamond" w:cs="Garamond"/>
          <w:lang w:val="sv-SE"/>
        </w:rPr>
        <w:t xml:space="preserve"> distinguish between three types of responses, one of which is cognitive. The cognitive response is one that is closely related to a person's knowledge, thought process, skills and information about something. It can be seen to spur the development of rational ability. Cognition can be defined as a person's belief about something that is obtained from the process of thinking about someone or something. The process of acquiring knowledge and manipulating it through the activities of remembering, analysing, understanding, assessing, reasoning, imagining and speaking is fundamental to the development of cognition. The capacity or ability of cognition is usually interpreted as intelligence or intelligence. Individuals can realise their surroundings through sensation and perception. In order for an individual to realise something, several conditions must be met. These include the existence of an object that is observed, sensory organs or receptors that are sufficiently developed, namely tools to receive stimuli, and the need for attention, which is the first step in the process of observation </w:t>
      </w:r>
      <w:r w:rsidR="005110AF">
        <w:rPr>
          <w:rFonts w:ascii="Garamond" w:eastAsia="Garamond" w:hAnsi="Garamond" w:cs="Garamond"/>
          <w:lang w:val="sv-SE"/>
        </w:rPr>
        <w:fldChar w:fldCharType="begin" w:fldLock="1"/>
      </w:r>
      <w:r w:rsidR="005110AF">
        <w:rPr>
          <w:rFonts w:ascii="Garamond" w:eastAsia="Garamond" w:hAnsi="Garamond" w:cs="Garamond"/>
          <w:lang w:val="sv-SE"/>
        </w:rPr>
        <w:instrText>ADDIN CSL_CITATION { "citationItems" : [ { "id" : "ITEM-1", "itemData" : { "author" : [ { "dropping-particle" : "", "family" : "Govindaraju", "given" : "Vimala", "non-dropping-particle" : "", "parse-names" : false, "suffix" : "" } ], "container-title" : "Multicultural Education", "id" : "ITEM-1", "issue" : "12", "issued" : { "date-parts" : [ [ "2021" ] ] }, "page" : "1-5", "title" : "A review of social cognitive theory from the perspective of interpersonal communication.\" : .", "type" : "article-journal", "volume" : "7" }, "uris" : [ "http://www.mendeley.com/documents/?uuid=7477d3ca-d977-4cf5-8e8b-1d62b369ae63" ] } ], "mendeley" : { "formattedCitation" : "(Govindaraju, 2021)", "plainTextFormattedCitation" : "(Govindaraju, 2021)", "previouslyFormattedCitation" : "(Govindaraju, 2021)" }, "properties" : { "noteIndex" : 0 }, "schema" : "https://github.com/citation-style-language/schema/raw/master/csl-citation.json" }</w:instrText>
      </w:r>
      <w:r w:rsidR="005110AF">
        <w:rPr>
          <w:rFonts w:ascii="Garamond" w:eastAsia="Garamond" w:hAnsi="Garamond" w:cs="Garamond"/>
          <w:lang w:val="sv-SE"/>
        </w:rPr>
        <w:fldChar w:fldCharType="separate"/>
      </w:r>
      <w:r w:rsidR="005110AF" w:rsidRPr="00DF2B78">
        <w:rPr>
          <w:rFonts w:ascii="Garamond" w:eastAsia="Garamond" w:hAnsi="Garamond" w:cs="Garamond"/>
          <w:noProof/>
          <w:lang w:val="sv-SE"/>
        </w:rPr>
        <w:t>(Govindaraju, 2021)</w:t>
      </w:r>
      <w:r w:rsidR="005110AF">
        <w:rPr>
          <w:rFonts w:ascii="Garamond" w:eastAsia="Garamond" w:hAnsi="Garamond" w:cs="Garamond"/>
          <w:lang w:val="sv-SE"/>
        </w:rPr>
        <w:fldChar w:fldCharType="end"/>
      </w:r>
      <w:r w:rsidRPr="00143395">
        <w:rPr>
          <w:rFonts w:ascii="Garamond" w:eastAsia="Garamond" w:hAnsi="Garamond" w:cs="Garamond"/>
          <w:lang w:val="sv-SE"/>
        </w:rPr>
        <w:t>.</w:t>
      </w:r>
    </w:p>
    <w:p w14:paraId="7FD4BE7F" w14:textId="77777777" w:rsidR="000925BB" w:rsidRDefault="000925BB" w:rsidP="00B32B83">
      <w:pPr>
        <w:spacing w:line="360" w:lineRule="auto"/>
        <w:jc w:val="both"/>
        <w:rPr>
          <w:rFonts w:ascii="Garamond" w:eastAsia="Garamond" w:hAnsi="Garamond" w:cs="Garamond"/>
          <w:b/>
          <w:bCs/>
          <w:lang w:val="sv-SE"/>
        </w:rPr>
      </w:pPr>
    </w:p>
    <w:p w14:paraId="3CD82E2C" w14:textId="128B1F4B" w:rsidR="00545F82" w:rsidRDefault="002853EF" w:rsidP="002853EF">
      <w:pPr>
        <w:spacing w:line="360" w:lineRule="auto"/>
        <w:jc w:val="both"/>
        <w:rPr>
          <w:rFonts w:ascii="Garamond" w:eastAsia="Garamond" w:hAnsi="Garamond" w:cs="Garamond"/>
          <w:bCs/>
          <w:lang w:val="sv-SE"/>
        </w:rPr>
      </w:pPr>
      <w:r w:rsidRPr="002853EF">
        <w:rPr>
          <w:rFonts w:ascii="Garamond" w:eastAsia="Garamond" w:hAnsi="Garamond" w:cs="Garamond"/>
          <w:b/>
          <w:bCs/>
          <w:lang w:val="sv-SE"/>
        </w:rPr>
        <w:lastRenderedPageBreak/>
        <w:t>Plague in Islam and Covid-19 Clustering</w:t>
      </w:r>
    </w:p>
    <w:p w14:paraId="59F1F980" w14:textId="1A45020C" w:rsidR="002853EF" w:rsidRPr="002853EF" w:rsidRDefault="002853EF" w:rsidP="002853EF">
      <w:pPr>
        <w:spacing w:line="360" w:lineRule="auto"/>
        <w:ind w:firstLine="567"/>
        <w:jc w:val="both"/>
        <w:rPr>
          <w:rFonts w:ascii="Garamond" w:eastAsia="Garamond" w:hAnsi="Garamond" w:cs="Garamond"/>
          <w:bCs/>
          <w:lang w:val="sv-SE"/>
        </w:rPr>
      </w:pPr>
      <w:r w:rsidRPr="002853EF">
        <w:rPr>
          <w:rFonts w:ascii="Garamond" w:eastAsia="Garamond" w:hAnsi="Garamond" w:cs="Garamond"/>
          <w:bCs/>
          <w:lang w:val="sv-SE"/>
        </w:rPr>
        <w:t xml:space="preserve">In Islam, plague is interpreted as an infectious disease that is sent down by Allah SWT as a form of test for some humans, and even as punishment for other humans. In the At-Thaghabun verse 11, it is written that “No calamity befalls a person except by the permission of Allah” and that “whoever believes in Allah Subhanahu wa Ta'ala, Allah will guide his heart.” An infectious disease that is capable of killing large numbers of people is known in Arabic as tho'un. The term appears in the hadith of the Prophet Muhammad, in which Yahya bin Yahya states that he read the hadith of Malik from Muhammad bin Al Mukandir and Abu an Nadhr, the slave of "Umar. Bin Ubaidillah from Amir bin Sa'ad bin Abu Waqqash from his father that he heard Usamah bin Zaid inquire of the Messenger of Allah regarding the disease of Tha'un. In response, Usamah stated that the Messenger of Allah had informed him that tha'un (cholera) was a form of divine punishment sent down to the Children of Israel or to those who had preceded them. Accordingly, when one hears that tha'un (cholera) has broken out in a land, it is advisable not to visit that land, and when it has broken out in a land where one is already located, it is similarly inadvisable to leave that land in order to avoid contracting the disease </w:t>
      </w:r>
      <w:r>
        <w:rPr>
          <w:rFonts w:ascii="Garamond" w:eastAsia="Garamond" w:hAnsi="Garamond" w:cs="Garamond"/>
          <w:lang w:val="sv-SE"/>
        </w:rPr>
        <w:fldChar w:fldCharType="begin" w:fldLock="1"/>
      </w:r>
      <w:r>
        <w:rPr>
          <w:rFonts w:ascii="Garamond" w:eastAsia="Garamond" w:hAnsi="Garamond" w:cs="Garamond"/>
          <w:lang w:val="sv-SE"/>
        </w:rPr>
        <w:instrText>ADDIN CSL_CITATION { "citationItems" : [ { "id" : "ITEM-1", "itemData" : { "ISBN" : "978-602-0748-56-6", "author" : [ { "dropping-particle" : "", "family" : "Muslim", "given" : "", "non-dropping-particle" : "", "parse-names" : false, "suffix" : "" } ], "edition" : "3", "editor" : [ { "dropping-particle" : "", "family" : "MZ", "given" : "Zainuddin", "non-dropping-particle" : "", "parse-names" : false, "suffix" : "" } ], "id" : "ITEM-1", "issued" : { "date-parts" : [ [ "2021" ] ] }, "publisher" : "Turats Nabawi Press", "publisher-place" : "Siduarjo", "title" : "Al-Jami' al-Shahih", "type" : "book" }, "uris" : [ "http://www.mendeley.com/documents/?uuid=b3feae98-aa0e-45e3-99a8-bee1d1a765e2" ] } ], "mendeley" : { "formattedCitation" : "(Muslim, 2021)", "plainTextFormattedCitation" : "(Muslim, 2021)", "previouslyFormattedCitation" : "(Muslim, 2021)" }, "properties" : { "noteIndex" : 0 }, "schema" : "https://github.com/citation-style-language/schema/raw/master/csl-citation.json" }</w:instrText>
      </w:r>
      <w:r>
        <w:rPr>
          <w:rFonts w:ascii="Garamond" w:eastAsia="Garamond" w:hAnsi="Garamond" w:cs="Garamond"/>
          <w:lang w:val="sv-SE"/>
        </w:rPr>
        <w:fldChar w:fldCharType="separate"/>
      </w:r>
      <w:r w:rsidRPr="0002107E">
        <w:rPr>
          <w:rFonts w:ascii="Garamond" w:eastAsia="Garamond" w:hAnsi="Garamond" w:cs="Garamond"/>
          <w:noProof/>
          <w:lang w:val="sv-SE"/>
        </w:rPr>
        <w:t>(Muslim, 2021)</w:t>
      </w:r>
      <w:r>
        <w:rPr>
          <w:rFonts w:ascii="Garamond" w:eastAsia="Garamond" w:hAnsi="Garamond" w:cs="Garamond"/>
          <w:lang w:val="sv-SE"/>
        </w:rPr>
        <w:fldChar w:fldCharType="end"/>
      </w:r>
      <w:r w:rsidRPr="002853EF">
        <w:rPr>
          <w:rFonts w:ascii="Garamond" w:eastAsia="Garamond" w:hAnsi="Garamond" w:cs="Garamond"/>
          <w:bCs/>
          <w:lang w:val="sv-SE"/>
        </w:rPr>
        <w:t xml:space="preserve">. Wahab </w:t>
      </w:r>
      <w:r>
        <w:rPr>
          <w:rFonts w:ascii="Garamond" w:eastAsia="Garamond" w:hAnsi="Garamond" w:cs="Garamond"/>
          <w:lang w:val="sv-SE"/>
        </w:rPr>
        <w:fldChar w:fldCharType="begin" w:fldLock="1"/>
      </w:r>
      <w:r>
        <w:rPr>
          <w:rFonts w:ascii="Garamond" w:eastAsia="Garamond" w:hAnsi="Garamond" w:cs="Garamond"/>
          <w:lang w:val="sv-SE"/>
        </w:rPr>
        <w:instrText>ADDIN CSL_CITATION { "citationItems" : [ { "id" : "ITEM-1", "itemData" : { "DOI" : "10.30739/jesdar.v2i1.1087", "author" : [ { "dropping-particle" : "", "family" : "Wahab", "given" : "M. Royyan Nafis Fathul", "non-dropping-particle" : "", "parse-names" : false, "suffix" : "" }, { "dropping-particle" : "", "family" : "Najib", "given" : "Ahmad Ainun", "non-dropping-particle" : "", "parse-names" : false, "suffix" : "" }, { "dropping-particle" : "", "family" : "Hikmah", "given" : "Sofi Faiqotul", "non-dropping-particle" : "", "parse-names" : false, "suffix" : "" } ], "container-title" : "Jurnal Ekonomi Syariah Darussalam", "id" : "ITEM-1", "issue" : "1", "issued" : { "date-parts" : [ [ "2021" ] ] }, "page" : "151-172", "title" : "Kontekstualisasi Hadist tentang Tha\u2019un dalam Menangani Pandemi Covid-19", "type" : "article-journal", "volume" : "2" }, "suppress-author" : 1, "uris" : [ "http://www.mendeley.com/documents/?uuid=a467e82f-c64c-4bba-9cae-68e69d4eed88" ] } ], "mendeley" : { "formattedCitation" : "(2021)", "plainTextFormattedCitation" : "(2021)", "previouslyFormattedCitation" : "(2021)" }, "properties" : { "noteIndex" : 0 }, "schema" : "https://github.com/citation-style-language/schema/raw/master/csl-citation.json" }</w:instrText>
      </w:r>
      <w:r>
        <w:rPr>
          <w:rFonts w:ascii="Garamond" w:eastAsia="Garamond" w:hAnsi="Garamond" w:cs="Garamond"/>
          <w:lang w:val="sv-SE"/>
        </w:rPr>
        <w:fldChar w:fldCharType="separate"/>
      </w:r>
      <w:r w:rsidRPr="0002107E">
        <w:rPr>
          <w:rFonts w:ascii="Garamond" w:eastAsia="Garamond" w:hAnsi="Garamond" w:cs="Garamond"/>
          <w:noProof/>
          <w:lang w:val="sv-SE"/>
        </w:rPr>
        <w:t>(2021)</w:t>
      </w:r>
      <w:r>
        <w:rPr>
          <w:rFonts w:ascii="Garamond" w:eastAsia="Garamond" w:hAnsi="Garamond" w:cs="Garamond"/>
          <w:lang w:val="sv-SE"/>
        </w:rPr>
        <w:fldChar w:fldCharType="end"/>
      </w:r>
      <w:r w:rsidRPr="002853EF">
        <w:rPr>
          <w:rFonts w:ascii="Garamond" w:eastAsia="Garamond" w:hAnsi="Garamond" w:cs="Garamond"/>
          <w:bCs/>
          <w:lang w:val="sv-SE"/>
        </w:rPr>
        <w:t xml:space="preserve"> states that when takhrij was conducted, five books containing the hadith were discovered. This indicates that the term tho'un was previously employed by the Prophet Muhammad to elucidate the legal framework pertaining to the plague.</w:t>
      </w:r>
    </w:p>
    <w:p w14:paraId="407B0826" w14:textId="2398D005" w:rsidR="002853EF" w:rsidRDefault="002853EF" w:rsidP="002853EF">
      <w:pPr>
        <w:spacing w:line="360" w:lineRule="auto"/>
        <w:ind w:firstLine="567"/>
        <w:jc w:val="both"/>
        <w:rPr>
          <w:rFonts w:ascii="Garamond" w:eastAsia="Garamond" w:hAnsi="Garamond" w:cs="Garamond"/>
          <w:bCs/>
          <w:lang w:val="sv-SE"/>
        </w:rPr>
      </w:pPr>
      <w:r w:rsidRPr="002853EF">
        <w:rPr>
          <w:rFonts w:ascii="Garamond" w:eastAsia="Garamond" w:hAnsi="Garamond" w:cs="Garamond"/>
          <w:bCs/>
          <w:lang w:val="sv-SE"/>
        </w:rPr>
        <w:t xml:space="preserve">In the past, a similar situation arose with the Covid-19 pandemic. Scientific evidence suggests that this virus can be transmitted from one human to another through cough/sneeze droplets </w:t>
      </w:r>
      <w:r>
        <w:rPr>
          <w:rFonts w:ascii="Garamond" w:eastAsia="Garamond" w:hAnsi="Garamond" w:cs="Garamond"/>
          <w:bCs/>
          <w:lang w:val="id-ID"/>
        </w:rPr>
        <w:fldChar w:fldCharType="begin" w:fldLock="1"/>
      </w:r>
      <w:r>
        <w:rPr>
          <w:rFonts w:ascii="Garamond" w:eastAsia="Garamond" w:hAnsi="Garamond" w:cs="Garamond"/>
          <w:bCs/>
          <w:lang w:val="id-ID"/>
        </w:rPr>
        <w:instrText>ADDIN CSL_CITATION { "citationItems" : [ { "id" : "ITEM-1", "itemData" : { "DOI" : "10.1080/10408363.2020.1783198", "ISSN" : "1549781X", "PMID" : "32239133", "abstract" : "In December 2019, an outbreak of pneumonia of unknown origin was reported in Wuhan, Hubei Province, China. Pneumonia cases were epidemiologically linked to the Huanan Seafood Wholesale Market. Inoculation of respiratory samples into human airway epithelial cells, Vero E6 and Huh7 cell lines, led to the isolation of a novel respiratory virus whose genome analysis showed it to be a novel coronavirus related to SARS-CoV, and therefore named severe acute respiratory syndrome coronavirus 2 (SARS-CoV-2). SARS-CoV-2 is a betacoronavirus belonging to the subgenus Sarbecovirus. The global spread of SARS-CoV-2 and the thousands of deaths caused by coronavirus disease (COVID-19) led the World Health Organization to declare a pandemic on 12 March 2020. To date, the world has paid a high toll in this pandemic in terms of human lives lost, economic repercussions and increased poverty. In this review, we provide information regarding the epidemiology, serological and molecular diagnosis, origin of SARS-CoV-2 and its ability to infect human cells, and safety issues. Then we focus on the available therapies to fight COVID-19, the development of vaccines, the role of artificial intelligence in the management of the pandemic and limiting the spread of the virus, the impact of the COVID-19 epidemic on our lifestyle, and preparation for a possible second wave.", "author" : [ { "dropping-particle" : "", "family" : "Ciotti", "given" : "Marco", "non-dropping-particle" : "", "parse-names" : false, "suffix" : "" }, { "dropping-particle" : "", "family" : "Ciccozzi", "given" : "Massimo", "non-dropping-particle" : "", "parse-names" : false, "suffix" : "" }, { "dropping-particle" : "", "family" : "Terrinoni", "given" : "Alessandro", "non-dropping-particle" : "", "parse-names" : false, "suffix" : "" }, { "dropping-particle" : "", "family" : "Jiang", "given" : "Wen Can", "non-dropping-particle" : "", "parse-names" : false, "suffix" : "" }, { "dropping-particle" : "Bin", "family" : "Wang", "given" : "Cheng", "non-dropping-particle" : "", "parse-names" : false, "suffix" : "" }, { "dropping-particle" : "", "family" : "Bernardini", "given" : "Sergio", "non-dropping-particle" : "", "parse-names" : false, "suffix" : "" } ], "container-title" : "Critical Reviews in Clinical Laboratory Sciences", "id" : "ITEM-1", "issued" : { "date-parts" : [ [ "2020" ] ] }, "page" : "365-388", "title" : "The COVID-19 pandemic", "type" : "article-journal" }, "uris" : [ "http://www.mendeley.com/documents/?uuid=e8aa98d2-b15d-4276-8e6a-c6143de7c830" ] }, { "id" : "ITEM-2", "itemData" : { "DOI" : "10.1016/S0140-6736(20)30185-9", "ISSN" : "1474547X", "PMID" : "31986257", "author" : [ { "dropping-particle" : "", "family" : "Wang", "given" : "Chen", "non-dropping-particle" : "", "parse-names" : false, "suffix" : "" }, { "dropping-particle" : "", "family" : "Horby", "given" : "Peter W.", "non-dropping-particle" : "", "parse-names" : false, "suffix" : "" }, { "dropping-particle" : "", "family" : "Hayden", "given" : "Frederick G.", "non-dropping-particle" : "", "parse-names" : false, "suffix" : "" }, { "dropping-particle" : "", "family" : "Gao", "given" : "George F.", "non-dropping-particle" : "", "parse-names" : false, "suffix" : "" } ], "container-title" : "The Lancet", "id" : "ITEM-2", "issue" : "10223", "issued" : { "date-parts" : [ [ "2020" ] ] }, "page" : "470-473", "title" : "A novel coronavirus outbreak of global health concern", "type" : "article-journal", "volume" : "395" }, "uris" : [ "http://www.mendeley.com/documents/?uuid=f586edd1-d64c-4eca-8078-c683327fe8e1" ] } ], "mendeley" : { "formattedCitation" : "(Ciotti et al., 2020; Wang et al., 2020)", "plainTextFormattedCitation" : "(Ciotti et al., 2020; Wang et al., 2020)", "previouslyFormattedCitation" : "(Ciotti et al., 2020; Wang et al., 2020)" }, "properties" : { "noteIndex" : 0 }, "schema" : "https://github.com/citation-style-language/schema/raw/master/csl-citation.json" }</w:instrText>
      </w:r>
      <w:r>
        <w:rPr>
          <w:rFonts w:ascii="Garamond" w:eastAsia="Garamond" w:hAnsi="Garamond" w:cs="Garamond"/>
          <w:bCs/>
          <w:lang w:val="id-ID"/>
        </w:rPr>
        <w:fldChar w:fldCharType="separate"/>
      </w:r>
      <w:r w:rsidRPr="001B463C">
        <w:rPr>
          <w:rFonts w:ascii="Garamond" w:eastAsia="Garamond" w:hAnsi="Garamond" w:cs="Garamond"/>
          <w:bCs/>
          <w:noProof/>
          <w:lang w:val="id-ID"/>
        </w:rPr>
        <w:t>(Ciotti et al., 2020; Wang et al., 2020)</w:t>
      </w:r>
      <w:r>
        <w:rPr>
          <w:rFonts w:ascii="Garamond" w:eastAsia="Garamond" w:hAnsi="Garamond" w:cs="Garamond"/>
          <w:bCs/>
          <w:lang w:val="id-ID"/>
        </w:rPr>
        <w:fldChar w:fldCharType="end"/>
      </w:r>
      <w:r w:rsidRPr="002853EF">
        <w:rPr>
          <w:rFonts w:ascii="Garamond" w:eastAsia="Garamond" w:hAnsi="Garamond" w:cs="Garamond"/>
          <w:bCs/>
          <w:lang w:val="sv-SE"/>
        </w:rPr>
        <w:t xml:space="preserve">. This is the main known route of transmission, although aerosols are also a potentially important factor </w:t>
      </w:r>
      <w:r>
        <w:rPr>
          <w:rFonts w:ascii="Garamond" w:eastAsia="Garamond" w:hAnsi="Garamond" w:cs="Garamond"/>
          <w:bCs/>
          <w:lang w:val="nb-NO"/>
        </w:rPr>
        <w:fldChar w:fldCharType="begin" w:fldLock="1"/>
      </w:r>
      <w:r w:rsidRPr="00F147FF">
        <w:rPr>
          <w:rFonts w:ascii="Garamond" w:eastAsia="Garamond" w:hAnsi="Garamond" w:cs="Garamond"/>
          <w:bCs/>
          <w:lang w:val="id-ID"/>
        </w:rPr>
        <w:instrText>ADDIN CSL_CITATION { "citationItems" : [ { "id" : "ITEM-1", "itemData" : { "DOI" : "10.1111/irv.12735", "ISSN" : "17502659", "PMID" : "32129925", "author" : [ { "dropping-particle" : "", "family" : "Han", "given" : "Qingmei", "non-dropping-particle" : "", "parse-names" : false, "suffix" : "" }, { "dropping-particle" : "", "family" : "Lin", "given" : "Qingqing", "non-dropping-particle" : "", "parse-names" : false, "suffix" : "" }, { "dropping-particle" : "", "family" : "Ni", "given" : "Zuowei", "non-dropping-particle" : "", "parse-names" : false, "suffix" : "" }, { "dropping-particle" : "", "family" : "You", "given" : "Liangshun", "non-dropping-particle" : "", "parse-names" : false, "suffix" : "" } ], "container-title" : "Influenza and other Respiratory Viruses", "id" : "ITEM-1", "issue" : "4", "issued" : { "date-parts" : [ [ "2020" ] ] }, "page" : "470-471", "title" : "Uncertainties about the transmission routes of 2019 novel coronavirus", "type" : "article-journal", "volume" : "14" }, "uris" : [ "http://www.mendeley.com/documents/?uuid=9bc14cd2-2cb7-488d-b663-f316297e9731" ] } ], "mendeley" : { "formattedCitation" : "(Han et al., 2020)", "plainTextFormattedCitation" : "(Han et al., 2020)", "previouslyFormattedCitation" : "(Han et al., 2020)" }, "properties" : { "noteIndex" : 0 }, "schema" : "https://github.com/citation-style-language/schema/raw/master/csl-citation.json" }</w:instrText>
      </w:r>
      <w:r>
        <w:rPr>
          <w:rFonts w:ascii="Garamond" w:eastAsia="Garamond" w:hAnsi="Garamond" w:cs="Garamond"/>
          <w:bCs/>
          <w:lang w:val="nb-NO"/>
        </w:rPr>
        <w:fldChar w:fldCharType="separate"/>
      </w:r>
      <w:r w:rsidRPr="00F147FF">
        <w:rPr>
          <w:rFonts w:ascii="Garamond" w:eastAsia="Garamond" w:hAnsi="Garamond" w:cs="Garamond"/>
          <w:bCs/>
          <w:noProof/>
          <w:lang w:val="id-ID"/>
        </w:rPr>
        <w:t>(Han et al., 2020)</w:t>
      </w:r>
      <w:r>
        <w:rPr>
          <w:rFonts w:ascii="Garamond" w:eastAsia="Garamond" w:hAnsi="Garamond" w:cs="Garamond"/>
          <w:bCs/>
          <w:lang w:val="nb-NO"/>
        </w:rPr>
        <w:fldChar w:fldCharType="end"/>
      </w:r>
      <w:r w:rsidRPr="002853EF">
        <w:rPr>
          <w:rFonts w:ascii="Garamond" w:eastAsia="Garamond" w:hAnsi="Garamond" w:cs="Garamond"/>
          <w:bCs/>
          <w:lang w:val="sv-SE"/>
        </w:rPr>
        <w:t xml:space="preserve">. Those at greatest risk of contracting the disease are those in close contact with Covid-19 patients, including those who are caring for Covid-19 patients. Those with confirmed coronavirus typically experience flu-like symptoms, such as a sore throat, cough, and fever. Common symptoms include high fever, dry cough, and shortness of breath </w:t>
      </w:r>
      <w:r>
        <w:rPr>
          <w:rFonts w:ascii="Garamond" w:eastAsia="Garamond" w:hAnsi="Garamond" w:cs="Garamond"/>
          <w:bCs/>
          <w:lang w:val="nb-NO"/>
        </w:rPr>
        <w:fldChar w:fldCharType="begin" w:fldLock="1"/>
      </w:r>
      <w:r w:rsidRPr="00F147FF">
        <w:rPr>
          <w:rFonts w:ascii="Garamond" w:eastAsia="Garamond" w:hAnsi="Garamond" w:cs="Garamond"/>
          <w:bCs/>
          <w:lang w:val="id-ID"/>
        </w:rPr>
        <w:instrText>ADDIN CSL_CITATION { "citationItems" : [ { "id" : "ITEM-1", "itemData" : { "DOI" : "10.1016/bs.aivir.2018.01.001", "ISBN" : "9780128152010", "ISSN" : "15578399", "PMID" : "29551135", "abstract" : "The four endemic human coronaviruses HCoV-229E, -NL63, -OC43, and -HKU1 contribute a considerable share of upper and lower respiratory tract infections in adults and children. While their clinical representation resembles that of many other agents of the common cold, their evolutionary histories, and host associations could provide important insights into the natural history of past human pandemics. For two of these viruses, we have strong evidence suggesting an origin in major livestock species while primordial associations for all four viruses may have existed with bats and rodents. HCoV-NL63 and -229E may originate from bat reservoirs as assumed for many other coronaviruses, but HCoV-OC43 and -HKU1 seem more likely to have speciated from rodent-associated viruses. HCoV-OC43 is thought to have emerged from ancestors in domestic animals such as cattle or swine. The bovine coronavirus has been suggested to be a possible ancestor, from which HCoV-OC43 may have emerged in the context of a pandemic recorded historically at the end of the 19th century. New data suggest that HCoV-229E may actually be transferred from dromedary camels similar to Middle East respiratory syndrome (MERS) coronavirus. This scenario provides impor</w:instrText>
      </w:r>
      <w:r w:rsidRPr="00F147FF">
        <w:rPr>
          <w:rFonts w:ascii="Garamond" w:eastAsia="Garamond" w:hAnsi="Garamond" w:cs="Garamond"/>
          <w:bCs/>
          <w:lang w:val="sv-SE"/>
        </w:rPr>
        <w:instrText>tant ecological parallels to the present prepandemic pattern of host associations of the MERS coronavirus.", "author" : [ { "dropping-particle" : "", "family" : "Corman", "given" : "Victor M.", "non-dropping-particle" : "", "parse-names" : false, "suffix" : "" }, { "dropping-particle" : "", "family" : "Muth", "given" : "Doreen", "non-dropping-particle" : "", "parse-names" : false, "suffix" : "" }, { "dropping-particle" : "", "family" : "Niemeyer", "given" : "Daniela", "non-dropping-particle" : "", "parse-names" : false, "suffix" : "" }, { "dropping-particle" : "", "family" : "Drosten", "given" : "Christian", "non-dropping-particle" : "", "parse-names" : false, "suffix" : "" } ], "container-title" : "Advances in Virus Research", "id" : "ITEM-1", "issued" : { "date-parts" : [ [ "2018" ] ] }, "page" : "163-188", "title" : "Hosts and Sources of Endemic Human Coronaviruses", "type" : "article-journal", "volume" : "100" }, "uris" : [ "http://www.mendeley.com/documents/?uuid=9c0d237a-825f-481c-a81b-9cd74506a874" ] } ], "mendeley" : { "formattedCitation" : "(Corman et al., 2018)", "plainTextFormattedCitation" : "(Corman et al., 2018)", "previouslyFormattedCitation" : "(Corman et al., 2018)" }, "properties" : { "noteIndex" : 0 }, "schema" : "https://github.com/citation-style-language/schema/raw/master/csl-citation.json" }</w:instrText>
      </w:r>
      <w:r>
        <w:rPr>
          <w:rFonts w:ascii="Garamond" w:eastAsia="Garamond" w:hAnsi="Garamond" w:cs="Garamond"/>
          <w:bCs/>
          <w:lang w:val="nb-NO"/>
        </w:rPr>
        <w:fldChar w:fldCharType="separate"/>
      </w:r>
      <w:r w:rsidRPr="00F147FF">
        <w:rPr>
          <w:rFonts w:ascii="Garamond" w:eastAsia="Garamond" w:hAnsi="Garamond" w:cs="Garamond"/>
          <w:bCs/>
          <w:noProof/>
          <w:lang w:val="sv-SE"/>
        </w:rPr>
        <w:t>(Corman et al., 2018)</w:t>
      </w:r>
      <w:r>
        <w:rPr>
          <w:rFonts w:ascii="Garamond" w:eastAsia="Garamond" w:hAnsi="Garamond" w:cs="Garamond"/>
          <w:bCs/>
          <w:lang w:val="nb-NO"/>
        </w:rPr>
        <w:fldChar w:fldCharType="end"/>
      </w:r>
      <w:r w:rsidRPr="002853EF">
        <w:rPr>
          <w:rFonts w:ascii="Garamond" w:eastAsia="Garamond" w:hAnsi="Garamond" w:cs="Garamond"/>
          <w:bCs/>
          <w:lang w:val="sv-SE"/>
        </w:rPr>
        <w:t>. These symptoms are observed in all variants of the virus. The Omicron variant has been identified as particularly dangerous due to its rapid spread, and has led to a global alert phase. This variant has caused significant psychosocial impacts on humanity</w:t>
      </w:r>
      <w:r>
        <w:rPr>
          <w:rFonts w:ascii="Garamond" w:eastAsia="Garamond" w:hAnsi="Garamond" w:cs="Garamond"/>
          <w:bCs/>
          <w:lang w:val="sv-SE"/>
        </w:rPr>
        <w:t xml:space="preserve"> </w:t>
      </w:r>
      <w:r>
        <w:rPr>
          <w:rFonts w:ascii="Garamond" w:eastAsia="Garamond" w:hAnsi="Garamond" w:cs="Garamond"/>
          <w:bCs/>
          <w:lang w:val="sv-SE"/>
        </w:rPr>
        <w:fldChar w:fldCharType="begin" w:fldLock="1"/>
      </w:r>
      <w:r>
        <w:rPr>
          <w:rFonts w:ascii="Garamond" w:eastAsia="Garamond" w:hAnsi="Garamond" w:cs="Garamond"/>
          <w:bCs/>
          <w:lang w:val="sv-SE"/>
        </w:rPr>
        <w:instrText>ADDIN CSL_CITATION { "citationItems" : [ { "id" : "ITEM-1", "itemData" : { "DOI" : "10.1002/jmv.27697", "ISSN" : "10969071", "PMID" : "35246846", "abstract" : "Coronavirus disease 2019 (COVID-19) is an ongoing pandemic, which affected around 45 million confirmed cases of COVID-19, including more than 6 million deaths. However, on November 24, 2021, the World Health Organization announced a new severe acute respiratory syndrome coronavirus 2 variant designated as the B.1.1.529, a variant of concern (VOC), and the variant has been named as \u201cOmicron.\u201d Available preliminary evidence suggests that, as compared with previous VOCs, it has an increased risk of infectivity. Studies have shown that protection from various vaccines effectiveness against hospitalization and death from severe COVID-19 disease is decreasing slowly after a two-dose schedule of COVID-19 vaccines. In response to experiencing a new COVID-19 variant and ongoing resurgence of cases, the importance of COVID-19 vaccine booster dose and durability of the effect of the third dose of vaccine against COVID-19 Omicron variant is controversial yet. To address this, we conducted a systematic literature survey on effectiveness of the third or booster dose of COVID-19 vaccine against the Omicron variant. We have performed a systematic search in PubMed (Medline), Google Scholar, and MedRXiv database, from inception to January 2022 using the MeSH terms and keywords \u201cCorona Virus Disease-2019 OR COVID-19 AND Omicron AND COVID-19 Booster Vaccine.\u201d We have identified a total of 27 published studies. We have reviewed all the eligible available studies on the effectiveness of the COVID-19 vaccine booster shots against the Omicron variant. This review may be helpful in accelerating the COVID-19 booster dose vaccination.", "author" : [ { "dropping-particle" : "", "family" : "Chenchula", "given" : "Santenna", "non-dropping-particle" : "", "parse-names" : false, "suffix" : "" }, { "dropping-particle" : "", "family" : "Karunakaran", "given" : "Padmavathi", "non-dropping-particle" : "", "parse-names" : false, "suffix" : "" }, { "dropping-particle" : "", "family" : "Sharma", "given" : "Sushil", "non-dropping-particle" : "", "parse-names" : false, "suffix" : "" }, { "dropping-particle" : "", "family" : "Chavan", "given" : "Madhavrao", "non-dropping-particle" : "", "parse-names" : false, "suffix" : "" } ], "container-title" : "Journal of Medical Virology", "id" : "ITEM-1", "issue" : "7", "issued" : { "date-parts" : [ [ "2022" ] ] }, "page" : "2969-2976", "title" : "Current evidence on efficacy of COVID-19 booster dose vaccination against the Omicron variant: A systematic review", "type" : "article-journal", "volume" : "94" }, "uris" : [ "http://www.mendeley.com/documents/?uuid=258549c8-64ef-4964-92cd-ca0d5f08e2a3" ] }, { "id" : "ITEM-2", "itemData" : { "DOI" : "10.1002/jmv.27588", "ISSN" : "10969071", "PMID" : "35023191", "abstract" : "Currently, severe acute respiratory syndrome coronavirus 2 (SARS-CoV-2) has spread worldwide as an Omicron variant. This variant is a heavily mutated virus and designated as a variant of concern by the World Health Organization (WHO). WHO cautioned that the Omicron variant of SARS-CoV-2 held a very high risk of infection, reigniting anxieties about the economy's recovery from the 2-year pandemic. The extensively mutated Omicron variant is likely to spread internationally, posing a high risk of infection surges with serious repercussions in some areas. According to preliminary data, the Omicron variant of SARS-CoV-2 has a higher risk of reinfection. On the other hand, whether the current COVID-19 vaccines could effectively resist\u00a0the new strain is still under investigation. However, there is very limited information on the current situation of the Omicron variant, such as genomics, transmissibility, efficacy of vaccines, treatment, and management. This review focused on the genomics, transmission, and effectiveness of vaccines against the Omicron variant, which will be helpful for further investigation of a new variant of SARS-CoV-2.", "author" : [ { "dropping-particle" : "", "family" : "Araf", "given" : "Yusha", "non-dropping-particle" : "", "parse-names" : false, "suffix" : "" }, { "dropping-particle" : "", "family" : "Akter", "given" : "Fariya", "non-dropping-particle" : "", "parse-names" : false, "suffix" : "" }, { "dropping-particle" : "", "family" : "Tang", "given" : "Yan dong", "non-dropping-particle" : "", "parse-names" : false, "suffix" : "" }, { "dropping-particle" : "", "family" : "Fatemi", "given" : "Rabeya", "non-dropping-particle" : "", "parse-names" : false, "suffix" : "" }, { "dropping-particle" : "", "family" : "Parvez", "given" : "Md Sorwer Alam", "non-dropping-particle" : "", "parse-names" : false, "suffix" : "" }, { "dropping-particle" : "", "family" : "Zheng", "given" : "Chunfu", "non-dropping-particle" : "", "parse-names" : false, "suffix" : "" }, { "dropping-particle" : "", "family" : "Hossain", "given" : "Md Golzar", "non-dropping-particle" : "", "parse-names" : false, "suffix" : "" } ], "container-title" : "Journal of Medical Virology", "id" : "ITEM-2", "issue" : "5", "issued" : { "date-parts" : [ [ "2022" ] ] }, "page" : "1825-1832", "title" : "Omicron variant of SARS-CoV-2: Genomics, transmissibility, and responses to current COVID-19 vaccines", "type" : "article-journal", "volume" : "94" }, "uris" : [ "http://www.mendeley.com/documents/?uuid=64f7acaf-fa25-47b4-9243-4dd63530dd59" ] } ], "mendeley" : { "formattedCitation" : "(Araf et al., 2022; Chenchula et al., 2022)", "plainTextFormattedCitation" : "(Araf et al., 2022; Chenchula et al., 2022)", "previouslyFormattedCitation" : "(Araf et al., 2022; Chenchula et al., 2022)" }, "properties" : { "noteIndex" : 0 }, "schema" : "https://github.com/citation-style-language/schema/raw/master/csl-citation.json" }</w:instrText>
      </w:r>
      <w:r>
        <w:rPr>
          <w:rFonts w:ascii="Garamond" w:eastAsia="Garamond" w:hAnsi="Garamond" w:cs="Garamond"/>
          <w:bCs/>
          <w:lang w:val="sv-SE"/>
        </w:rPr>
        <w:fldChar w:fldCharType="separate"/>
      </w:r>
      <w:r w:rsidRPr="00463732">
        <w:rPr>
          <w:rFonts w:ascii="Garamond" w:eastAsia="Garamond" w:hAnsi="Garamond" w:cs="Garamond"/>
          <w:bCs/>
          <w:noProof/>
          <w:lang w:val="sv-SE"/>
        </w:rPr>
        <w:t>(Araf et al., 2022; Chenchula et al., 2022)</w:t>
      </w:r>
      <w:r>
        <w:rPr>
          <w:rFonts w:ascii="Garamond" w:eastAsia="Garamond" w:hAnsi="Garamond" w:cs="Garamond"/>
          <w:bCs/>
          <w:lang w:val="sv-SE"/>
        </w:rPr>
        <w:fldChar w:fldCharType="end"/>
      </w:r>
      <w:r>
        <w:rPr>
          <w:rFonts w:ascii="Garamond" w:eastAsia="Garamond" w:hAnsi="Garamond" w:cs="Garamond"/>
          <w:bCs/>
          <w:lang w:val="sv-SE"/>
        </w:rPr>
        <w:t>.</w:t>
      </w:r>
    </w:p>
    <w:p w14:paraId="6D9461B5" w14:textId="77777777" w:rsidR="002853EF" w:rsidRDefault="002853EF" w:rsidP="002853EF">
      <w:pPr>
        <w:spacing w:line="360" w:lineRule="auto"/>
        <w:ind w:firstLine="567"/>
        <w:jc w:val="both"/>
        <w:rPr>
          <w:rFonts w:ascii="Garamond" w:eastAsia="Garamond" w:hAnsi="Garamond" w:cs="Garamond"/>
          <w:bCs/>
          <w:lang w:val="sv-SE"/>
        </w:rPr>
      </w:pPr>
      <w:r w:rsidRPr="002853EF">
        <w:rPr>
          <w:rFonts w:ascii="Garamond" w:eastAsia="Garamond" w:hAnsi="Garamond" w:cs="Garamond"/>
          <w:bCs/>
          <w:lang w:val="sv-SE"/>
        </w:rPr>
        <w:t xml:space="preserve">The National Task Force for the Acceleration of Covid-19 Handling </w:t>
      </w:r>
      <w:r>
        <w:rPr>
          <w:rFonts w:ascii="Garamond" w:eastAsia="Garamond" w:hAnsi="Garamond" w:cs="Garamond"/>
          <w:bCs/>
          <w:lang w:val="sv-SE"/>
        </w:rPr>
        <w:fldChar w:fldCharType="begin" w:fldLock="1"/>
      </w:r>
      <w:r>
        <w:rPr>
          <w:rFonts w:ascii="Garamond" w:eastAsia="Garamond" w:hAnsi="Garamond" w:cs="Garamond"/>
          <w:bCs/>
          <w:lang w:val="id-ID"/>
        </w:rPr>
        <w:instrText>ADDIN CSL_CITATION { "citationItems" : [ { "id" : "ITEM-1", "itemData" : { "URL" : "https://bnpb.go.id/berita/pengelompokan-kriteria-risiko-covid19-di-daerah-berdasarkan-zonasi-warna", "accessed" : { "date-parts" : [ [ "2024", "3", "1" ] ] }, "author" : [ { "dropping-particle" : "", "family" : "https://bnpb.go.id/", "given" : "", "non-dropping-particle" : "", "parse-names" : false, "suffix" : "" } ], "container-title" : "Badan Nasional Penanggulangan Bencana", "id" : "ITEM-1", "issued" : { "date-parts" : [ [ "2020" ] ] }, "title" : "Pengelompokan Kriteria Risiko COVID-19 di Daerah Berdasarkan Zonasi Warna", "type" : "webpage" }, "suppress-author" : 1, "uris" : [ "http://www.mendeley.com/documents/?uuid=0ae578e7-15cb-46be-a323-a74d5298431f" ] } ], "mendeley" : { "formattedCitation" : "(2020)", "plainTextFormattedCitation" : "(2020)", "previouslyFormattedCitation" : "(2020)" }, "properties" : { "noteIndex" : 0 }, "schema" : "https://github.com/citation-style-language/schema/raw/master/csl-citation.json" }</w:instrText>
      </w:r>
      <w:r>
        <w:rPr>
          <w:rFonts w:ascii="Garamond" w:eastAsia="Garamond" w:hAnsi="Garamond" w:cs="Garamond"/>
          <w:bCs/>
          <w:lang w:val="sv-SE"/>
        </w:rPr>
        <w:fldChar w:fldCharType="separate"/>
      </w:r>
      <w:r w:rsidRPr="0097486D">
        <w:rPr>
          <w:rFonts w:ascii="Garamond" w:eastAsia="Garamond" w:hAnsi="Garamond" w:cs="Garamond"/>
          <w:bCs/>
          <w:noProof/>
          <w:lang w:val="id-ID"/>
        </w:rPr>
        <w:t>(2020)</w:t>
      </w:r>
      <w:r>
        <w:rPr>
          <w:rFonts w:ascii="Garamond" w:eastAsia="Garamond" w:hAnsi="Garamond" w:cs="Garamond"/>
          <w:bCs/>
          <w:lang w:val="sv-SE"/>
        </w:rPr>
        <w:fldChar w:fldCharType="end"/>
      </w:r>
      <w:r w:rsidRPr="002853EF">
        <w:rPr>
          <w:rFonts w:ascii="Garamond" w:eastAsia="Garamond" w:hAnsi="Garamond" w:cs="Garamond"/>
          <w:bCs/>
          <w:lang w:val="sv-SE"/>
        </w:rPr>
        <w:t xml:space="preserve"> has established several criteria based on the risk of the spread of Covid-19. These criteria have </w:t>
      </w:r>
      <w:r w:rsidRPr="002853EF">
        <w:rPr>
          <w:rFonts w:ascii="Garamond" w:eastAsia="Garamond" w:hAnsi="Garamond" w:cs="Garamond"/>
          <w:bCs/>
          <w:lang w:val="sv-SE"/>
        </w:rPr>
        <w:lastRenderedPageBreak/>
        <w:t xml:space="preserve">been detailed in a document published by the Task Force and entitled 'Covid-19 handling', in which four levels of regional zoning criteria are set out. These criteria are based on colour and are intended to serve as indicators of the risk category of the virus in a given area in terms of its level of transmission. The criteria are as follows. </w:t>
      </w:r>
    </w:p>
    <w:p w14:paraId="5301455F" w14:textId="77777777" w:rsidR="002853EF" w:rsidRDefault="002853EF" w:rsidP="002853EF">
      <w:pPr>
        <w:pStyle w:val="ListParagraph"/>
        <w:numPr>
          <w:ilvl w:val="0"/>
          <w:numId w:val="8"/>
        </w:numPr>
        <w:spacing w:line="360" w:lineRule="auto"/>
        <w:ind w:left="567" w:hanging="283"/>
        <w:jc w:val="both"/>
        <w:rPr>
          <w:rFonts w:ascii="Garamond" w:eastAsia="Garamond" w:hAnsi="Garamond" w:cs="Garamond"/>
          <w:bCs/>
          <w:lang w:val="sv-SE"/>
        </w:rPr>
      </w:pPr>
      <w:r w:rsidRPr="002853EF">
        <w:rPr>
          <w:rFonts w:ascii="Garamond" w:eastAsia="Garamond" w:hAnsi="Garamond" w:cs="Garamond"/>
          <w:bCs/>
          <w:lang w:val="sv-SE"/>
        </w:rPr>
        <w:t>Green Zone (Unaffected). Areas designated as the green zone are those in which the risk of infection is low, enabling a range of activities to be conducted. These include education, learning, business and religious activities. However, it is essential that health protocols are observed, which include maintaining distance, wearing masks and washing hands with soap. In addition, individuals experiencing flu-like symptoms are advised to remain at home.</w:t>
      </w:r>
    </w:p>
    <w:p w14:paraId="0439450E" w14:textId="77777777" w:rsidR="002853EF" w:rsidRDefault="002853EF" w:rsidP="002853EF">
      <w:pPr>
        <w:pStyle w:val="ListParagraph"/>
        <w:numPr>
          <w:ilvl w:val="0"/>
          <w:numId w:val="8"/>
        </w:numPr>
        <w:spacing w:line="360" w:lineRule="auto"/>
        <w:ind w:left="567" w:hanging="283"/>
        <w:jc w:val="both"/>
        <w:rPr>
          <w:rFonts w:ascii="Garamond" w:eastAsia="Garamond" w:hAnsi="Garamond" w:cs="Garamond"/>
          <w:bCs/>
          <w:lang w:val="sv-SE"/>
        </w:rPr>
      </w:pPr>
      <w:r w:rsidRPr="002853EF">
        <w:rPr>
          <w:rFonts w:ascii="Garamond" w:eastAsia="Garamond" w:hAnsi="Garamond" w:cs="Garamond"/>
          <w:bCs/>
          <w:lang w:val="sv-SE"/>
        </w:rPr>
        <w:t>The yellow zone (low-risk zone) is defined as an area where there is a low probability of transmission of SARS-CoV-2 from person to person. While the possibility of transmission from imported cases and household-level clusters cannot be ruled out, these instances can be managed through implementation of effective control measures. Therefore, the spread cluster can be controlled and does not increase. While activities such as travelling, industry, business, sports venues, health services and limited religious activities can be carried out, they must be conducted in accordance with strict health protocols.</w:t>
      </w:r>
    </w:p>
    <w:p w14:paraId="5C742B9A" w14:textId="77777777" w:rsidR="002853EF" w:rsidRDefault="002853EF" w:rsidP="002853EF">
      <w:pPr>
        <w:pStyle w:val="ListParagraph"/>
        <w:numPr>
          <w:ilvl w:val="0"/>
          <w:numId w:val="8"/>
        </w:numPr>
        <w:spacing w:line="360" w:lineRule="auto"/>
        <w:ind w:left="567" w:hanging="283"/>
        <w:jc w:val="both"/>
        <w:rPr>
          <w:rFonts w:ascii="Garamond" w:eastAsia="Garamond" w:hAnsi="Garamond" w:cs="Garamond"/>
          <w:bCs/>
          <w:lang w:val="sv-SE"/>
        </w:rPr>
      </w:pPr>
      <w:r w:rsidRPr="002853EF">
        <w:rPr>
          <w:rFonts w:ascii="Garamond" w:eastAsia="Garamond" w:hAnsi="Garamond" w:cs="Garamond"/>
          <w:bCs/>
          <w:lang w:val="sv-SE"/>
        </w:rPr>
        <w:t>Orange Zone (Medium Risk)</w:t>
      </w:r>
      <w:r>
        <w:rPr>
          <w:rFonts w:ascii="Garamond" w:eastAsia="Garamond" w:hAnsi="Garamond" w:cs="Garamond"/>
          <w:bCs/>
          <w:lang w:val="sv-SE"/>
        </w:rPr>
        <w:t xml:space="preserve">. </w:t>
      </w:r>
      <w:r w:rsidRPr="002853EF">
        <w:rPr>
          <w:rFonts w:ascii="Garamond" w:eastAsia="Garamond" w:hAnsi="Garamond" w:cs="Garamond"/>
          <w:bCs/>
          <w:lang w:val="sv-SE"/>
        </w:rPr>
        <w:t xml:space="preserve">In general, the risk of further transmission of the virus at this level is high and the potential for the virus to spread is uncontrollable. At this level, local transmission to imported cases may occur quickly, with local governments being required to implement stringent control measures to prevent further spread. Therefore, it is advised that all people, with particular consideration to vulnerable groups in areas with Orange Zone status, remain at home and avoid all unnecessary travel. </w:t>
      </w:r>
    </w:p>
    <w:p w14:paraId="771F2CB6" w14:textId="2E7BBFA7" w:rsidR="002853EF" w:rsidRPr="002853EF" w:rsidRDefault="002853EF" w:rsidP="002853EF">
      <w:pPr>
        <w:pStyle w:val="ListParagraph"/>
        <w:numPr>
          <w:ilvl w:val="0"/>
          <w:numId w:val="8"/>
        </w:numPr>
        <w:spacing w:line="360" w:lineRule="auto"/>
        <w:ind w:left="567" w:hanging="283"/>
        <w:jc w:val="both"/>
        <w:rPr>
          <w:rFonts w:ascii="Garamond" w:eastAsia="Garamond" w:hAnsi="Garamond" w:cs="Garamond"/>
          <w:bCs/>
          <w:lang w:val="sv-SE"/>
        </w:rPr>
      </w:pPr>
      <w:r w:rsidRPr="002853EF">
        <w:rPr>
          <w:rFonts w:ascii="Garamond" w:eastAsia="Garamond" w:hAnsi="Garamond" w:cs="Garamond"/>
          <w:bCs/>
          <w:lang w:val="sv-SE"/>
        </w:rPr>
        <w:t>Red Zone (High Risk). In areas where the transmission rate of the spread of Covid-19 is high and uncontrollable, the establishment of numerous new clusters can be expected. Consequently, the recommendation is that people stay at home and refrain from undertaking activities such as travelling, attending public gatherings, teaching, and learning. Business operations are suspended, except for those that are deemed necessary for essential services, such as pharmacy, grocery supermarkets, health clinics, and fuel stations. Furthermore, public places, public/crowded areas, and school facilities have been closed in order to prevent and stop the spread of the virus.</w:t>
      </w:r>
    </w:p>
    <w:p w14:paraId="708E0F03" w14:textId="020339A2" w:rsidR="002853EF" w:rsidRDefault="002853EF" w:rsidP="002853EF">
      <w:pPr>
        <w:spacing w:line="360" w:lineRule="auto"/>
        <w:ind w:firstLine="567"/>
        <w:jc w:val="both"/>
        <w:rPr>
          <w:rFonts w:ascii="Garamond" w:eastAsia="Garamond" w:hAnsi="Garamond" w:cs="Garamond"/>
          <w:bCs/>
          <w:lang w:val="sv-SE"/>
        </w:rPr>
      </w:pPr>
      <w:r w:rsidRPr="002853EF">
        <w:rPr>
          <w:rFonts w:ascii="Garamond" w:eastAsia="Garamond" w:hAnsi="Garamond" w:cs="Garamond"/>
          <w:bCs/>
          <w:lang w:val="sv-SE"/>
        </w:rPr>
        <w:lastRenderedPageBreak/>
        <w:t>The National Task Force for the Acceleration of Handling of the Coronavirus Disease 2019 (Covid-19) has indicated that the clustering of cases in each region is highly dynamic. Previously unaffected areas may become at-risk, while areas previously identified as at-risk may become unaffected. Conversely, areas previously identified as low-risk may become moderate-risk, and vice versa.</w:t>
      </w:r>
    </w:p>
    <w:p w14:paraId="4987B6B0" w14:textId="77777777" w:rsidR="008E1FDA" w:rsidRPr="0002107E" w:rsidRDefault="008E1FDA" w:rsidP="00896D2C">
      <w:pPr>
        <w:spacing w:line="360" w:lineRule="auto"/>
        <w:jc w:val="both"/>
        <w:rPr>
          <w:rFonts w:ascii="Garamond" w:eastAsia="Garamond" w:hAnsi="Garamond" w:cs="Garamond"/>
          <w:bCs/>
          <w:lang w:val="sv-SE"/>
        </w:rPr>
      </w:pPr>
    </w:p>
    <w:p w14:paraId="4C7030BD" w14:textId="06617281" w:rsidR="00545F82" w:rsidRPr="00122C1A" w:rsidRDefault="00C90268">
      <w:pPr>
        <w:keepNext/>
        <w:keepLines/>
        <w:pBdr>
          <w:top w:val="nil"/>
          <w:left w:val="nil"/>
          <w:bottom w:val="nil"/>
          <w:right w:val="nil"/>
          <w:between w:val="nil"/>
        </w:pBdr>
        <w:spacing w:line="360" w:lineRule="auto"/>
        <w:rPr>
          <w:rFonts w:ascii="Garamond" w:eastAsia="Garamond" w:hAnsi="Garamond" w:cs="Garamond"/>
          <w:b/>
          <w:color w:val="000000"/>
          <w:lang w:val="sv-SE"/>
        </w:rPr>
      </w:pPr>
      <w:r>
        <w:rPr>
          <w:rFonts w:ascii="Garamond" w:eastAsia="Garamond" w:hAnsi="Garamond" w:cs="Garamond"/>
          <w:b/>
          <w:color w:val="000000"/>
          <w:lang w:val="sv-SE"/>
        </w:rPr>
        <w:t>MATERIAL RESEARCH</w:t>
      </w:r>
    </w:p>
    <w:p w14:paraId="37FBEA22" w14:textId="3F89EF8A" w:rsidR="00C90268" w:rsidRPr="003106BE" w:rsidRDefault="00C90268" w:rsidP="003106BE">
      <w:pPr>
        <w:spacing w:line="360" w:lineRule="auto"/>
        <w:ind w:firstLine="567"/>
        <w:jc w:val="both"/>
        <w:rPr>
          <w:rFonts w:ascii="Garamond" w:eastAsia="Garamond" w:hAnsi="Garamond" w:cs="Garamond"/>
          <w:bCs/>
          <w:lang w:val="sv-SE"/>
        </w:rPr>
      </w:pPr>
      <w:r w:rsidRPr="00C90268">
        <w:rPr>
          <w:rFonts w:ascii="Garamond" w:eastAsia="Garamond" w:hAnsi="Garamond" w:cs="Garamond"/>
          <w:bCs/>
          <w:lang w:val="sv-SE"/>
        </w:rPr>
        <w:t>This research was conducted using a qualitative case study approach. The case presented is the cognitive response of elderly Muslims at Al-Mukmin and Asy-Syifa Mosques in Bengkulu City. The case of elderly Muslims in the two mosques is considered interesting for several reasons. Firstly, the implementation of worship takes place throughout the Covid-19 pandemic, which has had a significant impact on the lives of many people worldwide. Secondly, the location of the two mosques is adjacent to the main referral hospital for Covid-19 patients in Bengkulu Province, which has placed additional strain on the local healthcare system. Data collection was conducted between January and February 2023. This entailed employing a range of techniques including semi-structured interviews, non-participant observation and the documentation of policies and fatwas issued by the Indonesian Ulema Council (MUI). This was achieved through examination of the MUI's website.</w:t>
      </w:r>
    </w:p>
    <w:p w14:paraId="78543DCB" w14:textId="09D7F0B3" w:rsidR="00F51A8F" w:rsidRPr="00DB2E7E" w:rsidRDefault="00F51A8F" w:rsidP="00F51A8F">
      <w:pPr>
        <w:spacing w:line="360" w:lineRule="auto"/>
        <w:jc w:val="center"/>
        <w:rPr>
          <w:rFonts w:ascii="Garamond" w:eastAsia="Garamond" w:hAnsi="Garamond" w:cs="Garamond"/>
          <w:sz w:val="20"/>
          <w:szCs w:val="20"/>
          <w:lang w:val="en-ID"/>
        </w:rPr>
      </w:pPr>
      <w:r w:rsidRPr="00661BBF">
        <w:rPr>
          <w:rFonts w:ascii="Garamond" w:eastAsia="Garamond" w:hAnsi="Garamond" w:cs="Garamond"/>
          <w:b/>
          <w:bCs/>
          <w:sz w:val="20"/>
          <w:szCs w:val="20"/>
          <w:lang w:val="en-ID"/>
        </w:rPr>
        <w:t>Tabl</w:t>
      </w:r>
      <w:r w:rsidR="00181944" w:rsidRPr="00661BBF">
        <w:rPr>
          <w:rFonts w:ascii="Garamond" w:eastAsia="Garamond" w:hAnsi="Garamond" w:cs="Garamond"/>
          <w:b/>
          <w:bCs/>
          <w:sz w:val="20"/>
          <w:szCs w:val="20"/>
          <w:lang w:val="en-ID"/>
        </w:rPr>
        <w:t>e</w:t>
      </w:r>
      <w:r w:rsidRPr="00661BBF">
        <w:rPr>
          <w:rFonts w:ascii="Garamond" w:eastAsia="Garamond" w:hAnsi="Garamond" w:cs="Garamond"/>
          <w:b/>
          <w:bCs/>
          <w:sz w:val="20"/>
          <w:szCs w:val="20"/>
          <w:lang w:val="en-ID"/>
        </w:rPr>
        <w:t xml:space="preserve"> 1.</w:t>
      </w:r>
      <w:r w:rsidRPr="00661BBF">
        <w:rPr>
          <w:rFonts w:ascii="Garamond" w:eastAsia="Garamond" w:hAnsi="Garamond" w:cs="Garamond"/>
          <w:sz w:val="20"/>
          <w:szCs w:val="20"/>
          <w:lang w:val="en-ID"/>
        </w:rPr>
        <w:t xml:space="preserve"> </w:t>
      </w:r>
      <w:r w:rsidRPr="00DB2E7E">
        <w:rPr>
          <w:rFonts w:ascii="Garamond" w:eastAsia="Garamond" w:hAnsi="Garamond" w:cs="Garamond"/>
          <w:sz w:val="20"/>
          <w:szCs w:val="20"/>
          <w:lang w:val="en-ID"/>
        </w:rPr>
        <w:t>Describe the demographics of interviewees</w:t>
      </w:r>
    </w:p>
    <w:tbl>
      <w:tblPr>
        <w:tblStyle w:val="TableGrid"/>
        <w:tblW w:w="0" w:type="auto"/>
        <w:tblInd w:w="108" w:type="dxa"/>
        <w:tblLook w:val="04A0" w:firstRow="1" w:lastRow="0" w:firstColumn="1" w:lastColumn="0" w:noHBand="0" w:noVBand="1"/>
      </w:tblPr>
      <w:tblGrid>
        <w:gridCol w:w="563"/>
        <w:gridCol w:w="1683"/>
        <w:gridCol w:w="851"/>
        <w:gridCol w:w="843"/>
        <w:gridCol w:w="2090"/>
        <w:gridCol w:w="2357"/>
      </w:tblGrid>
      <w:tr w:rsidR="008E1FDA" w:rsidRPr="00386D1F" w14:paraId="4621F4C9" w14:textId="77777777" w:rsidTr="00C90268">
        <w:tc>
          <w:tcPr>
            <w:tcW w:w="567" w:type="dxa"/>
          </w:tcPr>
          <w:p w14:paraId="291E4E73" w14:textId="3CB947C3" w:rsidR="008E1FDA" w:rsidRPr="00386D1F" w:rsidRDefault="008E1FDA" w:rsidP="008E1FDA">
            <w:pPr>
              <w:jc w:val="center"/>
              <w:rPr>
                <w:rFonts w:ascii="Garamond" w:eastAsia="Garamond" w:hAnsi="Garamond" w:cs="Garamond"/>
                <w:b/>
                <w:bCs/>
                <w:sz w:val="20"/>
                <w:szCs w:val="20"/>
                <w:lang w:val="sv-SE"/>
              </w:rPr>
            </w:pPr>
            <w:r w:rsidRPr="00386D1F">
              <w:rPr>
                <w:rFonts w:ascii="Garamond" w:eastAsia="Garamond" w:hAnsi="Garamond" w:cs="Garamond"/>
                <w:b/>
                <w:bCs/>
                <w:sz w:val="20"/>
                <w:szCs w:val="20"/>
                <w:lang w:val="sv-SE"/>
              </w:rPr>
              <w:t>Sn.</w:t>
            </w:r>
          </w:p>
        </w:tc>
        <w:tc>
          <w:tcPr>
            <w:tcW w:w="1701" w:type="dxa"/>
          </w:tcPr>
          <w:p w14:paraId="0AB45C69" w14:textId="2C7F0DD3" w:rsidR="008E1FDA" w:rsidRPr="00386D1F" w:rsidRDefault="00F51A8F" w:rsidP="00F51A8F">
            <w:pPr>
              <w:jc w:val="center"/>
              <w:rPr>
                <w:rFonts w:ascii="Garamond" w:eastAsia="Garamond" w:hAnsi="Garamond" w:cs="Garamond"/>
                <w:b/>
                <w:bCs/>
                <w:sz w:val="20"/>
                <w:szCs w:val="20"/>
                <w:lang w:val="sv-SE"/>
              </w:rPr>
            </w:pPr>
            <w:r>
              <w:rPr>
                <w:rFonts w:ascii="Garamond" w:eastAsia="Garamond" w:hAnsi="Garamond" w:cs="Garamond"/>
                <w:b/>
                <w:bCs/>
                <w:sz w:val="20"/>
                <w:szCs w:val="20"/>
                <w:lang w:val="sv-SE"/>
              </w:rPr>
              <w:t>Interviewee</w:t>
            </w:r>
          </w:p>
        </w:tc>
        <w:tc>
          <w:tcPr>
            <w:tcW w:w="851" w:type="dxa"/>
          </w:tcPr>
          <w:p w14:paraId="4449D853" w14:textId="376EDF8C" w:rsidR="008E1FDA" w:rsidRPr="00386D1F" w:rsidRDefault="008E1FDA" w:rsidP="008E1FDA">
            <w:pPr>
              <w:jc w:val="center"/>
              <w:rPr>
                <w:rFonts w:ascii="Garamond" w:eastAsia="Garamond" w:hAnsi="Garamond" w:cs="Garamond"/>
                <w:b/>
                <w:bCs/>
                <w:sz w:val="20"/>
                <w:szCs w:val="20"/>
                <w:lang w:val="sv-SE"/>
              </w:rPr>
            </w:pPr>
            <w:r w:rsidRPr="00386D1F">
              <w:rPr>
                <w:rFonts w:ascii="Garamond" w:eastAsia="Garamond" w:hAnsi="Garamond" w:cs="Garamond"/>
                <w:b/>
                <w:bCs/>
                <w:sz w:val="20"/>
                <w:szCs w:val="20"/>
                <w:lang w:val="sv-SE"/>
              </w:rPr>
              <w:t>Gender</w:t>
            </w:r>
          </w:p>
        </w:tc>
        <w:tc>
          <w:tcPr>
            <w:tcW w:w="850" w:type="dxa"/>
          </w:tcPr>
          <w:p w14:paraId="0D124BD3" w14:textId="4E4A4EBE" w:rsidR="008E1FDA" w:rsidRPr="00386D1F" w:rsidRDefault="008E1FDA" w:rsidP="008E1FDA">
            <w:pPr>
              <w:jc w:val="center"/>
              <w:rPr>
                <w:rFonts w:ascii="Garamond" w:eastAsia="Garamond" w:hAnsi="Garamond" w:cs="Garamond"/>
                <w:b/>
                <w:bCs/>
                <w:sz w:val="20"/>
                <w:szCs w:val="20"/>
                <w:lang w:val="sv-SE"/>
              </w:rPr>
            </w:pPr>
            <w:r w:rsidRPr="00386D1F">
              <w:rPr>
                <w:rFonts w:ascii="Garamond" w:eastAsia="Garamond" w:hAnsi="Garamond" w:cs="Garamond"/>
                <w:b/>
                <w:bCs/>
                <w:sz w:val="20"/>
                <w:szCs w:val="20"/>
                <w:lang w:val="sv-SE"/>
              </w:rPr>
              <w:t>Class Age</w:t>
            </w:r>
          </w:p>
        </w:tc>
        <w:tc>
          <w:tcPr>
            <w:tcW w:w="2127" w:type="dxa"/>
          </w:tcPr>
          <w:p w14:paraId="5FFCBA1F" w14:textId="7017D8DE" w:rsidR="008E1FDA" w:rsidRPr="00386D1F" w:rsidRDefault="008E1FDA" w:rsidP="008E1FDA">
            <w:pPr>
              <w:jc w:val="center"/>
              <w:rPr>
                <w:rFonts w:ascii="Garamond" w:eastAsia="Garamond" w:hAnsi="Garamond" w:cs="Garamond"/>
                <w:b/>
                <w:bCs/>
                <w:sz w:val="20"/>
                <w:szCs w:val="20"/>
                <w:lang w:val="sv-SE"/>
              </w:rPr>
            </w:pPr>
            <w:r w:rsidRPr="00386D1F">
              <w:rPr>
                <w:rFonts w:ascii="Garamond" w:eastAsia="Garamond" w:hAnsi="Garamond" w:cs="Garamond"/>
                <w:b/>
                <w:bCs/>
                <w:sz w:val="20"/>
                <w:szCs w:val="20"/>
                <w:lang w:val="sv-SE"/>
              </w:rPr>
              <w:t>Education</w:t>
            </w:r>
          </w:p>
        </w:tc>
        <w:tc>
          <w:tcPr>
            <w:tcW w:w="2409" w:type="dxa"/>
          </w:tcPr>
          <w:p w14:paraId="7D7D2C85" w14:textId="07DC2F5C" w:rsidR="008E1FDA" w:rsidRPr="00386D1F" w:rsidRDefault="00386D1F" w:rsidP="008E1FDA">
            <w:pPr>
              <w:jc w:val="center"/>
              <w:rPr>
                <w:rFonts w:ascii="Garamond" w:eastAsia="Garamond" w:hAnsi="Garamond" w:cs="Garamond"/>
                <w:b/>
                <w:bCs/>
                <w:sz w:val="20"/>
                <w:szCs w:val="20"/>
                <w:lang w:val="sv-SE"/>
              </w:rPr>
            </w:pPr>
            <w:r w:rsidRPr="00386D1F">
              <w:rPr>
                <w:rFonts w:ascii="Garamond" w:eastAsia="Garamond" w:hAnsi="Garamond" w:cs="Garamond"/>
                <w:b/>
                <w:bCs/>
                <w:sz w:val="20"/>
                <w:szCs w:val="20"/>
                <w:lang w:val="sv-SE"/>
              </w:rPr>
              <w:t>House-Mosque Distance</w:t>
            </w:r>
          </w:p>
        </w:tc>
      </w:tr>
      <w:tr w:rsidR="008E1FDA" w:rsidRPr="00386D1F" w14:paraId="44E2D465" w14:textId="77777777" w:rsidTr="00C90268">
        <w:tc>
          <w:tcPr>
            <w:tcW w:w="567" w:type="dxa"/>
          </w:tcPr>
          <w:p w14:paraId="1FB89046" w14:textId="2511A016" w:rsidR="008E1FDA" w:rsidRPr="00386D1F" w:rsidRDefault="00386D1F" w:rsidP="00386D1F">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1</w:t>
            </w:r>
          </w:p>
        </w:tc>
        <w:tc>
          <w:tcPr>
            <w:tcW w:w="1701" w:type="dxa"/>
          </w:tcPr>
          <w:p w14:paraId="06838B53" w14:textId="3E2AEBF9" w:rsidR="008E1FDA" w:rsidRPr="00386D1F" w:rsidRDefault="00386D1F" w:rsidP="008E1FDA">
            <w:pPr>
              <w:jc w:val="both"/>
              <w:rPr>
                <w:rFonts w:ascii="Garamond" w:eastAsia="Garamond" w:hAnsi="Garamond" w:cs="Garamond"/>
                <w:sz w:val="20"/>
                <w:szCs w:val="20"/>
                <w:lang w:val="sv-SE"/>
              </w:rPr>
            </w:pPr>
            <w:r w:rsidRPr="00386D1F">
              <w:rPr>
                <w:rFonts w:ascii="Garamond" w:eastAsia="Garamond" w:hAnsi="Garamond" w:cs="Garamond"/>
                <w:sz w:val="20"/>
                <w:szCs w:val="20"/>
                <w:lang w:val="sv-SE"/>
              </w:rPr>
              <w:t>Elderly Muslim 01</w:t>
            </w:r>
          </w:p>
        </w:tc>
        <w:tc>
          <w:tcPr>
            <w:tcW w:w="851" w:type="dxa"/>
          </w:tcPr>
          <w:p w14:paraId="7F84A3F9" w14:textId="755CFD49" w:rsidR="008E1FDA" w:rsidRPr="00386D1F" w:rsidRDefault="00386D1F" w:rsidP="00386D1F">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M</w:t>
            </w:r>
          </w:p>
        </w:tc>
        <w:tc>
          <w:tcPr>
            <w:tcW w:w="850" w:type="dxa"/>
          </w:tcPr>
          <w:p w14:paraId="48FF260E" w14:textId="60DE75FC" w:rsidR="008E1FDA" w:rsidRPr="00386D1F" w:rsidRDefault="00386D1F" w:rsidP="00386D1F">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68-72</w:t>
            </w:r>
          </w:p>
        </w:tc>
        <w:tc>
          <w:tcPr>
            <w:tcW w:w="2127" w:type="dxa"/>
          </w:tcPr>
          <w:p w14:paraId="1E9389D6" w14:textId="6988351A" w:rsidR="008E1FDA" w:rsidRPr="00386D1F" w:rsidRDefault="00386D1F" w:rsidP="00386D1F">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Senior High School</w:t>
            </w:r>
          </w:p>
        </w:tc>
        <w:tc>
          <w:tcPr>
            <w:tcW w:w="2409" w:type="dxa"/>
          </w:tcPr>
          <w:p w14:paraId="1D1B8C52" w14:textId="6209E53B" w:rsidR="008E1FDA" w:rsidRPr="00386D1F" w:rsidRDefault="00185390"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Al-Mukmin, </w:t>
            </w:r>
            <w:r w:rsidR="00386D1F">
              <w:rPr>
                <w:rFonts w:ascii="Garamond" w:eastAsia="Garamond" w:hAnsi="Garamond" w:cs="Garamond"/>
                <w:sz w:val="20"/>
                <w:szCs w:val="20"/>
                <w:lang w:val="sv-SE"/>
              </w:rPr>
              <w:t>±100 Meter</w:t>
            </w:r>
          </w:p>
        </w:tc>
      </w:tr>
      <w:tr w:rsidR="008E1FDA" w:rsidRPr="00386D1F" w14:paraId="0690B5DA" w14:textId="77777777" w:rsidTr="00C90268">
        <w:tc>
          <w:tcPr>
            <w:tcW w:w="567" w:type="dxa"/>
          </w:tcPr>
          <w:p w14:paraId="4CFAFFC8" w14:textId="3037204B" w:rsidR="008E1FDA" w:rsidRPr="00386D1F" w:rsidRDefault="00386D1F" w:rsidP="00386D1F">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2</w:t>
            </w:r>
          </w:p>
        </w:tc>
        <w:tc>
          <w:tcPr>
            <w:tcW w:w="1701" w:type="dxa"/>
          </w:tcPr>
          <w:p w14:paraId="5433745F" w14:textId="42A3BE1D" w:rsidR="008E1FDA" w:rsidRPr="00386D1F" w:rsidRDefault="00386D1F" w:rsidP="008E1FDA">
            <w:pPr>
              <w:jc w:val="both"/>
              <w:rPr>
                <w:rFonts w:ascii="Garamond" w:eastAsia="Garamond" w:hAnsi="Garamond" w:cs="Garamond"/>
                <w:sz w:val="20"/>
                <w:szCs w:val="20"/>
                <w:lang w:val="sv-SE"/>
              </w:rPr>
            </w:pPr>
            <w:r>
              <w:rPr>
                <w:rFonts w:ascii="Garamond" w:eastAsia="Garamond" w:hAnsi="Garamond" w:cs="Garamond"/>
                <w:sz w:val="20"/>
                <w:szCs w:val="20"/>
                <w:lang w:val="sv-SE"/>
              </w:rPr>
              <w:t>Elderly Muslim 02</w:t>
            </w:r>
          </w:p>
        </w:tc>
        <w:tc>
          <w:tcPr>
            <w:tcW w:w="851" w:type="dxa"/>
          </w:tcPr>
          <w:p w14:paraId="55043CBF" w14:textId="1EC1317C" w:rsidR="008E1FDA" w:rsidRPr="00386D1F" w:rsidRDefault="00386D1F"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M</w:t>
            </w:r>
          </w:p>
        </w:tc>
        <w:tc>
          <w:tcPr>
            <w:tcW w:w="850" w:type="dxa"/>
          </w:tcPr>
          <w:p w14:paraId="31F589DF" w14:textId="13F59606" w:rsidR="008E1FDA" w:rsidRPr="00386D1F" w:rsidRDefault="00386D1F"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70-75</w:t>
            </w:r>
          </w:p>
        </w:tc>
        <w:tc>
          <w:tcPr>
            <w:tcW w:w="2127" w:type="dxa"/>
          </w:tcPr>
          <w:p w14:paraId="1E9B5C3B" w14:textId="1B623281" w:rsidR="008E1FDA" w:rsidRPr="00386D1F" w:rsidRDefault="00386D1F"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Graduate</w:t>
            </w:r>
          </w:p>
        </w:tc>
        <w:tc>
          <w:tcPr>
            <w:tcW w:w="2409" w:type="dxa"/>
          </w:tcPr>
          <w:p w14:paraId="492E0C0A" w14:textId="2FDEB231" w:rsidR="008E1FDA" w:rsidRPr="00386D1F" w:rsidRDefault="00185390"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Al-Mukmin, </w:t>
            </w:r>
            <w:r w:rsidR="00386D1F">
              <w:rPr>
                <w:rFonts w:ascii="Garamond" w:eastAsia="Garamond" w:hAnsi="Garamond" w:cs="Garamond"/>
                <w:sz w:val="20"/>
                <w:szCs w:val="20"/>
                <w:lang w:val="sv-SE"/>
              </w:rPr>
              <w:t>±10 Meter</w:t>
            </w:r>
          </w:p>
        </w:tc>
      </w:tr>
      <w:tr w:rsidR="008E1FDA" w:rsidRPr="00386D1F" w14:paraId="0544723E" w14:textId="77777777" w:rsidTr="00C90268">
        <w:tc>
          <w:tcPr>
            <w:tcW w:w="567" w:type="dxa"/>
          </w:tcPr>
          <w:p w14:paraId="789D13FB" w14:textId="4DDEAED8" w:rsidR="008E1FDA" w:rsidRPr="00386D1F" w:rsidRDefault="00386D1F" w:rsidP="00386D1F">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3</w:t>
            </w:r>
          </w:p>
        </w:tc>
        <w:tc>
          <w:tcPr>
            <w:tcW w:w="1701" w:type="dxa"/>
          </w:tcPr>
          <w:p w14:paraId="3D146F55" w14:textId="5A1BE698" w:rsidR="008E1FDA" w:rsidRPr="00386D1F" w:rsidRDefault="00386D1F" w:rsidP="008E1FDA">
            <w:pPr>
              <w:jc w:val="both"/>
              <w:rPr>
                <w:rFonts w:ascii="Garamond" w:eastAsia="Garamond" w:hAnsi="Garamond" w:cs="Garamond"/>
                <w:sz w:val="20"/>
                <w:szCs w:val="20"/>
                <w:lang w:val="sv-SE"/>
              </w:rPr>
            </w:pPr>
            <w:r>
              <w:rPr>
                <w:rFonts w:ascii="Garamond" w:eastAsia="Garamond" w:hAnsi="Garamond" w:cs="Garamond"/>
                <w:sz w:val="20"/>
                <w:szCs w:val="20"/>
                <w:lang w:val="sv-SE"/>
              </w:rPr>
              <w:t>Elderly Muslim 03</w:t>
            </w:r>
          </w:p>
        </w:tc>
        <w:tc>
          <w:tcPr>
            <w:tcW w:w="851" w:type="dxa"/>
          </w:tcPr>
          <w:p w14:paraId="53FFE020" w14:textId="7B6A47EE" w:rsidR="008E1FDA" w:rsidRPr="00386D1F" w:rsidRDefault="00386D1F"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F</w:t>
            </w:r>
          </w:p>
        </w:tc>
        <w:tc>
          <w:tcPr>
            <w:tcW w:w="850" w:type="dxa"/>
          </w:tcPr>
          <w:p w14:paraId="10A2BAA1" w14:textId="0412DCD0" w:rsidR="008E1FDA" w:rsidRPr="00386D1F" w:rsidRDefault="00386D1F"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50-55</w:t>
            </w:r>
          </w:p>
        </w:tc>
        <w:tc>
          <w:tcPr>
            <w:tcW w:w="2127" w:type="dxa"/>
          </w:tcPr>
          <w:p w14:paraId="1A461A12" w14:textId="3F7B5188" w:rsidR="008E1FDA" w:rsidRPr="00386D1F" w:rsidRDefault="00386D1F" w:rsidP="00386D1F">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Senior High School</w:t>
            </w:r>
          </w:p>
        </w:tc>
        <w:tc>
          <w:tcPr>
            <w:tcW w:w="2409" w:type="dxa"/>
          </w:tcPr>
          <w:p w14:paraId="0E62F457" w14:textId="1608AD0D" w:rsidR="008E1FDA" w:rsidRPr="00386D1F" w:rsidRDefault="00185390"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Al-Mukmin, </w:t>
            </w:r>
            <w:r w:rsidR="00386D1F">
              <w:rPr>
                <w:rFonts w:ascii="Garamond" w:eastAsia="Garamond" w:hAnsi="Garamond" w:cs="Garamond"/>
                <w:sz w:val="20"/>
                <w:szCs w:val="20"/>
                <w:lang w:val="sv-SE"/>
              </w:rPr>
              <w:t>±40 Meter</w:t>
            </w:r>
          </w:p>
        </w:tc>
      </w:tr>
      <w:tr w:rsidR="00386D1F" w:rsidRPr="00386D1F" w14:paraId="7220E08F" w14:textId="77777777" w:rsidTr="00C90268">
        <w:tc>
          <w:tcPr>
            <w:tcW w:w="567" w:type="dxa"/>
          </w:tcPr>
          <w:p w14:paraId="2DDF76B0" w14:textId="72E666E3" w:rsidR="00386D1F" w:rsidRPr="00386D1F" w:rsidRDefault="00386D1F" w:rsidP="00386D1F">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4</w:t>
            </w:r>
          </w:p>
        </w:tc>
        <w:tc>
          <w:tcPr>
            <w:tcW w:w="1701" w:type="dxa"/>
          </w:tcPr>
          <w:p w14:paraId="70D90052" w14:textId="4D044249" w:rsidR="00386D1F" w:rsidRPr="00386D1F" w:rsidRDefault="00386D1F" w:rsidP="00386D1F">
            <w:pPr>
              <w:jc w:val="both"/>
              <w:rPr>
                <w:rFonts w:ascii="Garamond" w:eastAsia="Garamond" w:hAnsi="Garamond" w:cs="Garamond"/>
                <w:sz w:val="20"/>
                <w:szCs w:val="20"/>
                <w:lang w:val="sv-SE"/>
              </w:rPr>
            </w:pPr>
            <w:r>
              <w:rPr>
                <w:rFonts w:ascii="Garamond" w:eastAsia="Garamond" w:hAnsi="Garamond" w:cs="Garamond"/>
                <w:sz w:val="20"/>
                <w:szCs w:val="20"/>
                <w:lang w:val="sv-SE"/>
              </w:rPr>
              <w:t>Elderly Muslim 04</w:t>
            </w:r>
          </w:p>
        </w:tc>
        <w:tc>
          <w:tcPr>
            <w:tcW w:w="851" w:type="dxa"/>
          </w:tcPr>
          <w:p w14:paraId="4FEE4771" w14:textId="49DE11FD" w:rsidR="00386D1F" w:rsidRPr="00386D1F" w:rsidRDefault="00386D1F"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F</w:t>
            </w:r>
          </w:p>
        </w:tc>
        <w:tc>
          <w:tcPr>
            <w:tcW w:w="850" w:type="dxa"/>
          </w:tcPr>
          <w:p w14:paraId="67D24836" w14:textId="092C8BB3" w:rsidR="00386D1F" w:rsidRPr="00386D1F" w:rsidRDefault="00386D1F"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50-55</w:t>
            </w:r>
          </w:p>
        </w:tc>
        <w:tc>
          <w:tcPr>
            <w:tcW w:w="2127" w:type="dxa"/>
          </w:tcPr>
          <w:p w14:paraId="0337AB6C" w14:textId="04CA0A42" w:rsidR="00386D1F" w:rsidRPr="00386D1F" w:rsidRDefault="00386D1F"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Graduate</w:t>
            </w:r>
          </w:p>
        </w:tc>
        <w:tc>
          <w:tcPr>
            <w:tcW w:w="2409" w:type="dxa"/>
          </w:tcPr>
          <w:p w14:paraId="09B7FAE5" w14:textId="2997D318" w:rsidR="00386D1F" w:rsidRPr="00386D1F" w:rsidRDefault="00185390" w:rsidP="00185390">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Al-Mukmin,  </w:t>
            </w:r>
            <w:r w:rsidR="00386D1F">
              <w:rPr>
                <w:rFonts w:ascii="Garamond" w:eastAsia="Garamond" w:hAnsi="Garamond" w:cs="Garamond"/>
                <w:sz w:val="20"/>
                <w:szCs w:val="20"/>
                <w:lang w:val="sv-SE"/>
              </w:rPr>
              <w:t>±30 Meter</w:t>
            </w:r>
          </w:p>
        </w:tc>
      </w:tr>
      <w:tr w:rsidR="00386D1F" w:rsidRPr="00386D1F" w14:paraId="52034E0E" w14:textId="77777777" w:rsidTr="00C90268">
        <w:tc>
          <w:tcPr>
            <w:tcW w:w="567" w:type="dxa"/>
          </w:tcPr>
          <w:p w14:paraId="7253B5B6" w14:textId="0C060B2E" w:rsidR="00386D1F" w:rsidRPr="00386D1F" w:rsidRDefault="00386D1F" w:rsidP="00386D1F">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5</w:t>
            </w:r>
          </w:p>
        </w:tc>
        <w:tc>
          <w:tcPr>
            <w:tcW w:w="1701" w:type="dxa"/>
          </w:tcPr>
          <w:p w14:paraId="106F0E11" w14:textId="296DBF79" w:rsidR="00386D1F" w:rsidRPr="00386D1F" w:rsidRDefault="0054457B" w:rsidP="00386D1F">
            <w:pPr>
              <w:jc w:val="both"/>
              <w:rPr>
                <w:rFonts w:ascii="Garamond" w:eastAsia="Garamond" w:hAnsi="Garamond" w:cs="Garamond"/>
                <w:sz w:val="20"/>
                <w:szCs w:val="20"/>
                <w:lang w:val="sv-SE"/>
              </w:rPr>
            </w:pPr>
            <w:r>
              <w:rPr>
                <w:rFonts w:ascii="Garamond" w:eastAsia="Garamond" w:hAnsi="Garamond" w:cs="Garamond"/>
                <w:sz w:val="20"/>
                <w:szCs w:val="20"/>
                <w:lang w:val="sv-SE"/>
              </w:rPr>
              <w:t>Elderly Muslim 05</w:t>
            </w:r>
          </w:p>
        </w:tc>
        <w:tc>
          <w:tcPr>
            <w:tcW w:w="851" w:type="dxa"/>
          </w:tcPr>
          <w:p w14:paraId="0F7B5AE6" w14:textId="558FDFF4" w:rsidR="00386D1F" w:rsidRPr="00386D1F" w:rsidRDefault="0054457B"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M</w:t>
            </w:r>
          </w:p>
        </w:tc>
        <w:tc>
          <w:tcPr>
            <w:tcW w:w="850" w:type="dxa"/>
          </w:tcPr>
          <w:p w14:paraId="0B96CE97" w14:textId="44CD3615" w:rsidR="00386D1F" w:rsidRPr="00386D1F" w:rsidRDefault="0054457B"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60-65</w:t>
            </w:r>
          </w:p>
        </w:tc>
        <w:tc>
          <w:tcPr>
            <w:tcW w:w="2127" w:type="dxa"/>
          </w:tcPr>
          <w:p w14:paraId="0A5AF04A" w14:textId="13560FD9" w:rsidR="00386D1F" w:rsidRPr="00386D1F" w:rsidRDefault="0054457B"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Junior High School</w:t>
            </w:r>
          </w:p>
        </w:tc>
        <w:tc>
          <w:tcPr>
            <w:tcW w:w="2409" w:type="dxa"/>
          </w:tcPr>
          <w:p w14:paraId="5DC10C57" w14:textId="05217B5F" w:rsidR="00386D1F" w:rsidRPr="00386D1F" w:rsidRDefault="00185390"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Asy-Syifa, </w:t>
            </w:r>
            <w:r w:rsidR="0054457B">
              <w:rPr>
                <w:rFonts w:ascii="Garamond" w:eastAsia="Garamond" w:hAnsi="Garamond" w:cs="Garamond"/>
                <w:sz w:val="20"/>
                <w:szCs w:val="20"/>
                <w:lang w:val="sv-SE"/>
              </w:rPr>
              <w:t>±150 Meter</w:t>
            </w:r>
          </w:p>
        </w:tc>
      </w:tr>
      <w:tr w:rsidR="0054457B" w:rsidRPr="00386D1F" w14:paraId="224CDE94" w14:textId="77777777" w:rsidTr="00C90268">
        <w:tc>
          <w:tcPr>
            <w:tcW w:w="567" w:type="dxa"/>
          </w:tcPr>
          <w:p w14:paraId="36292BF6" w14:textId="7A0385E4" w:rsidR="0054457B" w:rsidRPr="00386D1F" w:rsidRDefault="0054457B"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6</w:t>
            </w:r>
          </w:p>
        </w:tc>
        <w:tc>
          <w:tcPr>
            <w:tcW w:w="1701" w:type="dxa"/>
          </w:tcPr>
          <w:p w14:paraId="64885767" w14:textId="6B2B66FA" w:rsidR="0054457B" w:rsidRDefault="0054457B" w:rsidP="00386D1F">
            <w:pPr>
              <w:jc w:val="both"/>
              <w:rPr>
                <w:rFonts w:ascii="Garamond" w:eastAsia="Garamond" w:hAnsi="Garamond" w:cs="Garamond"/>
                <w:sz w:val="20"/>
                <w:szCs w:val="20"/>
                <w:lang w:val="sv-SE"/>
              </w:rPr>
            </w:pPr>
            <w:r>
              <w:rPr>
                <w:rFonts w:ascii="Garamond" w:eastAsia="Garamond" w:hAnsi="Garamond" w:cs="Garamond"/>
                <w:sz w:val="20"/>
                <w:szCs w:val="20"/>
                <w:lang w:val="sv-SE"/>
              </w:rPr>
              <w:t>Elderly Muslim 06</w:t>
            </w:r>
          </w:p>
        </w:tc>
        <w:tc>
          <w:tcPr>
            <w:tcW w:w="851" w:type="dxa"/>
          </w:tcPr>
          <w:p w14:paraId="5D8DFEDB" w14:textId="17FF6B49" w:rsidR="0054457B" w:rsidRDefault="0054457B"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M</w:t>
            </w:r>
          </w:p>
        </w:tc>
        <w:tc>
          <w:tcPr>
            <w:tcW w:w="850" w:type="dxa"/>
          </w:tcPr>
          <w:p w14:paraId="2B76FBBD" w14:textId="1CCE421A" w:rsidR="0054457B" w:rsidRDefault="0054457B"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65-70</w:t>
            </w:r>
          </w:p>
        </w:tc>
        <w:tc>
          <w:tcPr>
            <w:tcW w:w="2127" w:type="dxa"/>
          </w:tcPr>
          <w:p w14:paraId="0EA455E2" w14:textId="19F99CC2" w:rsidR="0054457B" w:rsidRDefault="0054457B"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Graduate</w:t>
            </w:r>
          </w:p>
        </w:tc>
        <w:tc>
          <w:tcPr>
            <w:tcW w:w="2409" w:type="dxa"/>
          </w:tcPr>
          <w:p w14:paraId="517F78DF" w14:textId="07CE01A3" w:rsidR="0054457B" w:rsidRDefault="00185390" w:rsidP="00386D1F">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Asy-Syifa, </w:t>
            </w:r>
            <w:r w:rsidR="0054457B">
              <w:rPr>
                <w:rFonts w:ascii="Garamond" w:eastAsia="Garamond" w:hAnsi="Garamond" w:cs="Garamond"/>
                <w:sz w:val="20"/>
                <w:szCs w:val="20"/>
                <w:lang w:val="sv-SE"/>
              </w:rPr>
              <w:t>±45 Meter</w:t>
            </w:r>
          </w:p>
        </w:tc>
      </w:tr>
      <w:tr w:rsidR="00CC06EC" w:rsidRPr="00386D1F" w14:paraId="45D2FA93" w14:textId="77777777" w:rsidTr="00C90268">
        <w:tc>
          <w:tcPr>
            <w:tcW w:w="567" w:type="dxa"/>
          </w:tcPr>
          <w:p w14:paraId="123B755B" w14:textId="49E3B3EA"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7</w:t>
            </w:r>
          </w:p>
        </w:tc>
        <w:tc>
          <w:tcPr>
            <w:tcW w:w="1701" w:type="dxa"/>
          </w:tcPr>
          <w:p w14:paraId="0E11DEF5" w14:textId="2373E917" w:rsidR="00CC06EC" w:rsidRDefault="00CC06EC" w:rsidP="00CC06EC">
            <w:pPr>
              <w:jc w:val="both"/>
              <w:rPr>
                <w:rFonts w:ascii="Garamond" w:eastAsia="Garamond" w:hAnsi="Garamond" w:cs="Garamond"/>
                <w:sz w:val="20"/>
                <w:szCs w:val="20"/>
                <w:lang w:val="sv-SE"/>
              </w:rPr>
            </w:pPr>
            <w:r>
              <w:rPr>
                <w:rFonts w:ascii="Garamond" w:eastAsia="Garamond" w:hAnsi="Garamond" w:cs="Garamond"/>
                <w:sz w:val="20"/>
                <w:szCs w:val="20"/>
                <w:lang w:val="sv-SE"/>
              </w:rPr>
              <w:t>Elderly Muslim 07</w:t>
            </w:r>
          </w:p>
        </w:tc>
        <w:tc>
          <w:tcPr>
            <w:tcW w:w="851" w:type="dxa"/>
          </w:tcPr>
          <w:p w14:paraId="5EA307A3" w14:textId="12274118"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F</w:t>
            </w:r>
          </w:p>
        </w:tc>
        <w:tc>
          <w:tcPr>
            <w:tcW w:w="850" w:type="dxa"/>
          </w:tcPr>
          <w:p w14:paraId="2F68DF9E" w14:textId="498925DC" w:rsidR="00CC06EC" w:rsidRDefault="00FF0DEF"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53</w:t>
            </w:r>
            <w:r w:rsidR="00CC06EC">
              <w:rPr>
                <w:rFonts w:ascii="Garamond" w:eastAsia="Garamond" w:hAnsi="Garamond" w:cs="Garamond"/>
                <w:sz w:val="20"/>
                <w:szCs w:val="20"/>
                <w:lang w:val="sv-SE"/>
              </w:rPr>
              <w:t>-5</w:t>
            </w:r>
            <w:r>
              <w:rPr>
                <w:rFonts w:ascii="Garamond" w:eastAsia="Garamond" w:hAnsi="Garamond" w:cs="Garamond"/>
                <w:sz w:val="20"/>
                <w:szCs w:val="20"/>
                <w:lang w:val="sv-SE"/>
              </w:rPr>
              <w:t>7</w:t>
            </w:r>
          </w:p>
        </w:tc>
        <w:tc>
          <w:tcPr>
            <w:tcW w:w="2127" w:type="dxa"/>
          </w:tcPr>
          <w:p w14:paraId="65577D59" w14:textId="7248C14A" w:rsidR="00CC06EC" w:rsidRDefault="00CC06EC" w:rsidP="00CC06EC">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Senior High School</w:t>
            </w:r>
          </w:p>
        </w:tc>
        <w:tc>
          <w:tcPr>
            <w:tcW w:w="2409" w:type="dxa"/>
          </w:tcPr>
          <w:p w14:paraId="6870AE13" w14:textId="0CAA38A2" w:rsidR="00CC06EC" w:rsidRDefault="00185390"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Al-Mukmin, </w:t>
            </w:r>
            <w:r w:rsidR="00CC06EC">
              <w:rPr>
                <w:rFonts w:ascii="Garamond" w:eastAsia="Garamond" w:hAnsi="Garamond" w:cs="Garamond"/>
                <w:sz w:val="20"/>
                <w:szCs w:val="20"/>
                <w:lang w:val="sv-SE"/>
              </w:rPr>
              <w:t>±15 Meter</w:t>
            </w:r>
          </w:p>
        </w:tc>
      </w:tr>
      <w:tr w:rsidR="00CC06EC" w:rsidRPr="00386D1F" w14:paraId="38DD51A1" w14:textId="77777777" w:rsidTr="00C90268">
        <w:tc>
          <w:tcPr>
            <w:tcW w:w="567" w:type="dxa"/>
          </w:tcPr>
          <w:p w14:paraId="3D6E5F47" w14:textId="3F7A0208"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8</w:t>
            </w:r>
          </w:p>
        </w:tc>
        <w:tc>
          <w:tcPr>
            <w:tcW w:w="1701" w:type="dxa"/>
          </w:tcPr>
          <w:p w14:paraId="4E49FDB6" w14:textId="4D3F5831" w:rsidR="00CC06EC" w:rsidRDefault="00CC06EC" w:rsidP="00CC06EC">
            <w:pPr>
              <w:jc w:val="both"/>
              <w:rPr>
                <w:rFonts w:ascii="Garamond" w:eastAsia="Garamond" w:hAnsi="Garamond" w:cs="Garamond"/>
                <w:sz w:val="20"/>
                <w:szCs w:val="20"/>
                <w:lang w:val="sv-SE"/>
              </w:rPr>
            </w:pPr>
            <w:r>
              <w:rPr>
                <w:rFonts w:ascii="Garamond" w:eastAsia="Garamond" w:hAnsi="Garamond" w:cs="Garamond"/>
                <w:sz w:val="20"/>
                <w:szCs w:val="20"/>
                <w:lang w:val="sv-SE"/>
              </w:rPr>
              <w:t>Elderly Muslim 08</w:t>
            </w:r>
          </w:p>
        </w:tc>
        <w:tc>
          <w:tcPr>
            <w:tcW w:w="851" w:type="dxa"/>
          </w:tcPr>
          <w:p w14:paraId="0796FD92" w14:textId="78D64DA3" w:rsidR="00CC06EC" w:rsidRDefault="00CC06EC" w:rsidP="00CC06EC">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M</w:t>
            </w:r>
          </w:p>
        </w:tc>
        <w:tc>
          <w:tcPr>
            <w:tcW w:w="850" w:type="dxa"/>
          </w:tcPr>
          <w:p w14:paraId="468A8455" w14:textId="090F02F8"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70-75</w:t>
            </w:r>
          </w:p>
        </w:tc>
        <w:tc>
          <w:tcPr>
            <w:tcW w:w="2127" w:type="dxa"/>
          </w:tcPr>
          <w:p w14:paraId="4B0396DB" w14:textId="4892782D"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Graduate</w:t>
            </w:r>
          </w:p>
        </w:tc>
        <w:tc>
          <w:tcPr>
            <w:tcW w:w="2409" w:type="dxa"/>
          </w:tcPr>
          <w:p w14:paraId="63BF3190" w14:textId="5B76BD1B" w:rsidR="00CC06EC" w:rsidRDefault="00185390"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Al-Mukmin, </w:t>
            </w:r>
            <w:r w:rsidR="00CC06EC">
              <w:rPr>
                <w:rFonts w:ascii="Garamond" w:eastAsia="Garamond" w:hAnsi="Garamond" w:cs="Garamond"/>
                <w:sz w:val="20"/>
                <w:szCs w:val="20"/>
                <w:lang w:val="sv-SE"/>
              </w:rPr>
              <w:t>±15 Meter</w:t>
            </w:r>
          </w:p>
        </w:tc>
      </w:tr>
      <w:tr w:rsidR="00CC06EC" w:rsidRPr="00386D1F" w14:paraId="043B47F9" w14:textId="77777777" w:rsidTr="00C90268">
        <w:tc>
          <w:tcPr>
            <w:tcW w:w="567" w:type="dxa"/>
          </w:tcPr>
          <w:p w14:paraId="3E377441" w14:textId="46ACC792"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9</w:t>
            </w:r>
          </w:p>
        </w:tc>
        <w:tc>
          <w:tcPr>
            <w:tcW w:w="1701" w:type="dxa"/>
          </w:tcPr>
          <w:p w14:paraId="7073C591" w14:textId="20898E81" w:rsidR="00CC06EC" w:rsidRDefault="00CC06EC" w:rsidP="00CC06EC">
            <w:pPr>
              <w:jc w:val="both"/>
              <w:rPr>
                <w:rFonts w:ascii="Garamond" w:eastAsia="Garamond" w:hAnsi="Garamond" w:cs="Garamond"/>
                <w:sz w:val="20"/>
                <w:szCs w:val="20"/>
                <w:lang w:val="sv-SE"/>
              </w:rPr>
            </w:pPr>
            <w:r>
              <w:rPr>
                <w:rFonts w:ascii="Garamond" w:eastAsia="Garamond" w:hAnsi="Garamond" w:cs="Garamond"/>
                <w:sz w:val="20"/>
                <w:szCs w:val="20"/>
                <w:lang w:val="sv-SE"/>
              </w:rPr>
              <w:t>Elderly Muslim 09</w:t>
            </w:r>
          </w:p>
        </w:tc>
        <w:tc>
          <w:tcPr>
            <w:tcW w:w="851" w:type="dxa"/>
          </w:tcPr>
          <w:p w14:paraId="246F315B" w14:textId="506D6CB6"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M</w:t>
            </w:r>
          </w:p>
        </w:tc>
        <w:tc>
          <w:tcPr>
            <w:tcW w:w="850" w:type="dxa"/>
          </w:tcPr>
          <w:p w14:paraId="58C53644" w14:textId="1FF18EA8"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70-75</w:t>
            </w:r>
          </w:p>
        </w:tc>
        <w:tc>
          <w:tcPr>
            <w:tcW w:w="2127" w:type="dxa"/>
          </w:tcPr>
          <w:p w14:paraId="20BFB01D" w14:textId="40573FF7" w:rsidR="00CC06EC" w:rsidRDefault="00CC06EC" w:rsidP="00CC06EC">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Senior High School</w:t>
            </w:r>
          </w:p>
        </w:tc>
        <w:tc>
          <w:tcPr>
            <w:tcW w:w="2409" w:type="dxa"/>
          </w:tcPr>
          <w:p w14:paraId="74D4011A" w14:textId="5567BD17" w:rsidR="00CC06EC" w:rsidRDefault="00185390"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Asy-Syifa, </w:t>
            </w:r>
            <w:r w:rsidR="00CC06EC">
              <w:rPr>
                <w:rFonts w:ascii="Garamond" w:eastAsia="Garamond" w:hAnsi="Garamond" w:cs="Garamond"/>
                <w:sz w:val="20"/>
                <w:szCs w:val="20"/>
                <w:lang w:val="sv-SE"/>
              </w:rPr>
              <w:t>±150 Meter</w:t>
            </w:r>
          </w:p>
        </w:tc>
      </w:tr>
      <w:tr w:rsidR="00CC06EC" w:rsidRPr="00386D1F" w14:paraId="2F5DF446" w14:textId="77777777" w:rsidTr="00C90268">
        <w:tc>
          <w:tcPr>
            <w:tcW w:w="567" w:type="dxa"/>
          </w:tcPr>
          <w:p w14:paraId="7261944A" w14:textId="22BF28A3"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10</w:t>
            </w:r>
          </w:p>
        </w:tc>
        <w:tc>
          <w:tcPr>
            <w:tcW w:w="1701" w:type="dxa"/>
          </w:tcPr>
          <w:p w14:paraId="2482C489" w14:textId="7A8DA143" w:rsidR="00CC06EC" w:rsidRDefault="00CC06EC" w:rsidP="00CC06EC">
            <w:pPr>
              <w:jc w:val="both"/>
              <w:rPr>
                <w:rFonts w:ascii="Garamond" w:eastAsia="Garamond" w:hAnsi="Garamond" w:cs="Garamond"/>
                <w:sz w:val="20"/>
                <w:szCs w:val="20"/>
                <w:lang w:val="sv-SE"/>
              </w:rPr>
            </w:pPr>
            <w:r>
              <w:rPr>
                <w:rFonts w:ascii="Garamond" w:eastAsia="Garamond" w:hAnsi="Garamond" w:cs="Garamond"/>
                <w:sz w:val="20"/>
                <w:szCs w:val="20"/>
                <w:lang w:val="sv-SE"/>
              </w:rPr>
              <w:t>Elderly Muslim 10</w:t>
            </w:r>
          </w:p>
        </w:tc>
        <w:tc>
          <w:tcPr>
            <w:tcW w:w="851" w:type="dxa"/>
          </w:tcPr>
          <w:p w14:paraId="47BA73BE" w14:textId="7CCBB277" w:rsidR="00CC06EC" w:rsidRDefault="00CC06EC" w:rsidP="00CC06EC">
            <w:pPr>
              <w:jc w:val="center"/>
              <w:rPr>
                <w:rFonts w:ascii="Garamond" w:eastAsia="Garamond" w:hAnsi="Garamond" w:cs="Garamond"/>
                <w:sz w:val="20"/>
                <w:szCs w:val="20"/>
                <w:lang w:val="sv-SE"/>
              </w:rPr>
            </w:pPr>
            <w:r w:rsidRPr="00386D1F">
              <w:rPr>
                <w:rFonts w:ascii="Garamond" w:eastAsia="Garamond" w:hAnsi="Garamond" w:cs="Garamond"/>
                <w:sz w:val="20"/>
                <w:szCs w:val="20"/>
                <w:lang w:val="sv-SE"/>
              </w:rPr>
              <w:t>M</w:t>
            </w:r>
          </w:p>
        </w:tc>
        <w:tc>
          <w:tcPr>
            <w:tcW w:w="850" w:type="dxa"/>
          </w:tcPr>
          <w:p w14:paraId="56F70DCC" w14:textId="173BB67F"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60-65</w:t>
            </w:r>
          </w:p>
        </w:tc>
        <w:tc>
          <w:tcPr>
            <w:tcW w:w="2127" w:type="dxa"/>
          </w:tcPr>
          <w:p w14:paraId="5ED939C7" w14:textId="1EEB6BC7"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Graduate</w:t>
            </w:r>
          </w:p>
        </w:tc>
        <w:tc>
          <w:tcPr>
            <w:tcW w:w="2409" w:type="dxa"/>
          </w:tcPr>
          <w:p w14:paraId="4E8A6BFF" w14:textId="7021DC4F" w:rsidR="00CC06EC" w:rsidRDefault="00185390"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Asy-Syifa, </w:t>
            </w:r>
            <w:r w:rsidR="00CC06EC">
              <w:rPr>
                <w:rFonts w:ascii="Garamond" w:eastAsia="Garamond" w:hAnsi="Garamond" w:cs="Garamond"/>
                <w:sz w:val="20"/>
                <w:szCs w:val="20"/>
                <w:lang w:val="sv-SE"/>
              </w:rPr>
              <w:t>±50 Meter</w:t>
            </w:r>
          </w:p>
        </w:tc>
      </w:tr>
      <w:tr w:rsidR="00CC06EC" w:rsidRPr="00386D1F" w14:paraId="0B7CC5E7" w14:textId="77777777" w:rsidTr="00C90268">
        <w:tc>
          <w:tcPr>
            <w:tcW w:w="567" w:type="dxa"/>
          </w:tcPr>
          <w:p w14:paraId="73D65F6A" w14:textId="3FA2AAB1"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11</w:t>
            </w:r>
          </w:p>
        </w:tc>
        <w:tc>
          <w:tcPr>
            <w:tcW w:w="1701" w:type="dxa"/>
          </w:tcPr>
          <w:p w14:paraId="02176989" w14:textId="69B996A9" w:rsidR="00CC06EC" w:rsidRDefault="00CC06EC" w:rsidP="00CC06EC">
            <w:pPr>
              <w:jc w:val="both"/>
              <w:rPr>
                <w:rFonts w:ascii="Garamond" w:eastAsia="Garamond" w:hAnsi="Garamond" w:cs="Garamond"/>
                <w:sz w:val="20"/>
                <w:szCs w:val="20"/>
                <w:lang w:val="sv-SE"/>
              </w:rPr>
            </w:pPr>
            <w:r>
              <w:rPr>
                <w:rFonts w:ascii="Garamond" w:eastAsia="Garamond" w:hAnsi="Garamond" w:cs="Garamond"/>
                <w:sz w:val="20"/>
                <w:szCs w:val="20"/>
                <w:lang w:val="sv-SE"/>
              </w:rPr>
              <w:t>Elderly Muslim 11</w:t>
            </w:r>
          </w:p>
        </w:tc>
        <w:tc>
          <w:tcPr>
            <w:tcW w:w="851" w:type="dxa"/>
          </w:tcPr>
          <w:p w14:paraId="57386258" w14:textId="2D8A6715"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M</w:t>
            </w:r>
          </w:p>
        </w:tc>
        <w:tc>
          <w:tcPr>
            <w:tcW w:w="850" w:type="dxa"/>
          </w:tcPr>
          <w:p w14:paraId="29219EF1" w14:textId="5276BF47"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5</w:t>
            </w:r>
            <w:r w:rsidR="00FF0DEF">
              <w:rPr>
                <w:rFonts w:ascii="Garamond" w:eastAsia="Garamond" w:hAnsi="Garamond" w:cs="Garamond"/>
                <w:sz w:val="20"/>
                <w:szCs w:val="20"/>
                <w:lang w:val="sv-SE"/>
              </w:rPr>
              <w:t>4</w:t>
            </w:r>
            <w:r>
              <w:rPr>
                <w:rFonts w:ascii="Garamond" w:eastAsia="Garamond" w:hAnsi="Garamond" w:cs="Garamond"/>
                <w:sz w:val="20"/>
                <w:szCs w:val="20"/>
                <w:lang w:val="sv-SE"/>
              </w:rPr>
              <w:t>-5</w:t>
            </w:r>
            <w:r w:rsidR="00FF0DEF">
              <w:rPr>
                <w:rFonts w:ascii="Garamond" w:eastAsia="Garamond" w:hAnsi="Garamond" w:cs="Garamond"/>
                <w:sz w:val="20"/>
                <w:szCs w:val="20"/>
                <w:lang w:val="sv-SE"/>
              </w:rPr>
              <w:t>6</w:t>
            </w:r>
          </w:p>
        </w:tc>
        <w:tc>
          <w:tcPr>
            <w:tcW w:w="2127" w:type="dxa"/>
          </w:tcPr>
          <w:p w14:paraId="09DB4D49" w14:textId="7E9CC186" w:rsidR="00CC06EC" w:rsidRDefault="00CC06EC"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Graduate</w:t>
            </w:r>
          </w:p>
        </w:tc>
        <w:tc>
          <w:tcPr>
            <w:tcW w:w="2409" w:type="dxa"/>
          </w:tcPr>
          <w:p w14:paraId="3D3092CE" w14:textId="06B22FD3" w:rsidR="00CC06EC" w:rsidRDefault="00185390" w:rsidP="00CC06EC">
            <w:pPr>
              <w:jc w:val="center"/>
              <w:rPr>
                <w:rFonts w:ascii="Garamond" w:eastAsia="Garamond" w:hAnsi="Garamond" w:cs="Garamond"/>
                <w:sz w:val="20"/>
                <w:szCs w:val="20"/>
                <w:lang w:val="sv-SE"/>
              </w:rPr>
            </w:pPr>
            <w:r>
              <w:rPr>
                <w:rFonts w:ascii="Garamond" w:eastAsia="Garamond" w:hAnsi="Garamond" w:cs="Garamond"/>
                <w:sz w:val="20"/>
                <w:szCs w:val="20"/>
                <w:lang w:val="sv-SE"/>
              </w:rPr>
              <w:t xml:space="preserve">Asy-Syifa, </w:t>
            </w:r>
            <w:r w:rsidR="00CC06EC">
              <w:rPr>
                <w:rFonts w:ascii="Garamond" w:eastAsia="Garamond" w:hAnsi="Garamond" w:cs="Garamond"/>
                <w:sz w:val="20"/>
                <w:szCs w:val="20"/>
                <w:lang w:val="sv-SE"/>
              </w:rPr>
              <w:t>±200 Meter</w:t>
            </w:r>
          </w:p>
        </w:tc>
      </w:tr>
    </w:tbl>
    <w:p w14:paraId="272E167A" w14:textId="77777777" w:rsidR="008E1FDA" w:rsidRPr="006922A3" w:rsidRDefault="008E1FDA" w:rsidP="006922A3">
      <w:pPr>
        <w:spacing w:line="360" w:lineRule="auto"/>
        <w:ind w:firstLine="567"/>
        <w:jc w:val="both"/>
        <w:rPr>
          <w:rFonts w:ascii="Garamond" w:eastAsia="Garamond" w:hAnsi="Garamond" w:cs="Garamond"/>
          <w:sz w:val="12"/>
          <w:szCs w:val="12"/>
          <w:lang w:val="sv-SE"/>
        </w:rPr>
      </w:pPr>
    </w:p>
    <w:p w14:paraId="7A509326" w14:textId="11B84809" w:rsidR="00C90268" w:rsidRPr="00C90268" w:rsidRDefault="00C90268" w:rsidP="00C90268">
      <w:pPr>
        <w:spacing w:line="360" w:lineRule="auto"/>
        <w:ind w:firstLine="567"/>
        <w:jc w:val="both"/>
        <w:rPr>
          <w:rFonts w:ascii="Garamond" w:eastAsia="Garamond" w:hAnsi="Garamond" w:cs="Garamond"/>
          <w:bCs/>
          <w:lang w:val="nb-NO"/>
        </w:rPr>
      </w:pPr>
      <w:commentRangeStart w:id="2"/>
      <w:r w:rsidRPr="00C90268">
        <w:rPr>
          <w:rFonts w:ascii="Garamond" w:eastAsia="Garamond" w:hAnsi="Garamond" w:cs="Garamond"/>
          <w:lang w:val="nb-NO"/>
        </w:rPr>
        <w:t xml:space="preserve">We defined the characteristics of the informants as follows: 1) male or female informants aged over 54, based on WHO standards </w:t>
      </w:r>
      <w:r>
        <w:rPr>
          <w:rFonts w:ascii="Garamond" w:eastAsia="Garamond" w:hAnsi="Garamond" w:cs="Garamond"/>
          <w:lang w:val="sv-SE"/>
        </w:rPr>
        <w:fldChar w:fldCharType="begin" w:fldLock="1"/>
      </w:r>
      <w:r>
        <w:rPr>
          <w:rFonts w:ascii="Garamond" w:eastAsia="Garamond" w:hAnsi="Garamond" w:cs="Garamond"/>
          <w:lang w:val="sv-SE"/>
        </w:rPr>
        <w:instrText>ADDIN CSL_CITATION { "citationItems" : [ { "id" : "ITEM-1", "itemData" : { "author" : [ { "dropping-particle" : "", "family" : "Azizah", "given" : "Lilik Ma'rifatul", "non-dropping-particle" : "", "parse-names" : false, "suffix" : "" } ], "edition" : "1", "id" : "ITEM-1", "issued" : { "date-parts" : [ [ "2011" ] ] }, "publisher" : "Graha Ilmu", "publisher-place" : "Jogyakarta", "title" : "Keperawatan Lanjut Usia", "type" : "book" }, "uris" : [ "http://www.mendeley.com/documents/?uuid=ad061631-0f93-4f99-a799-c3c748d9cfc7" ] } ], "mendeley" : { "formattedCitation" : "(Azizah, 2011)", "plainTextFormattedCitation" : "(Azizah, 2011)", "previouslyFormattedCitation" : "(Azizah, 2011)" }, "properties" : { "noteIndex" : 0 }, "schema" : "https://github.com/citation-style-language/schema/raw/master/csl-citation.json" }</w:instrText>
      </w:r>
      <w:r>
        <w:rPr>
          <w:rFonts w:ascii="Garamond" w:eastAsia="Garamond" w:hAnsi="Garamond" w:cs="Garamond"/>
          <w:lang w:val="sv-SE"/>
        </w:rPr>
        <w:fldChar w:fldCharType="separate"/>
      </w:r>
      <w:r w:rsidRPr="00FF0DEF">
        <w:rPr>
          <w:rFonts w:ascii="Garamond" w:eastAsia="Garamond" w:hAnsi="Garamond" w:cs="Garamond"/>
          <w:noProof/>
          <w:lang w:val="sv-SE"/>
        </w:rPr>
        <w:t>(Azizah, 2011)</w:t>
      </w:r>
      <w:r>
        <w:rPr>
          <w:rFonts w:ascii="Garamond" w:eastAsia="Garamond" w:hAnsi="Garamond" w:cs="Garamond"/>
          <w:lang w:val="sv-SE"/>
        </w:rPr>
        <w:fldChar w:fldCharType="end"/>
      </w:r>
      <w:r w:rsidRPr="00C90268">
        <w:rPr>
          <w:rFonts w:ascii="Garamond" w:eastAsia="Garamond" w:hAnsi="Garamond" w:cs="Garamond"/>
          <w:lang w:val="nb-NO"/>
        </w:rPr>
        <w:t xml:space="preserve">; 2) regular worshippers of Al-Mukmin and Asy-Syifa mosques; 3) experienced in worshipping at the mosque before and during Covid-19; 4) informants were able to communicate well and understand the researcher's questions. Table 1 shows the data of 11 informants from the two mosques studied. A semi-structured interview procedure was used by preparing 5 (five) general </w:t>
      </w:r>
      <w:r w:rsidRPr="00C90268">
        <w:rPr>
          <w:rFonts w:ascii="Garamond" w:eastAsia="Garamond" w:hAnsi="Garamond" w:cs="Garamond"/>
          <w:lang w:val="nb-NO"/>
        </w:rPr>
        <w:lastRenderedPageBreak/>
        <w:t>questions. The researcher explored the elders' knowledge of restrictions on worship, government regulations, clerical guidance, conflicts between Islamic rules, and the basis for the elders' decision to worship outside the home during Covid-19. All data was recorded using a smartphone and transferred to a laptop for data analysis.</w:t>
      </w:r>
      <w:commentRangeEnd w:id="2"/>
      <w:r w:rsidR="004209CA">
        <w:rPr>
          <w:rStyle w:val="CommentReference"/>
        </w:rPr>
        <w:commentReference w:id="2"/>
      </w:r>
    </w:p>
    <w:p w14:paraId="6F4607E9" w14:textId="1D92D39C" w:rsidR="00C90268" w:rsidRPr="00A42AF4" w:rsidRDefault="00C90268" w:rsidP="00C90268">
      <w:pPr>
        <w:spacing w:line="360" w:lineRule="auto"/>
        <w:ind w:firstLine="567"/>
        <w:jc w:val="both"/>
        <w:rPr>
          <w:rFonts w:ascii="Garamond" w:eastAsia="Garamond" w:hAnsi="Garamond" w:cs="Garamond"/>
          <w:lang w:val="nb-NO"/>
        </w:rPr>
      </w:pPr>
      <w:r w:rsidRPr="00C90268">
        <w:rPr>
          <w:rFonts w:ascii="Garamond" w:eastAsia="Garamond" w:hAnsi="Garamond" w:cs="Garamond"/>
          <w:lang w:val="nb-NO"/>
        </w:rPr>
        <w:t xml:space="preserve">The standards of Creswell </w:t>
      </w:r>
      <w:r>
        <w:rPr>
          <w:rFonts w:ascii="Garamond" w:eastAsia="Garamond" w:hAnsi="Garamond" w:cs="Garamond"/>
          <w:bCs/>
          <w:lang w:val="sv-SE"/>
        </w:rPr>
        <w:fldChar w:fldCharType="begin" w:fldLock="1"/>
      </w:r>
      <w:r w:rsidRPr="00A42AF4">
        <w:rPr>
          <w:rFonts w:ascii="Garamond" w:eastAsia="Garamond" w:hAnsi="Garamond" w:cs="Garamond"/>
          <w:bCs/>
          <w:lang w:val="nb-NO"/>
        </w:rPr>
        <w:instrText>ADDIN CSL_CITATION { "citationItems" : [ { "id" : "ITEM-1", "itemData" : { "PMID" : "23020267", "abstract" : "In this Third Edition of his bestselling text John W. Creswell explores the philosophical underpinnings, history, and key elements of each of five qualitative inquiry traditions: narrative research, phenomenology, grounded theory, ethnography, and case study. In his signature accessible writing style, the author relates research designs to each of the traditions of inquiry. He compares theoretical frameworks, ways to employ standards of quality, and strategies for writing introductions to studies, collecting data, analyzing data, writing a narrative, and verifying results.", "author" : [ { "dropping-particle" : "", "family" : "Creswell", "given" : "Jhon. W", "non-dropping-particle" : "", "parse-names" : false, "suffix" : "" } ], "container-title" : "Research design", "id" : "ITEM-1", "issued" : { "date-parts" : [ [ "2013" ] ] }, "title" : "Qualitative, quantitative, and mixed methods approaches", "type" : "chapter" }, "suppress-author" : 1, "uris" : [ "http://www.mendeley.com/documents/?uuid=b7b04edd-791b-4631-a786-16e3eebe8b9c" ] } ], "mendeley" : { "formattedCitation" : "(2013)", "plainTextFormattedCitation" : "(2013)", "previouslyFormattedCitation" : "(2013)" }, "properties" : { "noteIndex" : 0 }, "schema" : "https://github.com/citation-style-language/schema/raw/master/csl-citation.json" }</w:instrText>
      </w:r>
      <w:r>
        <w:rPr>
          <w:rFonts w:ascii="Garamond" w:eastAsia="Garamond" w:hAnsi="Garamond" w:cs="Garamond"/>
          <w:bCs/>
          <w:lang w:val="sv-SE"/>
        </w:rPr>
        <w:fldChar w:fldCharType="separate"/>
      </w:r>
      <w:r w:rsidRPr="00A42AF4">
        <w:rPr>
          <w:rFonts w:ascii="Garamond" w:eastAsia="Garamond" w:hAnsi="Garamond" w:cs="Garamond"/>
          <w:bCs/>
          <w:noProof/>
          <w:lang w:val="nb-NO"/>
        </w:rPr>
        <w:t>(2013)</w:t>
      </w:r>
      <w:r>
        <w:rPr>
          <w:rFonts w:ascii="Garamond" w:eastAsia="Garamond" w:hAnsi="Garamond" w:cs="Garamond"/>
          <w:bCs/>
          <w:lang w:val="sv-SE"/>
        </w:rPr>
        <w:fldChar w:fldCharType="end"/>
      </w:r>
      <w:r w:rsidRPr="00C90268">
        <w:rPr>
          <w:rFonts w:ascii="Garamond" w:eastAsia="Garamond" w:hAnsi="Garamond" w:cs="Garamond"/>
          <w:lang w:val="nb-NO"/>
        </w:rPr>
        <w:t xml:space="preserve"> and Miles, Huberman and Saldana </w:t>
      </w:r>
      <w:r>
        <w:rPr>
          <w:rFonts w:ascii="Garamond" w:eastAsia="Garamond" w:hAnsi="Garamond" w:cs="Garamond"/>
          <w:bCs/>
          <w:lang w:val="sv-SE"/>
        </w:rPr>
        <w:fldChar w:fldCharType="begin" w:fldLock="1"/>
      </w:r>
      <w:r w:rsidRPr="00A42AF4">
        <w:rPr>
          <w:rFonts w:ascii="Garamond" w:eastAsia="Garamond" w:hAnsi="Garamond" w:cs="Garamond"/>
          <w:bCs/>
          <w:lang w:val="nb-NO"/>
        </w:rPr>
        <w:instrText>ADDIN CSL_CITATION { "citationItems" : [ { "id" : "ITEM-1", "itemData" : { "author" : [ { "dropping-particle" : "", "family" : "Miles", "given" : "MB", "non-dropping-particle" : "", "parse-names" : false, "suffix" : "" }, { "dropping-particle" : "", "family" : "Huberman", "given" : "A. Michael", "non-dropping-particle" : "", "parse-names" : false, "suffix" : "" }, { "dropping-particle" : "", "family" : "Salda\u00f1a", "given" : "Johnny", "non-dropping-particle" : "", "parse-names" : false, "suffix" : "" } ], "id" : "ITEM-1", "issued" : { "date-parts" : [ [ "2018" ] ] }, "publisher" : "Sage", "publisher-place" : "London", "title" : "Qualitative Data Analysis: A Methods Sourcebook", "type" : "book" }, "suppress-author" : 1, "uris" : [ "http://www.mendeley.com/documents/?uuid=ab7735d2-8557-457f-abd0-d308feee1736" ] } ], "mendeley" : { "formattedCitation" : "(2018)", "plainTextFormattedCitation" : "(2018)", "previouslyFormattedCitation" : "(2018)" }, "properties" : { "noteIndex" : 0 }, "schema" : "https://github.com/citation-style-language/schema/raw/master/csl-citation.json" }</w:instrText>
      </w:r>
      <w:r>
        <w:rPr>
          <w:rFonts w:ascii="Garamond" w:eastAsia="Garamond" w:hAnsi="Garamond" w:cs="Garamond"/>
          <w:bCs/>
          <w:lang w:val="sv-SE"/>
        </w:rPr>
        <w:fldChar w:fldCharType="separate"/>
      </w:r>
      <w:r w:rsidRPr="00A42AF4">
        <w:rPr>
          <w:rFonts w:ascii="Garamond" w:eastAsia="Garamond" w:hAnsi="Garamond" w:cs="Garamond"/>
          <w:bCs/>
          <w:noProof/>
          <w:lang w:val="nb-NO"/>
        </w:rPr>
        <w:t>(2018)</w:t>
      </w:r>
      <w:r>
        <w:rPr>
          <w:rFonts w:ascii="Garamond" w:eastAsia="Garamond" w:hAnsi="Garamond" w:cs="Garamond"/>
          <w:bCs/>
          <w:lang w:val="sv-SE"/>
        </w:rPr>
        <w:fldChar w:fldCharType="end"/>
      </w:r>
      <w:r w:rsidRPr="00C90268">
        <w:rPr>
          <w:rFonts w:ascii="Garamond" w:eastAsia="Garamond" w:hAnsi="Garamond" w:cs="Garamond"/>
          <w:lang w:val="nb-NO"/>
        </w:rPr>
        <w:t xml:space="preserve"> were used to process all interview data obtained. The presentation of the findings in the subchapters follows the main questions set from the beginning. While the results of the categorisation of the cognitive responses are presented in tabular form, all data are presented according to the sub-chapter requirements. This allows the researcher to explain the findings, identify key findings, draw conclusions and policy implications of the findings.</w:t>
      </w:r>
    </w:p>
    <w:p w14:paraId="4F046724" w14:textId="77777777" w:rsidR="002853EF" w:rsidRDefault="002853EF" w:rsidP="002853EF">
      <w:pPr>
        <w:spacing w:line="360" w:lineRule="auto"/>
        <w:jc w:val="both"/>
        <w:rPr>
          <w:rFonts w:ascii="Garamond" w:eastAsia="Garamond" w:hAnsi="Garamond" w:cs="Garamond"/>
          <w:b/>
          <w:color w:val="000000"/>
          <w:lang w:val="sv-SE"/>
        </w:rPr>
      </w:pPr>
    </w:p>
    <w:p w14:paraId="40AF7E02" w14:textId="56AD3CDA" w:rsidR="002853EF" w:rsidRPr="002853EF" w:rsidRDefault="002853EF" w:rsidP="002853EF">
      <w:pPr>
        <w:spacing w:line="360" w:lineRule="auto"/>
        <w:jc w:val="both"/>
        <w:rPr>
          <w:rFonts w:ascii="Garamond" w:eastAsia="Garamond" w:hAnsi="Garamond" w:cs="Garamond"/>
          <w:b/>
          <w:bCs/>
          <w:lang w:val="sv-SE"/>
        </w:rPr>
      </w:pPr>
      <w:r w:rsidRPr="002853EF">
        <w:rPr>
          <w:rFonts w:ascii="Garamond" w:eastAsia="Garamond" w:hAnsi="Garamond" w:cs="Garamond"/>
          <w:b/>
          <w:bCs/>
          <w:lang w:val="sv-SE"/>
        </w:rPr>
        <w:t>RESULTS AND DISCUSSION</w:t>
      </w:r>
    </w:p>
    <w:p w14:paraId="2781E201" w14:textId="02CB9203" w:rsidR="002853EF" w:rsidRPr="002853EF" w:rsidRDefault="002853EF" w:rsidP="002853EF">
      <w:pPr>
        <w:spacing w:line="360" w:lineRule="auto"/>
        <w:jc w:val="both"/>
        <w:rPr>
          <w:rFonts w:ascii="Garamond" w:eastAsia="Garamond" w:hAnsi="Garamond" w:cs="Garamond"/>
          <w:b/>
          <w:bCs/>
          <w:lang w:val="sv-SE"/>
        </w:rPr>
      </w:pPr>
      <w:r w:rsidRPr="002853EF">
        <w:rPr>
          <w:rFonts w:ascii="Garamond" w:eastAsia="Garamond" w:hAnsi="Garamond" w:cs="Garamond"/>
          <w:b/>
          <w:bCs/>
          <w:lang w:val="sv-SE"/>
        </w:rPr>
        <w:t xml:space="preserve">Fatwa and </w:t>
      </w:r>
      <w:r w:rsidRPr="002853EF">
        <w:rPr>
          <w:rFonts w:ascii="Garamond" w:eastAsia="Garamond" w:hAnsi="Garamond" w:cs="Garamond"/>
          <w:b/>
          <w:bCs/>
          <w:lang w:val="sv-SE"/>
        </w:rPr>
        <w:t>P</w:t>
      </w:r>
      <w:r w:rsidRPr="002853EF">
        <w:rPr>
          <w:rFonts w:ascii="Garamond" w:eastAsia="Garamond" w:hAnsi="Garamond" w:cs="Garamond"/>
          <w:b/>
          <w:bCs/>
          <w:lang w:val="sv-SE"/>
        </w:rPr>
        <w:t xml:space="preserve">olicy on </w:t>
      </w:r>
      <w:r w:rsidRPr="002853EF">
        <w:rPr>
          <w:rFonts w:ascii="Garamond" w:eastAsia="Garamond" w:hAnsi="Garamond" w:cs="Garamond"/>
          <w:b/>
          <w:bCs/>
          <w:lang w:val="sv-SE"/>
        </w:rPr>
        <w:t>R</w:t>
      </w:r>
      <w:r w:rsidRPr="002853EF">
        <w:rPr>
          <w:rFonts w:ascii="Garamond" w:eastAsia="Garamond" w:hAnsi="Garamond" w:cs="Garamond"/>
          <w:b/>
          <w:bCs/>
          <w:lang w:val="sv-SE"/>
        </w:rPr>
        <w:t xml:space="preserve">estricting </w:t>
      </w:r>
      <w:r w:rsidRPr="002853EF">
        <w:rPr>
          <w:rFonts w:ascii="Garamond" w:eastAsia="Garamond" w:hAnsi="Garamond" w:cs="Garamond"/>
          <w:b/>
          <w:bCs/>
          <w:lang w:val="sv-SE"/>
        </w:rPr>
        <w:t>W</w:t>
      </w:r>
      <w:r w:rsidRPr="002853EF">
        <w:rPr>
          <w:rFonts w:ascii="Garamond" w:eastAsia="Garamond" w:hAnsi="Garamond" w:cs="Garamond"/>
          <w:b/>
          <w:bCs/>
          <w:lang w:val="sv-SE"/>
        </w:rPr>
        <w:t>orship</w:t>
      </w:r>
    </w:p>
    <w:p w14:paraId="0EEB84B9" w14:textId="77777777" w:rsidR="00701854" w:rsidRDefault="002853EF" w:rsidP="00701854">
      <w:pPr>
        <w:spacing w:line="360" w:lineRule="auto"/>
        <w:ind w:firstLine="567"/>
        <w:jc w:val="both"/>
        <w:rPr>
          <w:rFonts w:ascii="Garamond" w:eastAsia="Garamond" w:hAnsi="Garamond" w:cs="Garamond"/>
          <w:lang w:val="sv-SE"/>
        </w:rPr>
      </w:pPr>
      <w:r w:rsidRPr="002853EF">
        <w:rPr>
          <w:rFonts w:ascii="Garamond" w:eastAsia="Garamond" w:hAnsi="Garamond" w:cs="Garamond"/>
          <w:lang w:val="sv-SE"/>
        </w:rPr>
        <w:t xml:space="preserve">Since the declaration of Covid-19 as a national disaster under Presidential Decree of the Republic of Indonesia No. 12 of 2020 on the determination of the spread of Covid-19 as a non-natural disaster on 13 April 2020, various policies have been issued to religious institutions at different levels of government and across sectors. This sub-section focuses on the discussion of fatwas and policies related to Islamic worship activities during Covid-19. The first is from the appeals issued by MUI (Majelis Ulama Indonesia) as the representative body of Muslims in Indonesia. Nisa, Marni and Lisnawati </w:t>
      </w:r>
      <w:r>
        <w:rPr>
          <w:rFonts w:ascii="Garamond" w:eastAsia="Garamond" w:hAnsi="Garamond" w:cs="Garamond"/>
          <w:lang w:val="sv-SE"/>
        </w:rPr>
        <w:fldChar w:fldCharType="begin" w:fldLock="1"/>
      </w:r>
      <w:r>
        <w:rPr>
          <w:rFonts w:ascii="Garamond" w:eastAsia="Garamond" w:hAnsi="Garamond" w:cs="Garamond"/>
          <w:lang w:val="sv-SE"/>
        </w:rPr>
        <w:instrText>ADDIN CSL_CITATION { "citationItems" : [ { "id" : "ITEM-1", "itemData" : { "author" : [ { "dropping-particle" : "", "family" : "Nisa", "given" : "Jannatin", "non-dropping-particle" : "", "parse-names" : false, "suffix" : "" }, { "dropping-particle" : "", "family" : "Marni", "given" : "", "non-dropping-particle" : "", "parse-names" : false, "suffix" : "" }, { "dropping-particle" : "", "family" : "Lisnawati", "given" : "", "non-dropping-particle" : "", "parse-names" : false, "suffix" : "" } ], "container-title" : "Syarah: Jurnal Hukum Islam &amp; Ekonomi", "id" : "ITEM-1", "issue" : "1", "issued" : { "date-parts" : [ [ "2022" ] ] }, "page" : "37-54", "title" : "Fatwa Majelis Ulama Indonesia (MUI) Pada Masa Pandemi Covid-19 dalam Perspektif Ketatanegaraan", "type" : "article-journal", "volume" : "11" }, "suppress-author" : 1, "uris" : [ "http://www.mendeley.com/documents/?uuid=8d5bb264-4f4e-4690-816a-3c08bd9c4a53" ] } ], "mendeley" : { "formattedCitation" : "(2022)", "plainTextFormattedCitation" : "(2022)", "previouslyFormattedCitation" : "(2022)" }, "properties" : { "noteIndex" : 0 }, "schema" : "https://github.com/citation-style-language/schema/raw/master/csl-citation.json" }</w:instrText>
      </w:r>
      <w:r>
        <w:rPr>
          <w:rFonts w:ascii="Garamond" w:eastAsia="Garamond" w:hAnsi="Garamond" w:cs="Garamond"/>
          <w:lang w:val="sv-SE"/>
        </w:rPr>
        <w:fldChar w:fldCharType="separate"/>
      </w:r>
      <w:r w:rsidRPr="009C44B0">
        <w:rPr>
          <w:rFonts w:ascii="Garamond" w:eastAsia="Garamond" w:hAnsi="Garamond" w:cs="Garamond"/>
          <w:noProof/>
          <w:lang w:val="sv-SE"/>
        </w:rPr>
        <w:t>(2022)</w:t>
      </w:r>
      <w:r>
        <w:rPr>
          <w:rFonts w:ascii="Garamond" w:eastAsia="Garamond" w:hAnsi="Garamond" w:cs="Garamond"/>
          <w:lang w:val="sv-SE"/>
        </w:rPr>
        <w:fldChar w:fldCharType="end"/>
      </w:r>
      <w:r w:rsidRPr="002853EF">
        <w:rPr>
          <w:rFonts w:ascii="Garamond" w:eastAsia="Garamond" w:hAnsi="Garamond" w:cs="Garamond"/>
          <w:lang w:val="sv-SE"/>
        </w:rPr>
        <w:t xml:space="preserve"> stated that there were at least 12 fatwas issued by MUI during the Covid-19 pandemic. Researchers tracing back on the website </w:t>
      </w:r>
      <w:hyperlink r:id="rId13" w:history="1">
        <w:r w:rsidRPr="00C462BA">
          <w:rPr>
            <w:rStyle w:val="Hyperlink"/>
            <w:rFonts w:ascii="Garamond" w:eastAsia="Garamond" w:hAnsi="Garamond" w:cs="Garamond"/>
            <w:lang w:val="sv-SE"/>
          </w:rPr>
          <w:t>https://fatwamui.com/data-fatwa</w:t>
        </w:r>
      </w:hyperlink>
      <w:r>
        <w:rPr>
          <w:rFonts w:ascii="Garamond" w:eastAsia="Garamond" w:hAnsi="Garamond" w:cs="Garamond"/>
          <w:lang w:val="sv-SE"/>
        </w:rPr>
        <w:t xml:space="preserve"> </w:t>
      </w:r>
      <w:r w:rsidRPr="002853EF">
        <w:rPr>
          <w:rFonts w:ascii="Garamond" w:eastAsia="Garamond" w:hAnsi="Garamond" w:cs="Garamond"/>
          <w:lang w:val="sv-SE"/>
        </w:rPr>
        <w:t>found 21 fatwas related to Covid-19, including 1) 13 fatwas on vaccination; 2) 6 fatwas on worship; 3) 2 fatwas on donations.</w:t>
      </w:r>
    </w:p>
    <w:p w14:paraId="69DEE322" w14:textId="6799B617" w:rsidR="00701854" w:rsidRPr="00701854" w:rsidRDefault="00701854" w:rsidP="00701854">
      <w:pPr>
        <w:spacing w:line="360" w:lineRule="auto"/>
        <w:ind w:firstLine="567"/>
        <w:jc w:val="both"/>
        <w:rPr>
          <w:rFonts w:ascii="Garamond" w:eastAsia="Garamond" w:hAnsi="Garamond" w:cs="Garamond"/>
          <w:lang w:val="sv-SE"/>
        </w:rPr>
      </w:pPr>
      <w:r w:rsidRPr="00701854">
        <w:rPr>
          <w:rFonts w:ascii="Garamond" w:eastAsia="Garamond" w:hAnsi="Garamond" w:cs="Garamond"/>
          <w:lang w:val="sv-SE"/>
        </w:rPr>
        <w:t>The first fatwa on worship that came out was the MUI Fatwa No. 14 of 2020 on the implementation of worship in the situation of the outbreak of Covid-19 on the 16th of March 2020. In this fatwa, there are clear restrictions on the situations and conditions under which worship is permissible outside the home. This fatwa has four main points in which two conditions are presented:</w:t>
      </w:r>
    </w:p>
    <w:p w14:paraId="43508978" w14:textId="11E48841" w:rsidR="00701854" w:rsidRDefault="00701854" w:rsidP="00701854">
      <w:pPr>
        <w:pStyle w:val="ListParagraph"/>
        <w:numPr>
          <w:ilvl w:val="0"/>
          <w:numId w:val="9"/>
        </w:numPr>
        <w:spacing w:line="360" w:lineRule="auto"/>
        <w:ind w:left="567" w:hanging="283"/>
        <w:jc w:val="both"/>
        <w:rPr>
          <w:rFonts w:ascii="Garamond" w:eastAsia="Garamond" w:hAnsi="Garamond" w:cs="Garamond"/>
          <w:lang w:val="sv-SE"/>
        </w:rPr>
      </w:pPr>
      <w:r w:rsidRPr="00701854">
        <w:rPr>
          <w:rFonts w:ascii="Garamond" w:eastAsia="Garamond" w:hAnsi="Garamond" w:cs="Garamond"/>
          <w:lang w:val="sv-SE"/>
        </w:rPr>
        <w:t xml:space="preserve">In conditions where the spread of Covid-19 is under control (green zone), Muslims are obliged to perform Friday prayers and may perform worship activities that involve a large number of people, such as the congregational five daily prayers /rawatib, tarawih and Eid prayers in mosques or other public places, as well as participation in public recitations and taklim gatherings, while protecting themselves from being </w:t>
      </w:r>
      <w:r w:rsidRPr="00701854">
        <w:rPr>
          <w:rFonts w:ascii="Garamond" w:eastAsia="Garamond" w:hAnsi="Garamond" w:cs="Garamond"/>
          <w:lang w:val="sv-SE"/>
        </w:rPr>
        <w:lastRenderedPageBreak/>
        <w:t>exposed to Covid-19</w:t>
      </w:r>
      <w:r>
        <w:rPr>
          <w:rFonts w:ascii="Garamond" w:eastAsia="Garamond" w:hAnsi="Garamond" w:cs="Garamond"/>
          <w:lang w:val="sv-SE"/>
        </w:rPr>
        <w:t>.</w:t>
      </w:r>
    </w:p>
    <w:p w14:paraId="6EAE2506" w14:textId="5877B6A7" w:rsidR="00701854" w:rsidRDefault="00701854" w:rsidP="00701854">
      <w:pPr>
        <w:pStyle w:val="ListParagraph"/>
        <w:numPr>
          <w:ilvl w:val="0"/>
          <w:numId w:val="9"/>
        </w:numPr>
        <w:spacing w:line="360" w:lineRule="auto"/>
        <w:ind w:left="567" w:hanging="283"/>
        <w:jc w:val="both"/>
        <w:rPr>
          <w:rFonts w:ascii="Garamond" w:eastAsia="Garamond" w:hAnsi="Garamond" w:cs="Garamond"/>
          <w:lang w:val="sv-SE"/>
        </w:rPr>
      </w:pPr>
      <w:r w:rsidRPr="00701854">
        <w:rPr>
          <w:rFonts w:ascii="Garamond" w:eastAsia="Garamond" w:hAnsi="Garamond" w:cs="Garamond"/>
          <w:lang w:val="sv-SE"/>
        </w:rPr>
        <w:t xml:space="preserve">Muslims must not perform Friday prayers in an area where the uncontrolled spread of Covid-19 (red zone) is life-threatening. Until the situation becomes normal again, they must replace it with the Zuhr prayer in their respective places. Similarly, it is not allowed to hold worship activities that involve large numbers of people and are considered a medium for spreading Covid-19, such as congregational five daily prayers / </w:t>
      </w:r>
      <w:r w:rsidRPr="00701854">
        <w:rPr>
          <w:rFonts w:ascii="Garamond" w:eastAsia="Garamond" w:hAnsi="Garamond" w:cs="Garamond"/>
          <w:i/>
          <w:iCs/>
          <w:lang w:val="sv-SE"/>
        </w:rPr>
        <w:t>rawatib</w:t>
      </w:r>
      <w:r w:rsidRPr="00701854">
        <w:rPr>
          <w:rFonts w:ascii="Garamond" w:eastAsia="Garamond" w:hAnsi="Garamond" w:cs="Garamond"/>
          <w:lang w:val="sv-SE"/>
        </w:rPr>
        <w:t xml:space="preserve">, </w:t>
      </w:r>
      <w:r w:rsidRPr="00701854">
        <w:rPr>
          <w:rFonts w:ascii="Garamond" w:eastAsia="Garamond" w:hAnsi="Garamond" w:cs="Garamond"/>
          <w:i/>
          <w:iCs/>
          <w:lang w:val="sv-SE"/>
        </w:rPr>
        <w:t>tarawih</w:t>
      </w:r>
      <w:r w:rsidRPr="00701854">
        <w:rPr>
          <w:rFonts w:ascii="Garamond" w:eastAsia="Garamond" w:hAnsi="Garamond" w:cs="Garamond"/>
          <w:lang w:val="sv-SE"/>
        </w:rPr>
        <w:t xml:space="preserve"> and </w:t>
      </w:r>
      <w:r w:rsidRPr="00701854">
        <w:rPr>
          <w:rFonts w:ascii="Garamond" w:eastAsia="Garamond" w:hAnsi="Garamond" w:cs="Garamond"/>
          <w:i/>
          <w:iCs/>
          <w:lang w:val="sv-SE"/>
        </w:rPr>
        <w:t>e</w:t>
      </w:r>
      <w:r w:rsidRPr="00701854">
        <w:rPr>
          <w:rFonts w:ascii="Garamond" w:eastAsia="Garamond" w:hAnsi="Garamond" w:cs="Garamond"/>
          <w:i/>
          <w:iCs/>
          <w:lang w:val="sv-SE"/>
        </w:rPr>
        <w:t>id</w:t>
      </w:r>
      <w:r w:rsidRPr="00701854">
        <w:rPr>
          <w:rFonts w:ascii="Garamond" w:eastAsia="Garamond" w:hAnsi="Garamond" w:cs="Garamond"/>
          <w:lang w:val="sv-SE"/>
        </w:rPr>
        <w:t xml:space="preserve"> prayers in mosques or other public places, as well as attending public recitations and taklim gatherings.</w:t>
      </w:r>
    </w:p>
    <w:p w14:paraId="52724B10" w14:textId="75440248" w:rsidR="000D61B8" w:rsidRPr="000D61B8" w:rsidRDefault="00701854" w:rsidP="00F45BD5">
      <w:pPr>
        <w:spacing w:line="360" w:lineRule="auto"/>
        <w:ind w:firstLine="567"/>
        <w:jc w:val="both"/>
        <w:rPr>
          <w:rFonts w:ascii="Garamond" w:eastAsia="Garamond" w:hAnsi="Garamond" w:cs="Garamond"/>
          <w:lang w:val="sv-SE"/>
        </w:rPr>
      </w:pPr>
      <w:r w:rsidRPr="00701854">
        <w:rPr>
          <w:rFonts w:ascii="Garamond" w:eastAsia="Garamond" w:hAnsi="Garamond" w:cs="Garamond"/>
          <w:lang w:val="sv-SE"/>
        </w:rPr>
        <w:t xml:space="preserve">The fatwa issued by the MUI is in line with the government's policy during Covid-19. Two policies that have affected restrictions on Muslim worship are Government Regulation of the Republic of Indonesia No. 21 of 2020 on PSBB and Instruction of the Minister of Home Affairs (Inmendagri) No. 24 of 2022 (Java) and No. 25 of 2022 (Outside Java) on the Pemberlakuan </w:t>
      </w:r>
      <w:r>
        <w:rPr>
          <w:rFonts w:ascii="Garamond" w:eastAsia="Garamond" w:hAnsi="Garamond" w:cs="Garamond"/>
          <w:lang w:val="sv-SE"/>
        </w:rPr>
        <w:t>P</w:t>
      </w:r>
      <w:r w:rsidRPr="00701854">
        <w:rPr>
          <w:rFonts w:ascii="Garamond" w:eastAsia="Garamond" w:hAnsi="Garamond" w:cs="Garamond"/>
          <w:lang w:val="sv-SE"/>
        </w:rPr>
        <w:t xml:space="preserve">embatasan </w:t>
      </w:r>
      <w:r>
        <w:rPr>
          <w:rFonts w:ascii="Garamond" w:eastAsia="Garamond" w:hAnsi="Garamond" w:cs="Garamond"/>
          <w:lang w:val="sv-SE"/>
        </w:rPr>
        <w:t>K</w:t>
      </w:r>
      <w:r w:rsidRPr="00701854">
        <w:rPr>
          <w:rFonts w:ascii="Garamond" w:eastAsia="Garamond" w:hAnsi="Garamond" w:cs="Garamond"/>
          <w:lang w:val="sv-SE"/>
        </w:rPr>
        <w:t xml:space="preserve">egiatan </w:t>
      </w:r>
      <w:r>
        <w:rPr>
          <w:rFonts w:ascii="Garamond" w:eastAsia="Garamond" w:hAnsi="Garamond" w:cs="Garamond"/>
          <w:lang w:val="sv-SE"/>
        </w:rPr>
        <w:t>M</w:t>
      </w:r>
      <w:r w:rsidRPr="00701854">
        <w:rPr>
          <w:rFonts w:ascii="Garamond" w:eastAsia="Garamond" w:hAnsi="Garamond" w:cs="Garamond"/>
          <w:lang w:val="sv-SE"/>
        </w:rPr>
        <w:t>asyarakat</w:t>
      </w:r>
      <w:r w:rsidRPr="00701854">
        <w:rPr>
          <w:rFonts w:ascii="Garamond" w:eastAsia="Garamond" w:hAnsi="Garamond" w:cs="Garamond"/>
          <w:lang w:val="sv-SE"/>
        </w:rPr>
        <w:t xml:space="preserve"> </w:t>
      </w:r>
      <w:r w:rsidRPr="00701854">
        <w:rPr>
          <w:rFonts w:ascii="Garamond" w:eastAsia="Garamond" w:hAnsi="Garamond" w:cs="Garamond"/>
          <w:lang w:val="sv-SE"/>
        </w:rPr>
        <w:t xml:space="preserve">(PPKM). The PSBB and the PPKM explain to Muslims that they should refrain from carrying out various activities in the mosque. The five daily prayers are given priority at home. Friday prayers are replaced by </w:t>
      </w:r>
      <w:r w:rsidR="00F45BD5" w:rsidRPr="00F45BD5">
        <w:rPr>
          <w:rFonts w:ascii="Garamond" w:eastAsia="Garamond" w:hAnsi="Garamond" w:cs="Garamond"/>
          <w:i/>
          <w:iCs/>
          <w:lang w:val="sv-SE"/>
        </w:rPr>
        <w:t>z</w:t>
      </w:r>
      <w:r w:rsidRPr="00F45BD5">
        <w:rPr>
          <w:rFonts w:ascii="Garamond" w:eastAsia="Garamond" w:hAnsi="Garamond" w:cs="Garamond"/>
          <w:i/>
          <w:iCs/>
          <w:lang w:val="sv-SE"/>
        </w:rPr>
        <w:t>uhr</w:t>
      </w:r>
      <w:r w:rsidRPr="00701854">
        <w:rPr>
          <w:rFonts w:ascii="Garamond" w:eastAsia="Garamond" w:hAnsi="Garamond" w:cs="Garamond"/>
          <w:lang w:val="sv-SE"/>
        </w:rPr>
        <w:t xml:space="preserve"> prayers at home. Celebrations of Islamic holidays and lectures that attract large crowds are replaced by online lectures. During </w:t>
      </w:r>
      <w:r w:rsidRPr="00F45BD5">
        <w:rPr>
          <w:rFonts w:ascii="Garamond" w:eastAsia="Garamond" w:hAnsi="Garamond" w:cs="Garamond"/>
          <w:i/>
          <w:iCs/>
          <w:lang w:val="sv-SE"/>
        </w:rPr>
        <w:t>Ramadan</w:t>
      </w:r>
      <w:r w:rsidRPr="00701854">
        <w:rPr>
          <w:rFonts w:ascii="Garamond" w:eastAsia="Garamond" w:hAnsi="Garamond" w:cs="Garamond"/>
          <w:lang w:val="sv-SE"/>
        </w:rPr>
        <w:t xml:space="preserve">, </w:t>
      </w:r>
      <w:r w:rsidR="00F45BD5" w:rsidRPr="00F45BD5">
        <w:rPr>
          <w:rFonts w:ascii="Garamond" w:eastAsia="Garamond" w:hAnsi="Garamond" w:cs="Garamond"/>
          <w:i/>
          <w:iCs/>
          <w:lang w:val="sv-SE"/>
        </w:rPr>
        <w:t>t</w:t>
      </w:r>
      <w:r w:rsidRPr="00F45BD5">
        <w:rPr>
          <w:rFonts w:ascii="Garamond" w:eastAsia="Garamond" w:hAnsi="Garamond" w:cs="Garamond"/>
          <w:i/>
          <w:iCs/>
          <w:lang w:val="sv-SE"/>
        </w:rPr>
        <w:t>arawih</w:t>
      </w:r>
      <w:r w:rsidRPr="00701854">
        <w:rPr>
          <w:rFonts w:ascii="Garamond" w:eastAsia="Garamond" w:hAnsi="Garamond" w:cs="Garamond"/>
          <w:lang w:val="sv-SE"/>
        </w:rPr>
        <w:t xml:space="preserve"> prayers are held at home and </w:t>
      </w:r>
      <w:r w:rsidR="00F45BD5" w:rsidRPr="00F45BD5">
        <w:rPr>
          <w:rFonts w:ascii="Garamond" w:eastAsia="Garamond" w:hAnsi="Garamond" w:cs="Garamond"/>
          <w:i/>
          <w:iCs/>
          <w:lang w:val="sv-SE"/>
        </w:rPr>
        <w:t>e</w:t>
      </w:r>
      <w:r w:rsidRPr="00F45BD5">
        <w:rPr>
          <w:rFonts w:ascii="Garamond" w:eastAsia="Garamond" w:hAnsi="Garamond" w:cs="Garamond"/>
          <w:i/>
          <w:iCs/>
          <w:lang w:val="sv-SE"/>
        </w:rPr>
        <w:t>id</w:t>
      </w:r>
      <w:r w:rsidRPr="00701854">
        <w:rPr>
          <w:rFonts w:ascii="Garamond" w:eastAsia="Garamond" w:hAnsi="Garamond" w:cs="Garamond"/>
          <w:lang w:val="sv-SE"/>
        </w:rPr>
        <w:t xml:space="preserve"> prayers are held at home with a limited number of worshippers. During the emergency response period to overcome Covid-19, the conduct of daily prayers is technically left to the respective religious institutions.</w:t>
      </w:r>
    </w:p>
    <w:p w14:paraId="722265ED" w14:textId="12181A40" w:rsidR="00F45BD5" w:rsidRDefault="00F45BD5" w:rsidP="00463732">
      <w:pPr>
        <w:spacing w:line="360" w:lineRule="auto"/>
        <w:jc w:val="both"/>
        <w:rPr>
          <w:rFonts w:ascii="Garamond" w:eastAsia="Garamond" w:hAnsi="Garamond" w:cs="Garamond"/>
          <w:b/>
          <w:bCs/>
          <w:lang w:val="sv-SE"/>
        </w:rPr>
      </w:pPr>
      <w:r w:rsidRPr="00F45BD5">
        <w:rPr>
          <w:rFonts w:ascii="Garamond" w:eastAsia="Garamond" w:hAnsi="Garamond" w:cs="Garamond"/>
          <w:b/>
          <w:bCs/>
          <w:lang w:val="sv-SE"/>
        </w:rPr>
        <w:t>Mosque and Congregation</w:t>
      </w:r>
      <w:r>
        <w:rPr>
          <w:rFonts w:ascii="Garamond" w:eastAsia="Garamond" w:hAnsi="Garamond" w:cs="Garamond"/>
          <w:b/>
          <w:bCs/>
          <w:lang w:val="sv-SE"/>
        </w:rPr>
        <w:t xml:space="preserve"> </w:t>
      </w:r>
      <w:r w:rsidRPr="00F45BD5">
        <w:rPr>
          <w:rFonts w:ascii="Garamond" w:eastAsia="Garamond" w:hAnsi="Garamond" w:cs="Garamond"/>
          <w:b/>
          <w:bCs/>
          <w:lang w:val="sv-SE"/>
        </w:rPr>
        <w:t>Condition</w:t>
      </w:r>
      <w:r>
        <w:rPr>
          <w:rFonts w:ascii="Garamond" w:eastAsia="Garamond" w:hAnsi="Garamond" w:cs="Garamond"/>
          <w:b/>
          <w:bCs/>
          <w:lang w:val="sv-SE"/>
        </w:rPr>
        <w:t>s</w:t>
      </w:r>
      <w:r w:rsidRPr="00F45BD5">
        <w:rPr>
          <w:rFonts w:ascii="Garamond" w:eastAsia="Garamond" w:hAnsi="Garamond" w:cs="Garamond"/>
          <w:b/>
          <w:bCs/>
          <w:lang w:val="sv-SE"/>
        </w:rPr>
        <w:t>: Before and During Covid-19</w:t>
      </w:r>
    </w:p>
    <w:p w14:paraId="6DC9884E" w14:textId="6308D4FC" w:rsidR="00F45BD5" w:rsidRPr="00CF19DA" w:rsidRDefault="00F45BD5" w:rsidP="00F45BD5">
      <w:pPr>
        <w:spacing w:line="360" w:lineRule="auto"/>
        <w:ind w:firstLine="567"/>
        <w:jc w:val="both"/>
        <w:rPr>
          <w:rFonts w:ascii="Garamond" w:eastAsia="Garamond" w:hAnsi="Garamond" w:cs="Garamond"/>
          <w:lang w:val="sv-SE"/>
        </w:rPr>
      </w:pPr>
      <w:r w:rsidRPr="00F45BD5">
        <w:rPr>
          <w:rFonts w:ascii="Garamond" w:eastAsia="Garamond" w:hAnsi="Garamond" w:cs="Garamond"/>
          <w:lang w:val="sv-SE"/>
        </w:rPr>
        <w:t>This research sets Al-Mukmin Mosque and Asy-Syifa Mosque as cases to understand the cognitive responses of elderly Muslims. Al-Mukmin and Asy-Syifa Mosques are located in the vicinity of the M. Yunus Hospital complex, Jalan Bhayangkara, Sidomulyo Village, Gading Cempaka Sub-district, Bengkulu City, Bengkulu Province, Indonesia. Figure 1 illustrates the spatial configuration of the study area. The red circle represents M. Yunus Hospital, the yellow area depicts Asy-Syifa Mosque and the blue region delineates Al-Mukmin Mosque. M. Yunus Hospital serves as the primary referral centre in Bengkulu Province for individuals diagnosed with coronavirus disease 2019 (COVID-19). Consequently, the area surrounding the hospital is frequently designated as a red zone. The Al-Mukmin Mosque is situated to the southeast of the hospital, in close proximity to the morgue and a minor river. The Asy-Syifa Mosque is located on the hospital's northern side, adjacent to a hospital parking lot and a blood station owned by the Indonesian Red Cross.</w:t>
      </w:r>
    </w:p>
    <w:p w14:paraId="453C74FA" w14:textId="645A888D" w:rsidR="00B926D1" w:rsidRDefault="00B926D1" w:rsidP="00B926D1">
      <w:pPr>
        <w:spacing w:line="360" w:lineRule="auto"/>
        <w:jc w:val="center"/>
        <w:rPr>
          <w:rFonts w:ascii="Garamond" w:eastAsia="Garamond" w:hAnsi="Garamond" w:cs="Garamond"/>
          <w:lang w:val="nb-NO"/>
        </w:rPr>
      </w:pPr>
      <w:r>
        <w:rPr>
          <w:noProof/>
        </w:rPr>
        <w:lastRenderedPageBreak/>
        <w:drawing>
          <wp:inline distT="0" distB="0" distL="0" distR="0" wp14:anchorId="35AB17A5" wp14:editId="59F7DFF3">
            <wp:extent cx="5400675" cy="2360930"/>
            <wp:effectExtent l="0" t="0" r="9525" b="1270"/>
            <wp:docPr id="1667909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675" cy="2360930"/>
                    </a:xfrm>
                    <a:prstGeom prst="rect">
                      <a:avLst/>
                    </a:prstGeom>
                    <a:noFill/>
                    <a:ln>
                      <a:noFill/>
                    </a:ln>
                  </pic:spPr>
                </pic:pic>
              </a:graphicData>
            </a:graphic>
          </wp:inline>
        </w:drawing>
      </w:r>
    </w:p>
    <w:p w14:paraId="7C2962EE" w14:textId="208F40BC" w:rsidR="00B926D1" w:rsidRPr="00CF19DA" w:rsidRDefault="00CF19DA" w:rsidP="00CF19DA">
      <w:pPr>
        <w:spacing w:line="360" w:lineRule="auto"/>
        <w:jc w:val="center"/>
        <w:rPr>
          <w:rFonts w:ascii="Garamond" w:eastAsia="Garamond" w:hAnsi="Garamond" w:cs="Garamond"/>
          <w:sz w:val="20"/>
          <w:szCs w:val="20"/>
          <w:lang w:val="nb-NO"/>
        </w:rPr>
      </w:pPr>
      <w:r w:rsidRPr="00CF19DA">
        <w:rPr>
          <w:rFonts w:ascii="Garamond" w:eastAsia="Garamond" w:hAnsi="Garamond" w:cs="Garamond"/>
          <w:b/>
          <w:bCs/>
          <w:sz w:val="20"/>
          <w:szCs w:val="20"/>
          <w:lang w:val="nb-NO"/>
        </w:rPr>
        <w:t>Picture 1.</w:t>
      </w:r>
      <w:r w:rsidRPr="00CF19DA">
        <w:rPr>
          <w:rFonts w:ascii="Garamond" w:eastAsia="Garamond" w:hAnsi="Garamond" w:cs="Garamond"/>
          <w:sz w:val="20"/>
          <w:szCs w:val="20"/>
          <w:lang w:val="nb-NO"/>
        </w:rPr>
        <w:t xml:space="preserve"> </w:t>
      </w:r>
      <w:r w:rsidR="00F45BD5" w:rsidRPr="00F45BD5">
        <w:rPr>
          <w:rFonts w:ascii="Garamond" w:eastAsia="Garamond" w:hAnsi="Garamond" w:cs="Garamond"/>
          <w:sz w:val="20"/>
          <w:szCs w:val="20"/>
          <w:lang w:val="nb-NO"/>
        </w:rPr>
        <w:t>Location of M. Yunus Hospital, Al-Mukmin and Asy-Syifa Mosque</w:t>
      </w:r>
    </w:p>
    <w:p w14:paraId="75A728FB" w14:textId="734EE8CD" w:rsidR="00281613" w:rsidRPr="00874CA4" w:rsidRDefault="00874CA4" w:rsidP="00874CA4">
      <w:pPr>
        <w:spacing w:line="360" w:lineRule="auto"/>
        <w:ind w:firstLine="567"/>
        <w:jc w:val="both"/>
        <w:rPr>
          <w:rFonts w:ascii="Garamond" w:eastAsia="Garamond" w:hAnsi="Garamond" w:cs="Garamond"/>
          <w:lang w:val="nb-NO"/>
        </w:rPr>
      </w:pPr>
      <w:r w:rsidRPr="00874CA4">
        <w:rPr>
          <w:rFonts w:ascii="Garamond" w:eastAsia="Garamond" w:hAnsi="Garamond" w:cs="Garamond"/>
          <w:lang w:val="nb-NO"/>
        </w:rPr>
        <w:t>The prayer room at the Al-Mukmin Mosque is 200 m² and has a capacity of 300 worshippers for a Friday prayer service. The congregation who regularly perform the five daily prayers is around 20 people. During the implementation of activities this number can be increased to 50. This mosque is classified as active in carrying out activities outside the five daily prayers. Table 3 presents the regular activities at Al-Mukmin and Asy-Syifa Mosques prior to the advent of the Covid-19 pandemic. Asy-Syifa Mosque boasts an area of 450 m2, which can accommodate up to 500 worshippers during a Friday congregational prayer. Strategically located on the main road and easily accessible from the hospital, this mosque has become a focal point for local Muslims. It can be observed that employees and families of patients tend to opt for prayer at this mosque rather than utilising the small room provided by the hospital. The mosque is particularly congested during Zuhr, Asr and Maghrib prayers, with an average of 50 to 70 worshippers present at any given time. However, at dawn, the number of worshippers drops significantly to approximately 10 to 15. The circumstances and circumstances that permit it permit the community surrounding the mosque to actively hold Islamic activities. A variety of activities are carried out to enhance the mosque. The mosque activities run in a manner similar to a mosque in general. The mosque management is implemented and runs smoothly, both in terms of administration and finance, among other things.</w:t>
      </w:r>
    </w:p>
    <w:p w14:paraId="3A6C7846" w14:textId="02BC130B" w:rsidR="00181944" w:rsidRPr="00281613" w:rsidRDefault="00181944" w:rsidP="00181944">
      <w:pPr>
        <w:spacing w:line="360" w:lineRule="auto"/>
        <w:jc w:val="center"/>
        <w:rPr>
          <w:rFonts w:ascii="Garamond" w:eastAsia="Garamond" w:hAnsi="Garamond" w:cs="Garamond"/>
          <w:sz w:val="20"/>
          <w:szCs w:val="20"/>
          <w:lang w:val="en-ID"/>
        </w:rPr>
      </w:pPr>
      <w:r w:rsidRPr="00DB2E7E">
        <w:rPr>
          <w:rFonts w:ascii="Garamond" w:eastAsia="Garamond" w:hAnsi="Garamond" w:cs="Garamond"/>
          <w:b/>
          <w:bCs/>
          <w:sz w:val="20"/>
          <w:szCs w:val="20"/>
          <w:lang w:val="en-ID"/>
        </w:rPr>
        <w:t>Tabl</w:t>
      </w:r>
      <w:r>
        <w:rPr>
          <w:rFonts w:ascii="Garamond" w:eastAsia="Garamond" w:hAnsi="Garamond" w:cs="Garamond"/>
          <w:b/>
          <w:bCs/>
          <w:sz w:val="20"/>
          <w:szCs w:val="20"/>
          <w:lang w:val="en-ID"/>
        </w:rPr>
        <w:t>e</w:t>
      </w:r>
      <w:r w:rsidRPr="00DB2E7E">
        <w:rPr>
          <w:rFonts w:ascii="Garamond" w:eastAsia="Garamond" w:hAnsi="Garamond" w:cs="Garamond"/>
          <w:b/>
          <w:bCs/>
          <w:sz w:val="20"/>
          <w:szCs w:val="20"/>
          <w:lang w:val="en-ID"/>
        </w:rPr>
        <w:t xml:space="preserve"> </w:t>
      </w:r>
      <w:r>
        <w:rPr>
          <w:rFonts w:ascii="Garamond" w:eastAsia="Garamond" w:hAnsi="Garamond" w:cs="Garamond"/>
          <w:b/>
          <w:bCs/>
          <w:sz w:val="20"/>
          <w:szCs w:val="20"/>
          <w:lang w:val="en-ID"/>
        </w:rPr>
        <w:t>2</w:t>
      </w:r>
      <w:r w:rsidRPr="00DB2E7E">
        <w:rPr>
          <w:rFonts w:ascii="Garamond" w:eastAsia="Garamond" w:hAnsi="Garamond" w:cs="Garamond"/>
          <w:b/>
          <w:bCs/>
          <w:sz w:val="20"/>
          <w:szCs w:val="20"/>
          <w:lang w:val="en-ID"/>
        </w:rPr>
        <w:t>.</w:t>
      </w:r>
      <w:r w:rsidRPr="00DB2E7E">
        <w:rPr>
          <w:rFonts w:ascii="Garamond" w:eastAsia="Garamond" w:hAnsi="Garamond" w:cs="Garamond"/>
          <w:sz w:val="20"/>
          <w:szCs w:val="20"/>
          <w:lang w:val="en-ID"/>
        </w:rPr>
        <w:t xml:space="preserve"> </w:t>
      </w:r>
      <w:r w:rsidR="00874CA4" w:rsidRPr="00874CA4">
        <w:rPr>
          <w:rFonts w:ascii="Garamond" w:eastAsia="Garamond" w:hAnsi="Garamond" w:cs="Garamond"/>
          <w:sz w:val="20"/>
          <w:szCs w:val="20"/>
          <w:lang w:val="en-ID"/>
        </w:rPr>
        <w:t>Daily Activities at Al-Mukmin and Asy-Syifa Mosques before Covid-19</w:t>
      </w:r>
    </w:p>
    <w:tbl>
      <w:tblPr>
        <w:tblStyle w:val="TableGrid"/>
        <w:tblW w:w="8500" w:type="dxa"/>
        <w:tblLook w:val="04A0" w:firstRow="1" w:lastRow="0" w:firstColumn="1" w:lastColumn="0" w:noHBand="0" w:noVBand="1"/>
      </w:tblPr>
      <w:tblGrid>
        <w:gridCol w:w="555"/>
        <w:gridCol w:w="1850"/>
        <w:gridCol w:w="2126"/>
        <w:gridCol w:w="1985"/>
        <w:gridCol w:w="1984"/>
      </w:tblGrid>
      <w:tr w:rsidR="00915FFC" w:rsidRPr="00386D1F" w14:paraId="73E9286A" w14:textId="77777777" w:rsidTr="00A95F0A">
        <w:tc>
          <w:tcPr>
            <w:tcW w:w="555" w:type="dxa"/>
            <w:vMerge w:val="restart"/>
          </w:tcPr>
          <w:p w14:paraId="34AAFA91" w14:textId="77777777" w:rsidR="00915FFC" w:rsidRPr="00386D1F" w:rsidRDefault="00915FFC" w:rsidP="00A95F0A">
            <w:pPr>
              <w:jc w:val="center"/>
              <w:rPr>
                <w:rFonts w:ascii="Garamond" w:eastAsia="Garamond" w:hAnsi="Garamond" w:cs="Garamond"/>
                <w:b/>
                <w:bCs/>
                <w:sz w:val="20"/>
                <w:szCs w:val="20"/>
                <w:lang w:val="sv-SE"/>
              </w:rPr>
            </w:pPr>
            <w:r w:rsidRPr="00386D1F">
              <w:rPr>
                <w:rFonts w:ascii="Garamond" w:eastAsia="Garamond" w:hAnsi="Garamond" w:cs="Garamond"/>
                <w:b/>
                <w:bCs/>
                <w:sz w:val="20"/>
                <w:szCs w:val="20"/>
                <w:lang w:val="sv-SE"/>
              </w:rPr>
              <w:t>Sn.</w:t>
            </w:r>
          </w:p>
        </w:tc>
        <w:tc>
          <w:tcPr>
            <w:tcW w:w="3976" w:type="dxa"/>
            <w:gridSpan w:val="2"/>
          </w:tcPr>
          <w:p w14:paraId="1E5B6279" w14:textId="77777777" w:rsidR="00915FFC" w:rsidRPr="00386D1F" w:rsidRDefault="00915FFC" w:rsidP="00A95F0A">
            <w:pPr>
              <w:jc w:val="center"/>
              <w:rPr>
                <w:rFonts w:ascii="Garamond" w:eastAsia="Garamond" w:hAnsi="Garamond" w:cs="Garamond"/>
                <w:b/>
                <w:bCs/>
                <w:sz w:val="20"/>
                <w:szCs w:val="20"/>
                <w:lang w:val="sv-SE"/>
              </w:rPr>
            </w:pPr>
            <w:r>
              <w:rPr>
                <w:rFonts w:ascii="Garamond" w:eastAsia="Garamond" w:hAnsi="Garamond" w:cs="Garamond"/>
                <w:b/>
                <w:bCs/>
                <w:sz w:val="20"/>
                <w:szCs w:val="20"/>
                <w:lang w:val="sv-SE"/>
              </w:rPr>
              <w:t>Al-Mukmin Mosque</w:t>
            </w:r>
          </w:p>
        </w:tc>
        <w:tc>
          <w:tcPr>
            <w:tcW w:w="3969" w:type="dxa"/>
            <w:gridSpan w:val="2"/>
          </w:tcPr>
          <w:p w14:paraId="32DD6E9C" w14:textId="77777777" w:rsidR="00915FFC" w:rsidRPr="00386D1F" w:rsidRDefault="00915FFC" w:rsidP="00A95F0A">
            <w:pPr>
              <w:jc w:val="center"/>
              <w:rPr>
                <w:rFonts w:ascii="Garamond" w:eastAsia="Garamond" w:hAnsi="Garamond" w:cs="Garamond"/>
                <w:b/>
                <w:bCs/>
                <w:sz w:val="20"/>
                <w:szCs w:val="20"/>
                <w:lang w:val="sv-SE"/>
              </w:rPr>
            </w:pPr>
            <w:r>
              <w:rPr>
                <w:rFonts w:ascii="Garamond" w:eastAsia="Garamond" w:hAnsi="Garamond" w:cs="Garamond"/>
                <w:b/>
                <w:bCs/>
                <w:sz w:val="20"/>
                <w:szCs w:val="20"/>
                <w:lang w:val="sv-SE"/>
              </w:rPr>
              <w:t>Asy-Syifa Mosque</w:t>
            </w:r>
          </w:p>
        </w:tc>
      </w:tr>
      <w:tr w:rsidR="00915FFC" w:rsidRPr="00386D1F" w14:paraId="2D92D319" w14:textId="77777777" w:rsidTr="00A95F0A">
        <w:tc>
          <w:tcPr>
            <w:tcW w:w="555" w:type="dxa"/>
            <w:vMerge/>
          </w:tcPr>
          <w:p w14:paraId="52C0713A" w14:textId="77777777" w:rsidR="00915FFC" w:rsidRPr="00386D1F" w:rsidRDefault="00915FFC" w:rsidP="00A95F0A">
            <w:pPr>
              <w:jc w:val="center"/>
              <w:rPr>
                <w:rFonts w:ascii="Garamond" w:eastAsia="Garamond" w:hAnsi="Garamond" w:cs="Garamond"/>
                <w:sz w:val="20"/>
                <w:szCs w:val="20"/>
                <w:lang w:val="sv-SE"/>
              </w:rPr>
            </w:pPr>
          </w:p>
        </w:tc>
        <w:tc>
          <w:tcPr>
            <w:tcW w:w="1850" w:type="dxa"/>
          </w:tcPr>
          <w:p w14:paraId="3BC4AEB0" w14:textId="77777777" w:rsidR="00915FFC" w:rsidRPr="00181944" w:rsidRDefault="00915FFC" w:rsidP="00A95F0A">
            <w:pPr>
              <w:jc w:val="center"/>
              <w:rPr>
                <w:rFonts w:ascii="Garamond" w:eastAsia="Garamond" w:hAnsi="Garamond" w:cs="Garamond"/>
                <w:b/>
                <w:bCs/>
                <w:sz w:val="20"/>
                <w:szCs w:val="20"/>
                <w:lang w:val="sv-SE"/>
              </w:rPr>
            </w:pPr>
            <w:r w:rsidRPr="00181944">
              <w:rPr>
                <w:rFonts w:ascii="Garamond" w:eastAsia="Garamond" w:hAnsi="Garamond" w:cs="Garamond"/>
                <w:b/>
                <w:bCs/>
                <w:sz w:val="20"/>
                <w:szCs w:val="20"/>
                <w:lang w:val="sv-SE"/>
              </w:rPr>
              <w:t>Agenda</w:t>
            </w:r>
          </w:p>
        </w:tc>
        <w:tc>
          <w:tcPr>
            <w:tcW w:w="2126" w:type="dxa"/>
          </w:tcPr>
          <w:p w14:paraId="036E7001" w14:textId="77777777" w:rsidR="00915FFC" w:rsidRPr="00181944" w:rsidRDefault="00915FFC" w:rsidP="00A95F0A">
            <w:pPr>
              <w:jc w:val="center"/>
              <w:rPr>
                <w:rFonts w:ascii="Garamond" w:eastAsia="Garamond" w:hAnsi="Garamond" w:cs="Garamond"/>
                <w:b/>
                <w:bCs/>
                <w:sz w:val="20"/>
                <w:szCs w:val="20"/>
                <w:lang w:val="sv-SE"/>
              </w:rPr>
            </w:pPr>
            <w:r>
              <w:rPr>
                <w:rFonts w:ascii="Garamond" w:eastAsia="Garamond" w:hAnsi="Garamond" w:cs="Garamond"/>
                <w:b/>
                <w:bCs/>
                <w:sz w:val="20"/>
                <w:szCs w:val="20"/>
                <w:lang w:val="sv-SE"/>
              </w:rPr>
              <w:t>Description</w:t>
            </w:r>
          </w:p>
        </w:tc>
        <w:tc>
          <w:tcPr>
            <w:tcW w:w="1985" w:type="dxa"/>
          </w:tcPr>
          <w:p w14:paraId="3ECB9694" w14:textId="77777777" w:rsidR="00915FFC" w:rsidRPr="00181944" w:rsidRDefault="00915FFC" w:rsidP="00A95F0A">
            <w:pPr>
              <w:jc w:val="center"/>
              <w:rPr>
                <w:rFonts w:ascii="Garamond" w:eastAsia="Garamond" w:hAnsi="Garamond" w:cs="Garamond"/>
                <w:b/>
                <w:bCs/>
                <w:sz w:val="20"/>
                <w:szCs w:val="20"/>
                <w:lang w:val="sv-SE"/>
              </w:rPr>
            </w:pPr>
            <w:r w:rsidRPr="00181944">
              <w:rPr>
                <w:rFonts w:ascii="Garamond" w:eastAsia="Garamond" w:hAnsi="Garamond" w:cs="Garamond"/>
                <w:b/>
                <w:bCs/>
                <w:sz w:val="20"/>
                <w:szCs w:val="20"/>
                <w:lang w:val="sv-SE"/>
              </w:rPr>
              <w:t>Agenda</w:t>
            </w:r>
          </w:p>
        </w:tc>
        <w:tc>
          <w:tcPr>
            <w:tcW w:w="1984" w:type="dxa"/>
          </w:tcPr>
          <w:p w14:paraId="235C78CB" w14:textId="77777777" w:rsidR="00915FFC" w:rsidRPr="00181944" w:rsidRDefault="00915FFC" w:rsidP="00A95F0A">
            <w:pPr>
              <w:jc w:val="center"/>
              <w:rPr>
                <w:rFonts w:ascii="Garamond" w:eastAsia="Garamond" w:hAnsi="Garamond" w:cs="Garamond"/>
                <w:b/>
                <w:bCs/>
                <w:sz w:val="20"/>
                <w:szCs w:val="20"/>
                <w:lang w:val="sv-SE"/>
              </w:rPr>
            </w:pPr>
            <w:r>
              <w:rPr>
                <w:rFonts w:ascii="Garamond" w:eastAsia="Garamond" w:hAnsi="Garamond" w:cs="Garamond"/>
                <w:b/>
                <w:bCs/>
                <w:sz w:val="20"/>
                <w:szCs w:val="20"/>
                <w:lang w:val="sv-SE"/>
              </w:rPr>
              <w:t>Description</w:t>
            </w:r>
          </w:p>
        </w:tc>
      </w:tr>
      <w:tr w:rsidR="00915FFC" w:rsidRPr="00181944" w14:paraId="3C5C305D" w14:textId="77777777" w:rsidTr="00A95F0A">
        <w:tc>
          <w:tcPr>
            <w:tcW w:w="555" w:type="dxa"/>
          </w:tcPr>
          <w:p w14:paraId="74B92744" w14:textId="77777777" w:rsidR="00915FFC" w:rsidRPr="00386D1F" w:rsidRDefault="00915FFC" w:rsidP="00A95F0A">
            <w:pPr>
              <w:jc w:val="center"/>
              <w:rPr>
                <w:rFonts w:ascii="Garamond" w:eastAsia="Garamond" w:hAnsi="Garamond" w:cs="Garamond"/>
                <w:sz w:val="20"/>
                <w:szCs w:val="20"/>
                <w:lang w:val="sv-SE"/>
              </w:rPr>
            </w:pPr>
            <w:r>
              <w:rPr>
                <w:rFonts w:ascii="Garamond" w:eastAsia="Garamond" w:hAnsi="Garamond" w:cs="Garamond"/>
                <w:sz w:val="20"/>
                <w:szCs w:val="20"/>
                <w:lang w:val="sv-SE"/>
              </w:rPr>
              <w:t>1</w:t>
            </w:r>
          </w:p>
        </w:tc>
        <w:tc>
          <w:tcPr>
            <w:tcW w:w="1850" w:type="dxa"/>
          </w:tcPr>
          <w:p w14:paraId="7E245CF3" w14:textId="77777777" w:rsidR="00915FFC" w:rsidRPr="00386D1F" w:rsidRDefault="00915FFC" w:rsidP="00A95F0A">
            <w:pPr>
              <w:jc w:val="both"/>
              <w:rPr>
                <w:rFonts w:ascii="Garamond" w:eastAsia="Garamond" w:hAnsi="Garamond" w:cs="Garamond"/>
                <w:sz w:val="20"/>
                <w:szCs w:val="20"/>
                <w:lang w:val="sv-SE"/>
              </w:rPr>
            </w:pPr>
            <w:r w:rsidRPr="005F5E2C">
              <w:rPr>
                <w:rFonts w:ascii="Garamond" w:eastAsia="Garamond" w:hAnsi="Garamond" w:cs="Garamond"/>
                <w:i/>
                <w:iCs/>
                <w:sz w:val="20"/>
                <w:szCs w:val="20"/>
                <w:lang w:val="sv-SE"/>
              </w:rPr>
              <w:t>Tawheed</w:t>
            </w:r>
            <w:r>
              <w:rPr>
                <w:rFonts w:ascii="Garamond" w:eastAsia="Garamond" w:hAnsi="Garamond" w:cs="Garamond"/>
                <w:sz w:val="20"/>
                <w:szCs w:val="20"/>
                <w:lang w:val="sv-SE"/>
              </w:rPr>
              <w:t xml:space="preserve"> study</w:t>
            </w:r>
          </w:p>
        </w:tc>
        <w:tc>
          <w:tcPr>
            <w:tcW w:w="2126" w:type="dxa"/>
          </w:tcPr>
          <w:p w14:paraId="540EE337" w14:textId="77777777" w:rsidR="00915FFC" w:rsidRPr="00C87443" w:rsidRDefault="00915FFC" w:rsidP="00A95F0A">
            <w:pPr>
              <w:jc w:val="center"/>
              <w:rPr>
                <w:rFonts w:ascii="Garamond" w:eastAsia="Garamond" w:hAnsi="Garamond" w:cs="Garamond"/>
                <w:sz w:val="20"/>
                <w:szCs w:val="20"/>
                <w:lang w:val="en-ID"/>
              </w:rPr>
            </w:pPr>
            <w:r w:rsidRPr="00C87443">
              <w:rPr>
                <w:rFonts w:ascii="Garamond" w:eastAsia="Garamond" w:hAnsi="Garamond" w:cs="Garamond"/>
                <w:sz w:val="20"/>
                <w:szCs w:val="20"/>
                <w:lang w:val="en-ID"/>
              </w:rPr>
              <w:t>Every Friday night of the 1st week</w:t>
            </w:r>
          </w:p>
        </w:tc>
        <w:tc>
          <w:tcPr>
            <w:tcW w:w="1985" w:type="dxa"/>
          </w:tcPr>
          <w:p w14:paraId="5A2FA872" w14:textId="77777777" w:rsidR="00915FFC" w:rsidRPr="00C87443" w:rsidRDefault="00915FFC" w:rsidP="00A95F0A">
            <w:pPr>
              <w:rPr>
                <w:rFonts w:ascii="Garamond" w:eastAsia="Garamond" w:hAnsi="Garamond" w:cs="Garamond"/>
                <w:sz w:val="20"/>
                <w:szCs w:val="20"/>
                <w:lang w:val="en-ID"/>
              </w:rPr>
            </w:pPr>
            <w:r>
              <w:rPr>
                <w:rFonts w:ascii="Garamond" w:eastAsia="Garamond" w:hAnsi="Garamond" w:cs="Garamond"/>
                <w:sz w:val="20"/>
                <w:szCs w:val="20"/>
                <w:lang w:val="en-ID"/>
              </w:rPr>
              <w:t xml:space="preserve">Reading </w:t>
            </w:r>
            <w:r w:rsidRPr="00C87443">
              <w:rPr>
                <w:rFonts w:ascii="Garamond" w:eastAsia="Garamond" w:hAnsi="Garamond" w:cs="Garamond"/>
                <w:i/>
                <w:iCs/>
                <w:sz w:val="20"/>
                <w:szCs w:val="20"/>
                <w:lang w:val="en-ID"/>
              </w:rPr>
              <w:t>hadist</w:t>
            </w:r>
            <w:r>
              <w:rPr>
                <w:rFonts w:ascii="Garamond" w:eastAsia="Garamond" w:hAnsi="Garamond" w:cs="Garamond"/>
                <w:sz w:val="20"/>
                <w:szCs w:val="20"/>
                <w:lang w:val="en-ID"/>
              </w:rPr>
              <w:t xml:space="preserve"> before </w:t>
            </w:r>
            <w:r>
              <w:rPr>
                <w:rFonts w:ascii="Garamond" w:eastAsia="Garamond" w:hAnsi="Garamond" w:cs="Garamond"/>
                <w:i/>
                <w:iCs/>
                <w:sz w:val="20"/>
                <w:szCs w:val="20"/>
                <w:lang w:val="en-ID"/>
              </w:rPr>
              <w:t xml:space="preserve">Subuh </w:t>
            </w:r>
            <w:r w:rsidRPr="00C87443">
              <w:rPr>
                <w:rFonts w:ascii="Garamond" w:eastAsia="Garamond" w:hAnsi="Garamond" w:cs="Garamond"/>
                <w:sz w:val="20"/>
                <w:szCs w:val="20"/>
                <w:lang w:val="en-ID"/>
              </w:rPr>
              <w:t>prayer</w:t>
            </w:r>
          </w:p>
        </w:tc>
        <w:tc>
          <w:tcPr>
            <w:tcW w:w="1984" w:type="dxa"/>
          </w:tcPr>
          <w:p w14:paraId="715DF3BB" w14:textId="77777777" w:rsidR="00915FFC" w:rsidRPr="00181944" w:rsidRDefault="00915FFC" w:rsidP="00A95F0A">
            <w:pPr>
              <w:jc w:val="center"/>
              <w:rPr>
                <w:rFonts w:ascii="Garamond" w:eastAsia="Garamond" w:hAnsi="Garamond" w:cs="Garamond"/>
                <w:sz w:val="20"/>
                <w:szCs w:val="20"/>
                <w:lang w:val="en-ID"/>
              </w:rPr>
            </w:pPr>
            <w:r>
              <w:rPr>
                <w:rFonts w:ascii="Garamond" w:eastAsia="Garamond" w:hAnsi="Garamond" w:cs="Garamond"/>
                <w:sz w:val="20"/>
                <w:szCs w:val="20"/>
                <w:lang w:val="en-ID"/>
              </w:rPr>
              <w:t>Every day</w:t>
            </w:r>
          </w:p>
        </w:tc>
      </w:tr>
      <w:tr w:rsidR="00915FFC" w:rsidRPr="00181944" w14:paraId="2FF80842" w14:textId="77777777" w:rsidTr="00A95F0A">
        <w:tc>
          <w:tcPr>
            <w:tcW w:w="555" w:type="dxa"/>
          </w:tcPr>
          <w:p w14:paraId="37B83B20" w14:textId="77777777" w:rsidR="00915FFC" w:rsidRPr="00386D1F" w:rsidRDefault="00915FFC" w:rsidP="00A95F0A">
            <w:pPr>
              <w:jc w:val="center"/>
              <w:rPr>
                <w:rFonts w:ascii="Garamond" w:eastAsia="Garamond" w:hAnsi="Garamond" w:cs="Garamond"/>
                <w:sz w:val="20"/>
                <w:szCs w:val="20"/>
                <w:lang w:val="sv-SE"/>
              </w:rPr>
            </w:pPr>
            <w:r>
              <w:rPr>
                <w:rFonts w:ascii="Garamond" w:eastAsia="Garamond" w:hAnsi="Garamond" w:cs="Garamond"/>
                <w:sz w:val="20"/>
                <w:szCs w:val="20"/>
                <w:lang w:val="sv-SE"/>
              </w:rPr>
              <w:t>2</w:t>
            </w:r>
          </w:p>
        </w:tc>
        <w:tc>
          <w:tcPr>
            <w:tcW w:w="1850" w:type="dxa"/>
          </w:tcPr>
          <w:p w14:paraId="31C0FE36" w14:textId="77777777" w:rsidR="00915FFC" w:rsidRPr="00386D1F" w:rsidRDefault="00915FFC" w:rsidP="00A95F0A">
            <w:pPr>
              <w:rPr>
                <w:rFonts w:ascii="Garamond" w:eastAsia="Garamond" w:hAnsi="Garamond" w:cs="Garamond"/>
                <w:sz w:val="20"/>
                <w:szCs w:val="20"/>
                <w:lang w:val="sv-SE"/>
              </w:rPr>
            </w:pPr>
            <w:r w:rsidRPr="005F5E2C">
              <w:rPr>
                <w:rFonts w:ascii="Garamond" w:eastAsia="Garamond" w:hAnsi="Garamond" w:cs="Garamond"/>
                <w:i/>
                <w:iCs/>
                <w:sz w:val="20"/>
                <w:szCs w:val="20"/>
                <w:lang w:val="sv-SE"/>
              </w:rPr>
              <w:t>Fiqh</w:t>
            </w:r>
            <w:r>
              <w:rPr>
                <w:rFonts w:ascii="Garamond" w:eastAsia="Garamond" w:hAnsi="Garamond" w:cs="Garamond"/>
                <w:sz w:val="20"/>
                <w:szCs w:val="20"/>
                <w:lang w:val="sv-SE"/>
              </w:rPr>
              <w:t xml:space="preserve"> study</w:t>
            </w:r>
          </w:p>
        </w:tc>
        <w:tc>
          <w:tcPr>
            <w:tcW w:w="2126" w:type="dxa"/>
          </w:tcPr>
          <w:p w14:paraId="53E53150" w14:textId="77777777" w:rsidR="00915FFC" w:rsidRPr="00C87443" w:rsidRDefault="00915FFC" w:rsidP="00A95F0A">
            <w:pPr>
              <w:jc w:val="center"/>
              <w:rPr>
                <w:rFonts w:ascii="Garamond" w:eastAsia="Garamond" w:hAnsi="Garamond" w:cs="Garamond"/>
                <w:sz w:val="20"/>
                <w:szCs w:val="20"/>
                <w:lang w:val="en-ID"/>
              </w:rPr>
            </w:pPr>
            <w:r w:rsidRPr="00C87443">
              <w:rPr>
                <w:rFonts w:ascii="Garamond" w:eastAsia="Garamond" w:hAnsi="Garamond" w:cs="Garamond"/>
                <w:sz w:val="20"/>
                <w:szCs w:val="20"/>
                <w:lang w:val="en-ID"/>
              </w:rPr>
              <w:t xml:space="preserve">Every Friday night of the </w:t>
            </w:r>
            <w:r>
              <w:rPr>
                <w:rFonts w:ascii="Garamond" w:eastAsia="Garamond" w:hAnsi="Garamond" w:cs="Garamond"/>
                <w:sz w:val="20"/>
                <w:szCs w:val="20"/>
                <w:lang w:val="en-ID"/>
              </w:rPr>
              <w:t>2nd</w:t>
            </w:r>
            <w:r w:rsidRPr="00C87443">
              <w:rPr>
                <w:rFonts w:ascii="Garamond" w:eastAsia="Garamond" w:hAnsi="Garamond" w:cs="Garamond"/>
                <w:sz w:val="20"/>
                <w:szCs w:val="20"/>
                <w:lang w:val="en-ID"/>
              </w:rPr>
              <w:t xml:space="preserve"> week</w:t>
            </w:r>
          </w:p>
        </w:tc>
        <w:tc>
          <w:tcPr>
            <w:tcW w:w="1985" w:type="dxa"/>
          </w:tcPr>
          <w:p w14:paraId="1AA19FC8" w14:textId="77777777" w:rsidR="00915FFC" w:rsidRPr="00C87443" w:rsidRDefault="00915FFC" w:rsidP="00A95F0A">
            <w:pPr>
              <w:rPr>
                <w:rFonts w:ascii="Garamond" w:eastAsia="Garamond" w:hAnsi="Garamond" w:cs="Garamond"/>
                <w:sz w:val="20"/>
                <w:szCs w:val="20"/>
                <w:lang w:val="en-ID"/>
              </w:rPr>
            </w:pPr>
            <w:r>
              <w:rPr>
                <w:rFonts w:ascii="Garamond" w:eastAsia="Garamond" w:hAnsi="Garamond" w:cs="Garamond"/>
                <w:sz w:val="20"/>
                <w:szCs w:val="20"/>
                <w:lang w:val="en-ID"/>
              </w:rPr>
              <w:t xml:space="preserve">Reading </w:t>
            </w:r>
            <w:r w:rsidRPr="00C87443">
              <w:rPr>
                <w:rFonts w:ascii="Garamond" w:eastAsia="Garamond" w:hAnsi="Garamond" w:cs="Garamond"/>
                <w:i/>
                <w:iCs/>
                <w:sz w:val="20"/>
                <w:szCs w:val="20"/>
                <w:lang w:val="en-ID"/>
              </w:rPr>
              <w:t>hadist</w:t>
            </w:r>
            <w:r>
              <w:rPr>
                <w:rFonts w:ascii="Garamond" w:eastAsia="Garamond" w:hAnsi="Garamond" w:cs="Garamond"/>
                <w:sz w:val="20"/>
                <w:szCs w:val="20"/>
                <w:lang w:val="en-ID"/>
              </w:rPr>
              <w:t xml:space="preserve"> before </w:t>
            </w:r>
            <w:r w:rsidRPr="00C87443">
              <w:rPr>
                <w:rFonts w:ascii="Garamond" w:eastAsia="Garamond" w:hAnsi="Garamond" w:cs="Garamond"/>
                <w:i/>
                <w:iCs/>
                <w:sz w:val="20"/>
                <w:szCs w:val="20"/>
                <w:lang w:val="en-ID"/>
              </w:rPr>
              <w:t>Zuhr</w:t>
            </w:r>
            <w:r>
              <w:rPr>
                <w:rFonts w:ascii="Garamond" w:eastAsia="Garamond" w:hAnsi="Garamond" w:cs="Garamond"/>
                <w:i/>
                <w:iCs/>
                <w:sz w:val="20"/>
                <w:szCs w:val="20"/>
                <w:lang w:val="en-ID"/>
              </w:rPr>
              <w:t xml:space="preserve"> </w:t>
            </w:r>
            <w:r w:rsidRPr="00C87443">
              <w:rPr>
                <w:rFonts w:ascii="Garamond" w:eastAsia="Garamond" w:hAnsi="Garamond" w:cs="Garamond"/>
                <w:sz w:val="20"/>
                <w:szCs w:val="20"/>
                <w:lang w:val="en-ID"/>
              </w:rPr>
              <w:t>prayer</w:t>
            </w:r>
          </w:p>
        </w:tc>
        <w:tc>
          <w:tcPr>
            <w:tcW w:w="1984" w:type="dxa"/>
          </w:tcPr>
          <w:p w14:paraId="457B8DB4" w14:textId="77777777" w:rsidR="00915FFC" w:rsidRPr="00181944" w:rsidRDefault="00915FFC" w:rsidP="00A95F0A">
            <w:pPr>
              <w:jc w:val="center"/>
              <w:rPr>
                <w:rFonts w:ascii="Garamond" w:eastAsia="Garamond" w:hAnsi="Garamond" w:cs="Garamond"/>
                <w:sz w:val="20"/>
                <w:szCs w:val="20"/>
                <w:lang w:val="en-ID"/>
              </w:rPr>
            </w:pPr>
            <w:r>
              <w:rPr>
                <w:rFonts w:ascii="Garamond" w:eastAsia="Garamond" w:hAnsi="Garamond" w:cs="Garamond"/>
                <w:sz w:val="20"/>
                <w:szCs w:val="20"/>
                <w:lang w:val="en-ID"/>
              </w:rPr>
              <w:t>Every day</w:t>
            </w:r>
          </w:p>
        </w:tc>
      </w:tr>
      <w:tr w:rsidR="00915FFC" w:rsidRPr="00C87443" w14:paraId="485761D2" w14:textId="77777777" w:rsidTr="00A95F0A">
        <w:tc>
          <w:tcPr>
            <w:tcW w:w="555" w:type="dxa"/>
          </w:tcPr>
          <w:p w14:paraId="5961ABF5" w14:textId="77777777" w:rsidR="00915FFC" w:rsidRPr="00386D1F" w:rsidRDefault="00915FFC" w:rsidP="00A95F0A">
            <w:pPr>
              <w:jc w:val="center"/>
              <w:rPr>
                <w:rFonts w:ascii="Garamond" w:eastAsia="Garamond" w:hAnsi="Garamond" w:cs="Garamond"/>
                <w:sz w:val="20"/>
                <w:szCs w:val="20"/>
                <w:lang w:val="sv-SE"/>
              </w:rPr>
            </w:pPr>
            <w:r>
              <w:rPr>
                <w:rFonts w:ascii="Garamond" w:eastAsia="Garamond" w:hAnsi="Garamond" w:cs="Garamond"/>
                <w:sz w:val="20"/>
                <w:szCs w:val="20"/>
                <w:lang w:val="sv-SE"/>
              </w:rPr>
              <w:lastRenderedPageBreak/>
              <w:t>3</w:t>
            </w:r>
          </w:p>
        </w:tc>
        <w:tc>
          <w:tcPr>
            <w:tcW w:w="1850" w:type="dxa"/>
          </w:tcPr>
          <w:p w14:paraId="130EC9FF" w14:textId="77777777" w:rsidR="00915FFC" w:rsidRPr="00386D1F" w:rsidRDefault="00915FFC" w:rsidP="00A95F0A">
            <w:pPr>
              <w:jc w:val="both"/>
              <w:rPr>
                <w:rFonts w:ascii="Garamond" w:eastAsia="Garamond" w:hAnsi="Garamond" w:cs="Garamond"/>
                <w:sz w:val="20"/>
                <w:szCs w:val="20"/>
                <w:lang w:val="sv-SE"/>
              </w:rPr>
            </w:pPr>
            <w:r>
              <w:rPr>
                <w:rFonts w:ascii="Garamond" w:eastAsia="Garamond" w:hAnsi="Garamond" w:cs="Garamond"/>
                <w:sz w:val="20"/>
                <w:szCs w:val="20"/>
                <w:lang w:val="sv-SE"/>
              </w:rPr>
              <w:t>Islamic histories study</w:t>
            </w:r>
          </w:p>
        </w:tc>
        <w:tc>
          <w:tcPr>
            <w:tcW w:w="2126" w:type="dxa"/>
          </w:tcPr>
          <w:p w14:paraId="3967F602" w14:textId="77777777" w:rsidR="00915FFC" w:rsidRPr="00C87443" w:rsidRDefault="00915FFC" w:rsidP="00A95F0A">
            <w:pPr>
              <w:jc w:val="center"/>
              <w:rPr>
                <w:rFonts w:ascii="Garamond" w:eastAsia="Garamond" w:hAnsi="Garamond" w:cs="Garamond"/>
                <w:sz w:val="20"/>
                <w:szCs w:val="20"/>
                <w:lang w:val="en-ID"/>
              </w:rPr>
            </w:pPr>
            <w:r w:rsidRPr="00C87443">
              <w:rPr>
                <w:rFonts w:ascii="Garamond" w:eastAsia="Garamond" w:hAnsi="Garamond" w:cs="Garamond"/>
                <w:sz w:val="20"/>
                <w:szCs w:val="20"/>
                <w:lang w:val="en-ID"/>
              </w:rPr>
              <w:t>Every Friday night of the 3rd week</w:t>
            </w:r>
          </w:p>
        </w:tc>
        <w:tc>
          <w:tcPr>
            <w:tcW w:w="1985" w:type="dxa"/>
          </w:tcPr>
          <w:p w14:paraId="6455714F" w14:textId="77777777" w:rsidR="00915FFC" w:rsidRPr="00386D1F" w:rsidRDefault="00915FFC" w:rsidP="00A95F0A">
            <w:pPr>
              <w:rPr>
                <w:rFonts w:ascii="Garamond" w:eastAsia="Garamond" w:hAnsi="Garamond" w:cs="Garamond"/>
                <w:sz w:val="20"/>
                <w:szCs w:val="20"/>
                <w:lang w:val="sv-SE"/>
              </w:rPr>
            </w:pPr>
            <w:r>
              <w:rPr>
                <w:rFonts w:ascii="Garamond" w:eastAsia="Garamond" w:hAnsi="Garamond" w:cs="Garamond"/>
                <w:sz w:val="20"/>
                <w:szCs w:val="20"/>
                <w:lang w:val="sv-SE"/>
              </w:rPr>
              <w:t xml:space="preserve">Islamic </w:t>
            </w:r>
            <w:r w:rsidRPr="00C87443">
              <w:rPr>
                <w:rFonts w:ascii="Garamond" w:eastAsia="Garamond" w:hAnsi="Garamond" w:cs="Garamond"/>
                <w:sz w:val="20"/>
                <w:szCs w:val="20"/>
                <w:lang w:val="sv-SE"/>
              </w:rPr>
              <w:t>general studies</w:t>
            </w:r>
          </w:p>
        </w:tc>
        <w:tc>
          <w:tcPr>
            <w:tcW w:w="1984" w:type="dxa"/>
          </w:tcPr>
          <w:p w14:paraId="3CE8C196" w14:textId="77777777" w:rsidR="00915FFC" w:rsidRPr="00C87443" w:rsidRDefault="00915FFC" w:rsidP="00A95F0A">
            <w:pPr>
              <w:jc w:val="center"/>
              <w:rPr>
                <w:rFonts w:ascii="Garamond" w:eastAsia="Garamond" w:hAnsi="Garamond" w:cs="Garamond"/>
                <w:sz w:val="20"/>
                <w:szCs w:val="20"/>
                <w:lang w:val="en-ID"/>
              </w:rPr>
            </w:pPr>
            <w:r w:rsidRPr="00C87443">
              <w:rPr>
                <w:rFonts w:ascii="Garamond" w:eastAsia="Garamond" w:hAnsi="Garamond" w:cs="Garamond"/>
                <w:sz w:val="20"/>
                <w:szCs w:val="20"/>
                <w:lang w:val="en-ID"/>
              </w:rPr>
              <w:t>Every weeknight in the 4th week</w:t>
            </w:r>
          </w:p>
        </w:tc>
      </w:tr>
      <w:tr w:rsidR="00915FFC" w:rsidRPr="00181944" w14:paraId="5FD3C992" w14:textId="77777777" w:rsidTr="00A95F0A">
        <w:tc>
          <w:tcPr>
            <w:tcW w:w="555" w:type="dxa"/>
          </w:tcPr>
          <w:p w14:paraId="5B509652" w14:textId="77777777" w:rsidR="00915FFC" w:rsidRPr="00386D1F" w:rsidRDefault="00915FFC" w:rsidP="00A95F0A">
            <w:pPr>
              <w:jc w:val="center"/>
              <w:rPr>
                <w:rFonts w:ascii="Garamond" w:eastAsia="Garamond" w:hAnsi="Garamond" w:cs="Garamond"/>
                <w:sz w:val="20"/>
                <w:szCs w:val="20"/>
                <w:lang w:val="sv-SE"/>
              </w:rPr>
            </w:pPr>
            <w:r>
              <w:rPr>
                <w:rFonts w:ascii="Garamond" w:eastAsia="Garamond" w:hAnsi="Garamond" w:cs="Garamond"/>
                <w:sz w:val="20"/>
                <w:szCs w:val="20"/>
                <w:lang w:val="sv-SE"/>
              </w:rPr>
              <w:t>4</w:t>
            </w:r>
          </w:p>
        </w:tc>
        <w:tc>
          <w:tcPr>
            <w:tcW w:w="1850" w:type="dxa"/>
          </w:tcPr>
          <w:p w14:paraId="3DA3AA3F" w14:textId="77777777" w:rsidR="00915FFC" w:rsidRPr="00386D1F" w:rsidRDefault="00915FFC" w:rsidP="00A95F0A">
            <w:pPr>
              <w:jc w:val="both"/>
              <w:rPr>
                <w:rFonts w:ascii="Garamond" w:eastAsia="Garamond" w:hAnsi="Garamond" w:cs="Garamond"/>
                <w:sz w:val="20"/>
                <w:szCs w:val="20"/>
                <w:lang w:val="sv-SE"/>
              </w:rPr>
            </w:pPr>
            <w:r>
              <w:rPr>
                <w:rFonts w:ascii="Garamond" w:eastAsia="Garamond" w:hAnsi="Garamond" w:cs="Garamond"/>
                <w:sz w:val="20"/>
                <w:szCs w:val="20"/>
                <w:lang w:val="sv-SE"/>
              </w:rPr>
              <w:t xml:space="preserve">Reading </w:t>
            </w:r>
            <w:r w:rsidRPr="005F5E2C">
              <w:rPr>
                <w:rFonts w:ascii="Garamond" w:eastAsia="Garamond" w:hAnsi="Garamond" w:cs="Garamond"/>
                <w:i/>
                <w:iCs/>
                <w:sz w:val="20"/>
                <w:szCs w:val="20"/>
                <w:lang w:val="sv-SE"/>
              </w:rPr>
              <w:t>yasin</w:t>
            </w:r>
            <w:r>
              <w:rPr>
                <w:rFonts w:ascii="Garamond" w:eastAsia="Garamond" w:hAnsi="Garamond" w:cs="Garamond"/>
                <w:sz w:val="20"/>
                <w:szCs w:val="20"/>
                <w:lang w:val="sv-SE"/>
              </w:rPr>
              <w:t xml:space="preserve"> and </w:t>
            </w:r>
            <w:r w:rsidRPr="005F5E2C">
              <w:rPr>
                <w:rFonts w:ascii="Garamond" w:eastAsia="Garamond" w:hAnsi="Garamond" w:cs="Garamond"/>
                <w:i/>
                <w:iCs/>
                <w:sz w:val="20"/>
                <w:szCs w:val="20"/>
                <w:lang w:val="sv-SE"/>
              </w:rPr>
              <w:t>tahlil</w:t>
            </w:r>
          </w:p>
        </w:tc>
        <w:tc>
          <w:tcPr>
            <w:tcW w:w="2126" w:type="dxa"/>
          </w:tcPr>
          <w:p w14:paraId="4AC7004A" w14:textId="77777777" w:rsidR="00915FFC" w:rsidRPr="00C87443" w:rsidRDefault="00915FFC" w:rsidP="00A95F0A">
            <w:pPr>
              <w:jc w:val="center"/>
              <w:rPr>
                <w:rFonts w:ascii="Garamond" w:eastAsia="Garamond" w:hAnsi="Garamond" w:cs="Garamond"/>
                <w:sz w:val="20"/>
                <w:szCs w:val="20"/>
                <w:lang w:val="en-ID"/>
              </w:rPr>
            </w:pPr>
            <w:r w:rsidRPr="00C87443">
              <w:rPr>
                <w:rFonts w:ascii="Garamond" w:eastAsia="Garamond" w:hAnsi="Garamond" w:cs="Garamond"/>
                <w:sz w:val="20"/>
                <w:szCs w:val="20"/>
                <w:lang w:val="en-ID"/>
              </w:rPr>
              <w:t>Every Friday night of the 4th week</w:t>
            </w:r>
          </w:p>
        </w:tc>
        <w:tc>
          <w:tcPr>
            <w:tcW w:w="1985" w:type="dxa"/>
          </w:tcPr>
          <w:p w14:paraId="4F62E2B6" w14:textId="77777777" w:rsidR="00915FFC" w:rsidRPr="00386D1F" w:rsidRDefault="00915FFC" w:rsidP="00A95F0A">
            <w:pPr>
              <w:rPr>
                <w:rFonts w:ascii="Garamond" w:eastAsia="Garamond" w:hAnsi="Garamond" w:cs="Garamond"/>
                <w:sz w:val="20"/>
                <w:szCs w:val="20"/>
                <w:lang w:val="sv-SE"/>
              </w:rPr>
            </w:pPr>
            <w:r>
              <w:rPr>
                <w:rFonts w:ascii="Garamond" w:eastAsia="Garamond" w:hAnsi="Garamond" w:cs="Garamond"/>
                <w:sz w:val="20"/>
                <w:szCs w:val="20"/>
                <w:lang w:val="sv-SE"/>
              </w:rPr>
              <w:t xml:space="preserve">Reading </w:t>
            </w:r>
            <w:r w:rsidRPr="005F5E2C">
              <w:rPr>
                <w:rFonts w:ascii="Garamond" w:eastAsia="Garamond" w:hAnsi="Garamond" w:cs="Garamond"/>
                <w:i/>
                <w:iCs/>
                <w:sz w:val="20"/>
                <w:szCs w:val="20"/>
                <w:lang w:val="sv-SE"/>
              </w:rPr>
              <w:t>yasin</w:t>
            </w:r>
            <w:r>
              <w:rPr>
                <w:rFonts w:ascii="Garamond" w:eastAsia="Garamond" w:hAnsi="Garamond" w:cs="Garamond"/>
                <w:sz w:val="20"/>
                <w:szCs w:val="20"/>
                <w:lang w:val="sv-SE"/>
              </w:rPr>
              <w:t xml:space="preserve"> and </w:t>
            </w:r>
            <w:r w:rsidRPr="005F5E2C">
              <w:rPr>
                <w:rFonts w:ascii="Garamond" w:eastAsia="Garamond" w:hAnsi="Garamond" w:cs="Garamond"/>
                <w:i/>
                <w:iCs/>
                <w:sz w:val="20"/>
                <w:szCs w:val="20"/>
                <w:lang w:val="sv-SE"/>
              </w:rPr>
              <w:t>tahlil</w:t>
            </w:r>
          </w:p>
        </w:tc>
        <w:tc>
          <w:tcPr>
            <w:tcW w:w="1984" w:type="dxa"/>
          </w:tcPr>
          <w:p w14:paraId="1FA03311" w14:textId="77777777" w:rsidR="00915FFC" w:rsidRPr="00386D1F" w:rsidRDefault="00915FFC" w:rsidP="00A95F0A">
            <w:pPr>
              <w:jc w:val="center"/>
              <w:rPr>
                <w:rFonts w:ascii="Garamond" w:eastAsia="Garamond" w:hAnsi="Garamond" w:cs="Garamond"/>
                <w:sz w:val="20"/>
                <w:szCs w:val="20"/>
                <w:lang w:val="sv-SE"/>
              </w:rPr>
            </w:pPr>
            <w:r w:rsidRPr="00C87443">
              <w:rPr>
                <w:rFonts w:ascii="Garamond" w:eastAsia="Garamond" w:hAnsi="Garamond" w:cs="Garamond"/>
                <w:sz w:val="20"/>
                <w:szCs w:val="20"/>
                <w:lang w:val="sv-SE"/>
              </w:rPr>
              <w:t>Every Friday night</w:t>
            </w:r>
          </w:p>
        </w:tc>
      </w:tr>
      <w:tr w:rsidR="00915FFC" w:rsidRPr="00181944" w14:paraId="21D56495" w14:textId="77777777" w:rsidTr="00A95F0A">
        <w:tc>
          <w:tcPr>
            <w:tcW w:w="555" w:type="dxa"/>
          </w:tcPr>
          <w:p w14:paraId="5AE8E14B" w14:textId="77777777" w:rsidR="00915FFC" w:rsidRPr="00386D1F" w:rsidRDefault="00915FFC" w:rsidP="00A95F0A">
            <w:pPr>
              <w:jc w:val="center"/>
              <w:rPr>
                <w:rFonts w:ascii="Garamond" w:eastAsia="Garamond" w:hAnsi="Garamond" w:cs="Garamond"/>
                <w:sz w:val="20"/>
                <w:szCs w:val="20"/>
                <w:lang w:val="sv-SE"/>
              </w:rPr>
            </w:pPr>
            <w:r>
              <w:rPr>
                <w:rFonts w:ascii="Garamond" w:eastAsia="Garamond" w:hAnsi="Garamond" w:cs="Garamond"/>
                <w:sz w:val="20"/>
                <w:szCs w:val="20"/>
                <w:lang w:val="sv-SE"/>
              </w:rPr>
              <w:t>5</w:t>
            </w:r>
          </w:p>
        </w:tc>
        <w:tc>
          <w:tcPr>
            <w:tcW w:w="1850" w:type="dxa"/>
          </w:tcPr>
          <w:p w14:paraId="3317F2BB" w14:textId="77777777" w:rsidR="00915FFC" w:rsidRDefault="00915FFC" w:rsidP="00A95F0A">
            <w:pPr>
              <w:jc w:val="both"/>
              <w:rPr>
                <w:rFonts w:ascii="Garamond" w:eastAsia="Garamond" w:hAnsi="Garamond" w:cs="Garamond"/>
                <w:sz w:val="20"/>
                <w:szCs w:val="20"/>
                <w:lang w:val="sv-SE"/>
              </w:rPr>
            </w:pPr>
            <w:r w:rsidRPr="005F5E2C">
              <w:rPr>
                <w:rFonts w:ascii="Garamond" w:eastAsia="Garamond" w:hAnsi="Garamond" w:cs="Garamond"/>
                <w:i/>
                <w:iCs/>
                <w:sz w:val="20"/>
                <w:szCs w:val="20"/>
                <w:lang w:val="sv-SE"/>
              </w:rPr>
              <w:t>Tajweed</w:t>
            </w:r>
            <w:r>
              <w:rPr>
                <w:rFonts w:ascii="Garamond" w:eastAsia="Garamond" w:hAnsi="Garamond" w:cs="Garamond"/>
                <w:sz w:val="20"/>
                <w:szCs w:val="20"/>
                <w:lang w:val="sv-SE"/>
              </w:rPr>
              <w:t xml:space="preserve"> study</w:t>
            </w:r>
          </w:p>
        </w:tc>
        <w:tc>
          <w:tcPr>
            <w:tcW w:w="2126" w:type="dxa"/>
          </w:tcPr>
          <w:p w14:paraId="38C7CCC5" w14:textId="77777777" w:rsidR="00915FFC" w:rsidRPr="00C87443" w:rsidRDefault="00915FFC" w:rsidP="00A95F0A">
            <w:pPr>
              <w:jc w:val="center"/>
              <w:rPr>
                <w:rFonts w:ascii="Garamond" w:eastAsia="Garamond" w:hAnsi="Garamond" w:cs="Garamond"/>
                <w:sz w:val="20"/>
                <w:szCs w:val="20"/>
                <w:lang w:val="en-ID"/>
              </w:rPr>
            </w:pPr>
            <w:r w:rsidRPr="00C87443">
              <w:rPr>
                <w:rFonts w:ascii="Garamond" w:eastAsia="Garamond" w:hAnsi="Garamond" w:cs="Garamond"/>
                <w:sz w:val="20"/>
                <w:szCs w:val="20"/>
                <w:lang w:val="en-ID"/>
              </w:rPr>
              <w:t>Every night</w:t>
            </w:r>
          </w:p>
        </w:tc>
        <w:tc>
          <w:tcPr>
            <w:tcW w:w="1985" w:type="dxa"/>
            <w:vMerge w:val="restart"/>
          </w:tcPr>
          <w:p w14:paraId="64077D6D" w14:textId="77777777" w:rsidR="00915FFC" w:rsidRPr="00C87443" w:rsidRDefault="00915FFC" w:rsidP="00A95F0A">
            <w:pPr>
              <w:rPr>
                <w:rFonts w:ascii="Garamond" w:eastAsia="Garamond" w:hAnsi="Garamond" w:cs="Garamond"/>
                <w:sz w:val="20"/>
                <w:szCs w:val="20"/>
                <w:lang w:val="en-ID"/>
              </w:rPr>
            </w:pPr>
            <w:r w:rsidRPr="00C87443">
              <w:rPr>
                <w:rFonts w:ascii="Garamond" w:eastAsia="Garamond" w:hAnsi="Garamond" w:cs="Garamond"/>
                <w:sz w:val="20"/>
                <w:szCs w:val="20"/>
                <w:lang w:val="en-ID"/>
              </w:rPr>
              <w:t>Memorizing the Qur'an for children</w:t>
            </w:r>
          </w:p>
        </w:tc>
        <w:tc>
          <w:tcPr>
            <w:tcW w:w="1984" w:type="dxa"/>
            <w:vMerge w:val="restart"/>
          </w:tcPr>
          <w:p w14:paraId="0E63B2F7" w14:textId="77777777" w:rsidR="00915FFC" w:rsidRPr="00C87443" w:rsidRDefault="00915FFC" w:rsidP="00A95F0A">
            <w:pPr>
              <w:jc w:val="center"/>
              <w:rPr>
                <w:rFonts w:ascii="Garamond" w:eastAsia="Garamond" w:hAnsi="Garamond" w:cs="Garamond"/>
                <w:sz w:val="20"/>
                <w:szCs w:val="20"/>
                <w:lang w:val="en-ID"/>
              </w:rPr>
            </w:pPr>
            <w:r w:rsidRPr="00C87443">
              <w:rPr>
                <w:rFonts w:ascii="Garamond" w:eastAsia="Garamond" w:hAnsi="Garamond" w:cs="Garamond"/>
                <w:sz w:val="20"/>
                <w:szCs w:val="20"/>
                <w:lang w:val="en-ID"/>
              </w:rPr>
              <w:t xml:space="preserve">Every day after </w:t>
            </w:r>
            <w:r w:rsidRPr="00C87443">
              <w:rPr>
                <w:rFonts w:ascii="Garamond" w:eastAsia="Garamond" w:hAnsi="Garamond" w:cs="Garamond"/>
                <w:i/>
                <w:iCs/>
                <w:sz w:val="20"/>
                <w:szCs w:val="20"/>
                <w:lang w:val="en-ID"/>
              </w:rPr>
              <w:t>Maghrib</w:t>
            </w:r>
            <w:r>
              <w:rPr>
                <w:rFonts w:ascii="Garamond" w:eastAsia="Garamond" w:hAnsi="Garamond" w:cs="Garamond"/>
                <w:i/>
                <w:iCs/>
                <w:sz w:val="20"/>
                <w:szCs w:val="20"/>
                <w:lang w:val="en-ID"/>
              </w:rPr>
              <w:t xml:space="preserve"> </w:t>
            </w:r>
            <w:r w:rsidRPr="00C87443">
              <w:rPr>
                <w:rFonts w:ascii="Garamond" w:eastAsia="Garamond" w:hAnsi="Garamond" w:cs="Garamond"/>
                <w:sz w:val="20"/>
                <w:szCs w:val="20"/>
                <w:lang w:val="en-ID"/>
              </w:rPr>
              <w:t>prayer</w:t>
            </w:r>
          </w:p>
        </w:tc>
      </w:tr>
      <w:tr w:rsidR="00915FFC" w:rsidRPr="00F56B0F" w14:paraId="37D35D73" w14:textId="77777777" w:rsidTr="00A95F0A">
        <w:tc>
          <w:tcPr>
            <w:tcW w:w="555" w:type="dxa"/>
          </w:tcPr>
          <w:p w14:paraId="12805A1C" w14:textId="77777777" w:rsidR="00915FFC" w:rsidRDefault="00915FFC" w:rsidP="00A95F0A">
            <w:pPr>
              <w:jc w:val="center"/>
              <w:rPr>
                <w:rFonts w:ascii="Garamond" w:eastAsia="Garamond" w:hAnsi="Garamond" w:cs="Garamond"/>
                <w:sz w:val="20"/>
                <w:szCs w:val="20"/>
                <w:lang w:val="sv-SE"/>
              </w:rPr>
            </w:pPr>
            <w:r>
              <w:rPr>
                <w:rFonts w:ascii="Garamond" w:eastAsia="Garamond" w:hAnsi="Garamond" w:cs="Garamond"/>
                <w:sz w:val="20"/>
                <w:szCs w:val="20"/>
                <w:lang w:val="sv-SE"/>
              </w:rPr>
              <w:t>6</w:t>
            </w:r>
          </w:p>
        </w:tc>
        <w:tc>
          <w:tcPr>
            <w:tcW w:w="1850" w:type="dxa"/>
          </w:tcPr>
          <w:p w14:paraId="610D9D91" w14:textId="77777777" w:rsidR="00915FFC" w:rsidRDefault="00915FFC" w:rsidP="00A95F0A">
            <w:pPr>
              <w:rPr>
                <w:rFonts w:ascii="Garamond" w:eastAsia="Garamond" w:hAnsi="Garamond" w:cs="Garamond"/>
                <w:sz w:val="20"/>
                <w:szCs w:val="20"/>
                <w:lang w:val="sv-SE"/>
              </w:rPr>
            </w:pPr>
            <w:r>
              <w:rPr>
                <w:rFonts w:ascii="Garamond" w:eastAsia="Garamond" w:hAnsi="Garamond" w:cs="Garamond"/>
                <w:sz w:val="20"/>
                <w:szCs w:val="20"/>
                <w:lang w:val="sv-SE"/>
              </w:rPr>
              <w:t xml:space="preserve">Islamic </w:t>
            </w:r>
            <w:r w:rsidRPr="00C87443">
              <w:rPr>
                <w:rFonts w:ascii="Garamond" w:eastAsia="Garamond" w:hAnsi="Garamond" w:cs="Garamond"/>
                <w:sz w:val="20"/>
                <w:szCs w:val="20"/>
                <w:lang w:val="sv-SE"/>
              </w:rPr>
              <w:t>general studies</w:t>
            </w:r>
          </w:p>
        </w:tc>
        <w:tc>
          <w:tcPr>
            <w:tcW w:w="2126" w:type="dxa"/>
          </w:tcPr>
          <w:p w14:paraId="6262A2C2" w14:textId="77777777" w:rsidR="00915FFC" w:rsidRPr="00C87443" w:rsidRDefault="00915FFC" w:rsidP="00A95F0A">
            <w:pPr>
              <w:jc w:val="center"/>
              <w:rPr>
                <w:rFonts w:ascii="Garamond" w:eastAsia="Garamond" w:hAnsi="Garamond" w:cs="Garamond"/>
                <w:sz w:val="20"/>
                <w:szCs w:val="20"/>
                <w:lang w:val="en-ID"/>
              </w:rPr>
            </w:pPr>
            <w:r w:rsidRPr="00C87443">
              <w:rPr>
                <w:rFonts w:ascii="Garamond" w:eastAsia="Garamond" w:hAnsi="Garamond" w:cs="Garamond"/>
                <w:sz w:val="20"/>
                <w:szCs w:val="20"/>
                <w:lang w:val="en-ID"/>
              </w:rPr>
              <w:t>Every Saturday Morning of the 4th Week</w:t>
            </w:r>
          </w:p>
        </w:tc>
        <w:tc>
          <w:tcPr>
            <w:tcW w:w="1985" w:type="dxa"/>
            <w:vMerge/>
          </w:tcPr>
          <w:p w14:paraId="7D0AD992" w14:textId="77777777" w:rsidR="00915FFC" w:rsidRPr="00C87443" w:rsidRDefault="00915FFC" w:rsidP="00A95F0A">
            <w:pPr>
              <w:rPr>
                <w:rFonts w:ascii="Garamond" w:eastAsia="Garamond" w:hAnsi="Garamond" w:cs="Garamond"/>
                <w:sz w:val="20"/>
                <w:szCs w:val="20"/>
                <w:lang w:val="en-ID"/>
              </w:rPr>
            </w:pPr>
          </w:p>
        </w:tc>
        <w:tc>
          <w:tcPr>
            <w:tcW w:w="1984" w:type="dxa"/>
            <w:vMerge/>
          </w:tcPr>
          <w:p w14:paraId="2449A1DD" w14:textId="77777777" w:rsidR="00915FFC" w:rsidRPr="00C87443" w:rsidRDefault="00915FFC" w:rsidP="00A95F0A">
            <w:pPr>
              <w:jc w:val="center"/>
              <w:rPr>
                <w:rFonts w:ascii="Garamond" w:eastAsia="Garamond" w:hAnsi="Garamond" w:cs="Garamond"/>
                <w:sz w:val="20"/>
                <w:szCs w:val="20"/>
                <w:lang w:val="en-ID"/>
              </w:rPr>
            </w:pPr>
          </w:p>
        </w:tc>
      </w:tr>
      <w:tr w:rsidR="00915FFC" w:rsidRPr="00181944" w14:paraId="5AA64790" w14:textId="77777777" w:rsidTr="00A95F0A">
        <w:tc>
          <w:tcPr>
            <w:tcW w:w="555" w:type="dxa"/>
          </w:tcPr>
          <w:p w14:paraId="42B4C72A" w14:textId="77777777" w:rsidR="00915FFC" w:rsidRDefault="00915FFC" w:rsidP="00A95F0A">
            <w:pPr>
              <w:jc w:val="center"/>
              <w:rPr>
                <w:rFonts w:ascii="Garamond" w:eastAsia="Garamond" w:hAnsi="Garamond" w:cs="Garamond"/>
                <w:sz w:val="20"/>
                <w:szCs w:val="20"/>
                <w:lang w:val="sv-SE"/>
              </w:rPr>
            </w:pPr>
            <w:r>
              <w:rPr>
                <w:rFonts w:ascii="Garamond" w:eastAsia="Garamond" w:hAnsi="Garamond" w:cs="Garamond"/>
                <w:sz w:val="20"/>
                <w:szCs w:val="20"/>
                <w:lang w:val="sv-SE"/>
              </w:rPr>
              <w:t>7</w:t>
            </w:r>
          </w:p>
        </w:tc>
        <w:tc>
          <w:tcPr>
            <w:tcW w:w="1850" w:type="dxa"/>
          </w:tcPr>
          <w:p w14:paraId="2C496D8D" w14:textId="77777777" w:rsidR="00915FFC" w:rsidRPr="00C87443" w:rsidRDefault="00915FFC" w:rsidP="00A95F0A">
            <w:pPr>
              <w:rPr>
                <w:rFonts w:ascii="Garamond" w:eastAsia="Garamond" w:hAnsi="Garamond" w:cs="Garamond"/>
                <w:sz w:val="20"/>
                <w:szCs w:val="20"/>
                <w:lang w:val="en-ID"/>
              </w:rPr>
            </w:pPr>
            <w:r w:rsidRPr="00C87443">
              <w:rPr>
                <w:rFonts w:ascii="Garamond" w:eastAsia="Garamond" w:hAnsi="Garamond" w:cs="Garamond"/>
                <w:sz w:val="20"/>
                <w:szCs w:val="20"/>
                <w:lang w:val="en-ID"/>
              </w:rPr>
              <w:t>al-Qur’an for children</w:t>
            </w:r>
          </w:p>
        </w:tc>
        <w:tc>
          <w:tcPr>
            <w:tcW w:w="2126" w:type="dxa"/>
          </w:tcPr>
          <w:p w14:paraId="17FC8527" w14:textId="77777777" w:rsidR="00915FFC" w:rsidRPr="00181944" w:rsidRDefault="00915FFC" w:rsidP="00A95F0A">
            <w:pPr>
              <w:jc w:val="center"/>
              <w:rPr>
                <w:rFonts w:ascii="Garamond" w:eastAsia="Garamond" w:hAnsi="Garamond" w:cs="Garamond"/>
                <w:sz w:val="20"/>
                <w:szCs w:val="20"/>
                <w:lang w:val="nb-NO"/>
              </w:rPr>
            </w:pPr>
            <w:r w:rsidRPr="00C87443">
              <w:rPr>
                <w:rFonts w:ascii="Garamond" w:eastAsia="Garamond" w:hAnsi="Garamond" w:cs="Garamond"/>
                <w:sz w:val="20"/>
                <w:szCs w:val="20"/>
                <w:lang w:val="nb-NO"/>
              </w:rPr>
              <w:t>Every afternoon</w:t>
            </w:r>
          </w:p>
        </w:tc>
        <w:tc>
          <w:tcPr>
            <w:tcW w:w="1985" w:type="dxa"/>
            <w:vMerge/>
          </w:tcPr>
          <w:p w14:paraId="4D8CF538" w14:textId="77777777" w:rsidR="00915FFC" w:rsidRPr="00181944" w:rsidRDefault="00915FFC" w:rsidP="00A95F0A">
            <w:pPr>
              <w:rPr>
                <w:rFonts w:ascii="Garamond" w:eastAsia="Garamond" w:hAnsi="Garamond" w:cs="Garamond"/>
                <w:sz w:val="20"/>
                <w:szCs w:val="20"/>
                <w:lang w:val="nb-NO"/>
              </w:rPr>
            </w:pPr>
          </w:p>
        </w:tc>
        <w:tc>
          <w:tcPr>
            <w:tcW w:w="1984" w:type="dxa"/>
            <w:vMerge/>
          </w:tcPr>
          <w:p w14:paraId="33A84D32" w14:textId="77777777" w:rsidR="00915FFC" w:rsidRPr="00181944" w:rsidRDefault="00915FFC" w:rsidP="00A95F0A">
            <w:pPr>
              <w:jc w:val="center"/>
              <w:rPr>
                <w:rFonts w:ascii="Garamond" w:eastAsia="Garamond" w:hAnsi="Garamond" w:cs="Garamond"/>
                <w:sz w:val="20"/>
                <w:szCs w:val="20"/>
                <w:lang w:val="nb-NO"/>
              </w:rPr>
            </w:pPr>
          </w:p>
        </w:tc>
      </w:tr>
    </w:tbl>
    <w:p w14:paraId="2C1CB7C3" w14:textId="5AB9D44E" w:rsidR="000F5FC3" w:rsidRPr="00F56B0F" w:rsidRDefault="00874CA4" w:rsidP="00F56B0F">
      <w:pPr>
        <w:spacing w:line="360" w:lineRule="auto"/>
        <w:jc w:val="both"/>
        <w:rPr>
          <w:rFonts w:ascii="Garamond" w:eastAsia="Garamond" w:hAnsi="Garamond" w:cs="Garamond"/>
          <w:sz w:val="20"/>
          <w:szCs w:val="20"/>
          <w:lang w:val="en-ID"/>
        </w:rPr>
      </w:pPr>
      <w:r>
        <w:rPr>
          <w:rFonts w:ascii="Garamond" w:eastAsia="Garamond" w:hAnsi="Garamond" w:cs="Garamond"/>
          <w:sz w:val="20"/>
          <w:szCs w:val="20"/>
          <w:lang w:val="en-ID"/>
        </w:rPr>
        <w:t>Sources</w:t>
      </w:r>
      <w:r w:rsidR="00F56B0F" w:rsidRPr="00F56B0F">
        <w:rPr>
          <w:rFonts w:ascii="Garamond" w:eastAsia="Garamond" w:hAnsi="Garamond" w:cs="Garamond"/>
          <w:sz w:val="20"/>
          <w:szCs w:val="20"/>
          <w:lang w:val="en-ID"/>
        </w:rPr>
        <w:t xml:space="preserve">: </w:t>
      </w:r>
      <w:r w:rsidR="00094641">
        <w:rPr>
          <w:rFonts w:ascii="Garamond" w:eastAsia="Garamond" w:hAnsi="Garamond" w:cs="Garamond"/>
          <w:sz w:val="20"/>
          <w:szCs w:val="20"/>
          <w:lang w:val="en-ID"/>
        </w:rPr>
        <w:t xml:space="preserve">Primary </w:t>
      </w:r>
      <w:r w:rsidR="00F56B0F" w:rsidRPr="00F56B0F">
        <w:rPr>
          <w:rFonts w:ascii="Garamond" w:eastAsia="Garamond" w:hAnsi="Garamond" w:cs="Garamond"/>
          <w:sz w:val="20"/>
          <w:szCs w:val="20"/>
          <w:lang w:val="en-ID"/>
        </w:rPr>
        <w:t>Data, 2023</w:t>
      </w:r>
    </w:p>
    <w:p w14:paraId="1D46951F" w14:textId="328DDF1A" w:rsidR="00896D2C" w:rsidRPr="00960A94" w:rsidRDefault="00874CA4" w:rsidP="00874CA4">
      <w:pPr>
        <w:spacing w:line="360" w:lineRule="auto"/>
        <w:ind w:firstLine="567"/>
        <w:jc w:val="both"/>
        <w:rPr>
          <w:rFonts w:ascii="Garamond" w:eastAsia="Garamond" w:hAnsi="Garamond" w:cs="Garamond"/>
          <w:lang w:val="en-ID"/>
        </w:rPr>
      </w:pPr>
      <w:r w:rsidRPr="00874CA4">
        <w:rPr>
          <w:rFonts w:ascii="Garamond" w:eastAsia="Garamond" w:hAnsi="Garamond" w:cs="Garamond"/>
          <w:lang w:val="en-ID"/>
        </w:rPr>
        <w:t>In the early days of the announcement of Covid-19 as a dangerous national disaster, Asy-Syifa Mosque closed its worship space for one week. In contrast to Al-Mukmin Mosque, the temporary closure of the mosque was carried out without announcing the call to prayer through the speakers. The congregation is permitted to pray at the mosque if they are aware of the prayer time entry schedule. Following the implementation of various measures, the government introduced a series of policies aimed at maintaining public health and social stability. These included the adoption of health protocols and the implementation of large-scale social restrictions (PSBB).</w:t>
      </w:r>
      <w:r>
        <w:rPr>
          <w:rFonts w:ascii="Garamond" w:eastAsia="Garamond" w:hAnsi="Garamond" w:cs="Garamond"/>
          <w:lang w:val="en-ID"/>
        </w:rPr>
        <w:t xml:space="preserve"> </w:t>
      </w:r>
      <w:r w:rsidRPr="00874CA4">
        <w:rPr>
          <w:rFonts w:ascii="Garamond" w:eastAsia="Garamond" w:hAnsi="Garamond" w:cs="Garamond"/>
          <w:lang w:val="en-ID"/>
        </w:rPr>
        <w:t>In response, Masjid al-Mukmin, which had previously been closed, began to reopen, with limited access granted for the performance of certain worship activities. These included the five daily prayers, Friday prayers, taraweeh prayers, routine recitation, and other forms of worship.</w:t>
      </w:r>
      <w:r>
        <w:rPr>
          <w:rFonts w:ascii="Garamond" w:eastAsia="Garamond" w:hAnsi="Garamond" w:cs="Garamond"/>
          <w:lang w:val="en-ID"/>
        </w:rPr>
        <w:t xml:space="preserve"> </w:t>
      </w:r>
      <w:r w:rsidRPr="00874CA4">
        <w:rPr>
          <w:rFonts w:ascii="Garamond" w:eastAsia="Garamond" w:hAnsi="Garamond" w:cs="Garamond"/>
          <w:lang w:val="en-ID"/>
        </w:rPr>
        <w:t>This information was conveyed by Elderly Muslim 01</w:t>
      </w:r>
    </w:p>
    <w:p w14:paraId="37D38773" w14:textId="537E76E4" w:rsidR="00896D2C" w:rsidRPr="00CF19DA" w:rsidRDefault="00896D2C" w:rsidP="00960A94">
      <w:pPr>
        <w:pStyle w:val="ListParagraph"/>
        <w:ind w:left="567" w:right="424"/>
        <w:jc w:val="both"/>
        <w:rPr>
          <w:rFonts w:ascii="Garamond" w:eastAsia="Garamond" w:hAnsi="Garamond" w:cs="Garamond"/>
          <w:lang w:val="en-ID"/>
        </w:rPr>
      </w:pPr>
      <w:r w:rsidRPr="00960A94">
        <w:rPr>
          <w:rFonts w:ascii="Garamond" w:eastAsia="Garamond" w:hAnsi="Garamond" w:cs="Garamond"/>
          <w:lang w:val="en-ID"/>
        </w:rPr>
        <w:t>“...</w:t>
      </w:r>
      <w:r w:rsidR="00874CA4" w:rsidRPr="00874CA4">
        <w:rPr>
          <w:rFonts w:ascii="Garamond" w:eastAsia="Garamond" w:hAnsi="Garamond" w:cs="Garamond"/>
          <w:lang w:val="en-ID"/>
        </w:rPr>
        <w:t>Upon the initial emergence of the novel coronavirus in Bengkulu, the government disseminated a circular outlining the restrictions on religious observance. Immediately following the receipt of the aforementioned circular from the government regarding the restrictions on worship, we, the administrators of the mosque, convened a meeting. It was agreed that al-Mukmin Mosque would implement restrictions on worship and health protocols in accordance with recommendations. Consequently, the mosque is still able to hold worship.</w:t>
      </w:r>
      <w:r w:rsidR="00DB75DF" w:rsidRPr="00CF19DA">
        <w:rPr>
          <w:rFonts w:ascii="Garamond" w:eastAsia="Garamond" w:hAnsi="Garamond" w:cs="Garamond"/>
          <w:lang w:val="en-ID"/>
        </w:rPr>
        <w:t>.</w:t>
      </w:r>
      <w:r w:rsidRPr="00CF19DA">
        <w:rPr>
          <w:rFonts w:ascii="Garamond" w:eastAsia="Garamond" w:hAnsi="Garamond" w:cs="Garamond"/>
          <w:lang w:val="en-ID"/>
        </w:rPr>
        <w:t>”</w:t>
      </w:r>
    </w:p>
    <w:p w14:paraId="5AF66BC6" w14:textId="77777777" w:rsidR="00DB75DF" w:rsidRPr="00CF19DA" w:rsidRDefault="00DB75DF" w:rsidP="00960A94">
      <w:pPr>
        <w:pStyle w:val="ListParagraph"/>
        <w:ind w:left="567" w:right="424"/>
        <w:jc w:val="both"/>
        <w:rPr>
          <w:rFonts w:ascii="Garamond" w:eastAsia="Garamond" w:hAnsi="Garamond" w:cs="Garamond"/>
          <w:sz w:val="14"/>
          <w:szCs w:val="14"/>
          <w:lang w:val="en-ID"/>
        </w:rPr>
      </w:pPr>
    </w:p>
    <w:p w14:paraId="7D11E27A" w14:textId="5448308A" w:rsidR="00896D2C" w:rsidRPr="00EC3AC8" w:rsidRDefault="00EC3AC8" w:rsidP="00EC3AC8">
      <w:pPr>
        <w:spacing w:line="360" w:lineRule="auto"/>
        <w:ind w:firstLine="567"/>
        <w:jc w:val="both"/>
        <w:rPr>
          <w:rFonts w:ascii="Garamond" w:eastAsia="Garamond" w:hAnsi="Garamond" w:cs="Garamond"/>
          <w:lang w:val="en-ID"/>
        </w:rPr>
      </w:pPr>
      <w:r w:rsidRPr="00EC3AC8">
        <w:rPr>
          <w:rFonts w:ascii="Garamond" w:eastAsia="Garamond" w:hAnsi="Garamond" w:cs="Garamond"/>
          <w:lang w:val="en-ID"/>
        </w:rPr>
        <w:t xml:space="preserve">Al-Mukmin Mosque adheres rigorously to a comprehensive set of health protocols. These include the installation of appeal banners outlining the protocols, the rolling out of prayer carpets to facilitate distancing, the marking of distances between worshippers with floor markings, the provision of free masks and hand washing soap at the ablution point, and the distribution of hand sanitisers across the premises. Additionally, the imam has been reminding worshippers to maintain the correct shaf and adjust accordingly. In contrast, the Asy-Syifa Mosque has not implemented a set of strict regulations in open locations during the Covid-19 pandemic. Among the observed practices was the rolling up of the carpet, leaving it in the initial row only, the provision of hand sanitiser and liquid soap for handwashing, as well as the installation of posters belonging to the Ministry of Health at the </w:t>
      </w:r>
      <w:r w:rsidRPr="00EC3AC8">
        <w:rPr>
          <w:rFonts w:ascii="Garamond" w:eastAsia="Garamond" w:hAnsi="Garamond" w:cs="Garamond"/>
          <w:lang w:val="en-ID"/>
        </w:rPr>
        <w:lastRenderedPageBreak/>
        <w:t>entrance of the mosque, which serve to remind worshippers of the importance of adhering to health protocols</w:t>
      </w:r>
      <w:r w:rsidR="00DB75DF" w:rsidRPr="00CF19DA">
        <w:rPr>
          <w:rFonts w:ascii="Garamond" w:eastAsia="Garamond" w:hAnsi="Garamond" w:cs="Garamond"/>
          <w:lang w:val="en-ID"/>
        </w:rPr>
        <w:t>.</w:t>
      </w:r>
    </w:p>
    <w:p w14:paraId="58A3AA22" w14:textId="3D0B988F" w:rsidR="00463732" w:rsidRPr="00CF19DA" w:rsidRDefault="00EC3AC8" w:rsidP="00EC11CD">
      <w:pPr>
        <w:spacing w:line="360" w:lineRule="auto"/>
        <w:jc w:val="both"/>
        <w:rPr>
          <w:rFonts w:ascii="Garamond" w:eastAsia="Garamond" w:hAnsi="Garamond" w:cs="Garamond"/>
          <w:b/>
          <w:bCs/>
          <w:lang w:val="id-ID"/>
        </w:rPr>
      </w:pPr>
      <w:r w:rsidRPr="00EC3AC8">
        <w:rPr>
          <w:rFonts w:ascii="Garamond" w:eastAsia="Garamond" w:hAnsi="Garamond" w:cs="Garamond"/>
          <w:b/>
          <w:bCs/>
          <w:lang w:val="id-ID"/>
        </w:rPr>
        <w:t>Elderly Muslim Cognitive Response</w:t>
      </w:r>
    </w:p>
    <w:p w14:paraId="3CE4BF96" w14:textId="22D6A4C1" w:rsidR="00EC3AC8" w:rsidRPr="00CF19DA" w:rsidRDefault="00EC3AC8" w:rsidP="00F147FF">
      <w:pPr>
        <w:spacing w:line="360" w:lineRule="auto"/>
        <w:ind w:firstLine="567"/>
        <w:jc w:val="both"/>
        <w:rPr>
          <w:rFonts w:ascii="Garamond" w:eastAsia="Garamond" w:hAnsi="Garamond" w:cs="Garamond"/>
          <w:lang w:val="id-ID"/>
        </w:rPr>
      </w:pPr>
      <w:r w:rsidRPr="00EC3AC8">
        <w:rPr>
          <w:rFonts w:ascii="Garamond" w:eastAsia="Garamond" w:hAnsi="Garamond" w:cs="Garamond"/>
          <w:lang w:val="id-ID"/>
        </w:rPr>
        <w:t xml:space="preserve">Humans have three types of reactions: cognitive, affective and psychomotor </w:t>
      </w:r>
      <w:r>
        <w:rPr>
          <w:rFonts w:ascii="Garamond" w:eastAsia="Garamond" w:hAnsi="Garamond" w:cs="Garamond"/>
          <w:lang w:val="id-ID"/>
        </w:rPr>
        <w:fldChar w:fldCharType="begin" w:fldLock="1"/>
      </w:r>
      <w:r>
        <w:rPr>
          <w:rFonts w:ascii="Garamond" w:eastAsia="Garamond" w:hAnsi="Garamond" w:cs="Garamond"/>
          <w:lang w:val="id-ID"/>
        </w:rPr>
        <w:instrText>ADDIN CSL_CITATION { "citationItems" : [ { "id" : "ITEM-1", "itemData" : { "author" : [ { "dropping-particle" : "", "family" : "Chaffee", "given" : "Steven H.", "non-dropping-particle" : "", "parse-names" : false, "suffix" : "" }, { "dropping-particle" : "", "family" : "Schleuder", "given" : "Joan", "non-dropping-particle" : "", "parse-names" : false, "suffix" : "" } ], "container-title" : "Human Communication Research", "id" : "ITEM-1", "issue" : "1", "issued" : { "date-parts" : [ [ "1986" ] ] }, "page" : "76-107", "title" : "Measurement and effects of attention to media news", "type" : "article-journal", "volume" : "13" }, "uris" : [ "http://www.mendeley.com/documents/?uuid=031a019a-0244-41dd-9f0b-0200d6c0924c" ] } ], "mendeley" : { "formattedCitation" : "(Chaffee &amp; Schleuder, 1986)", "plainTextFormattedCitation" : "(Chaffee &amp; Schleuder, 1986)", "previouslyFormattedCitation" : "(Chaffee &amp; Schleuder, 1986)" }, "properties" : { "noteIndex" : 0 }, "schema" : "https://github.com/citation-style-language/schema/raw/master/csl-citation.json" }</w:instrText>
      </w:r>
      <w:r>
        <w:rPr>
          <w:rFonts w:ascii="Garamond" w:eastAsia="Garamond" w:hAnsi="Garamond" w:cs="Garamond"/>
          <w:lang w:val="id-ID"/>
        </w:rPr>
        <w:fldChar w:fldCharType="separate"/>
      </w:r>
      <w:r w:rsidRPr="00CF19DA">
        <w:rPr>
          <w:rFonts w:ascii="Garamond" w:eastAsia="Garamond" w:hAnsi="Garamond" w:cs="Garamond"/>
          <w:noProof/>
          <w:lang w:val="id-ID"/>
        </w:rPr>
        <w:t>(Chaffee &amp; Schleuder, 1986)</w:t>
      </w:r>
      <w:r>
        <w:rPr>
          <w:rFonts w:ascii="Garamond" w:eastAsia="Garamond" w:hAnsi="Garamond" w:cs="Garamond"/>
          <w:lang w:val="id-ID"/>
        </w:rPr>
        <w:fldChar w:fldCharType="end"/>
      </w:r>
      <w:r w:rsidRPr="00EC3AC8">
        <w:rPr>
          <w:rFonts w:ascii="Garamond" w:eastAsia="Garamond" w:hAnsi="Garamond" w:cs="Garamond"/>
          <w:lang w:val="id-ID"/>
        </w:rPr>
        <w:t>. This study focuses on examining the cognitive response of elderly Muslims to the restrictions on worship in areas that are justified as red zones. Before the discussion of the results, the researchers present the views of worshippers at Al-Mukmin and Asy-Syifa mosques. Table 3 describes the findings based on interviewed points that emerge from the views of the informants. There are six points from the cognitive aspects of elderly Muslims towards the rules of worship restrictions in the red zone: knowing, understanding, applying, criticising, combining with basic knowledge and evaluating.</w:t>
      </w:r>
    </w:p>
    <w:p w14:paraId="5E156954" w14:textId="440ACD5C" w:rsidR="008E1FDA" w:rsidRDefault="00F51A8F" w:rsidP="00F51A8F">
      <w:pPr>
        <w:spacing w:line="360" w:lineRule="auto"/>
        <w:jc w:val="center"/>
        <w:rPr>
          <w:rFonts w:ascii="Garamond" w:eastAsia="Garamond" w:hAnsi="Garamond" w:cs="Garamond"/>
          <w:sz w:val="20"/>
          <w:szCs w:val="20"/>
          <w:lang w:val="sv-SE"/>
        </w:rPr>
      </w:pPr>
      <w:r w:rsidRPr="00DB2E7E">
        <w:rPr>
          <w:rFonts w:ascii="Garamond" w:eastAsia="Garamond" w:hAnsi="Garamond" w:cs="Garamond"/>
          <w:b/>
          <w:bCs/>
          <w:sz w:val="20"/>
          <w:szCs w:val="20"/>
          <w:lang w:val="en-ID"/>
        </w:rPr>
        <w:t>Tabl</w:t>
      </w:r>
      <w:r w:rsidR="00EC3AC8">
        <w:rPr>
          <w:rFonts w:ascii="Garamond" w:eastAsia="Garamond" w:hAnsi="Garamond" w:cs="Garamond"/>
          <w:b/>
          <w:bCs/>
          <w:sz w:val="20"/>
          <w:szCs w:val="20"/>
          <w:lang w:val="en-ID"/>
        </w:rPr>
        <w:t>e</w:t>
      </w:r>
      <w:r w:rsidRPr="00DB2E7E">
        <w:rPr>
          <w:rFonts w:ascii="Garamond" w:eastAsia="Garamond" w:hAnsi="Garamond" w:cs="Garamond"/>
          <w:b/>
          <w:bCs/>
          <w:sz w:val="20"/>
          <w:szCs w:val="20"/>
          <w:lang w:val="en-ID"/>
        </w:rPr>
        <w:t xml:space="preserve"> </w:t>
      </w:r>
      <w:r w:rsidR="00181944">
        <w:rPr>
          <w:rFonts w:ascii="Garamond" w:eastAsia="Garamond" w:hAnsi="Garamond" w:cs="Garamond"/>
          <w:b/>
          <w:bCs/>
          <w:sz w:val="20"/>
          <w:szCs w:val="20"/>
          <w:lang w:val="en-ID"/>
        </w:rPr>
        <w:t>3</w:t>
      </w:r>
      <w:r w:rsidRPr="00DB2E7E">
        <w:rPr>
          <w:rFonts w:ascii="Garamond" w:eastAsia="Garamond" w:hAnsi="Garamond" w:cs="Garamond"/>
          <w:b/>
          <w:bCs/>
          <w:sz w:val="20"/>
          <w:szCs w:val="20"/>
          <w:lang w:val="en-ID"/>
        </w:rPr>
        <w:t>.</w:t>
      </w:r>
      <w:r w:rsidRPr="00DB2E7E">
        <w:rPr>
          <w:rFonts w:ascii="Garamond" w:eastAsia="Garamond" w:hAnsi="Garamond" w:cs="Garamond"/>
          <w:sz w:val="20"/>
          <w:szCs w:val="20"/>
          <w:lang w:val="en-ID"/>
        </w:rPr>
        <w:t xml:space="preserve"> </w:t>
      </w:r>
      <w:r w:rsidR="00EC3AC8" w:rsidRPr="00EC3AC8">
        <w:rPr>
          <w:rFonts w:ascii="Garamond" w:eastAsia="Garamond" w:hAnsi="Garamond" w:cs="Garamond"/>
          <w:sz w:val="20"/>
          <w:szCs w:val="20"/>
          <w:lang w:val="sv-SE"/>
        </w:rPr>
        <w:t>Elderly Response from the Cognitive Aspect</w:t>
      </w:r>
    </w:p>
    <w:tbl>
      <w:tblPr>
        <w:tblStyle w:val="TableGrid"/>
        <w:tblW w:w="0" w:type="auto"/>
        <w:tblLook w:val="04A0" w:firstRow="1" w:lastRow="0" w:firstColumn="1" w:lastColumn="0" w:noHBand="0" w:noVBand="1"/>
      </w:tblPr>
      <w:tblGrid>
        <w:gridCol w:w="1129"/>
        <w:gridCol w:w="2268"/>
        <w:gridCol w:w="5098"/>
      </w:tblGrid>
      <w:tr w:rsidR="00915FFC" w:rsidRPr="008E1FDA" w14:paraId="14FEF1CC" w14:textId="77777777" w:rsidTr="00A95F0A">
        <w:tc>
          <w:tcPr>
            <w:tcW w:w="1129" w:type="dxa"/>
          </w:tcPr>
          <w:p w14:paraId="1A310D28" w14:textId="77777777" w:rsidR="00915FFC" w:rsidRPr="008E1FDA" w:rsidRDefault="00915FFC" w:rsidP="00A95F0A">
            <w:pPr>
              <w:jc w:val="center"/>
              <w:rPr>
                <w:rFonts w:ascii="Garamond" w:eastAsia="Garamond" w:hAnsi="Garamond" w:cs="Garamond"/>
                <w:b/>
                <w:bCs/>
                <w:sz w:val="20"/>
                <w:szCs w:val="20"/>
                <w:lang w:val="sv-SE"/>
              </w:rPr>
            </w:pPr>
            <w:r w:rsidRPr="008E1FDA">
              <w:rPr>
                <w:rFonts w:ascii="Garamond" w:eastAsia="Garamond" w:hAnsi="Garamond" w:cs="Garamond"/>
                <w:b/>
                <w:bCs/>
                <w:sz w:val="20"/>
                <w:szCs w:val="20"/>
                <w:lang w:val="sv-SE"/>
              </w:rPr>
              <w:t>Aspe</w:t>
            </w:r>
            <w:r>
              <w:rPr>
                <w:rFonts w:ascii="Garamond" w:eastAsia="Garamond" w:hAnsi="Garamond" w:cs="Garamond"/>
                <w:b/>
                <w:bCs/>
                <w:sz w:val="20"/>
                <w:szCs w:val="20"/>
                <w:lang w:val="sv-SE"/>
              </w:rPr>
              <w:t>ct</w:t>
            </w:r>
          </w:p>
        </w:tc>
        <w:tc>
          <w:tcPr>
            <w:tcW w:w="2268" w:type="dxa"/>
          </w:tcPr>
          <w:p w14:paraId="66D279D7" w14:textId="77777777" w:rsidR="00915FFC" w:rsidRPr="008E1FDA" w:rsidRDefault="00915FFC" w:rsidP="00A95F0A">
            <w:pPr>
              <w:jc w:val="center"/>
              <w:rPr>
                <w:rFonts w:ascii="Garamond" w:eastAsia="Garamond" w:hAnsi="Garamond" w:cs="Garamond"/>
                <w:b/>
                <w:bCs/>
                <w:sz w:val="20"/>
                <w:szCs w:val="20"/>
                <w:lang w:val="sv-SE"/>
              </w:rPr>
            </w:pPr>
            <w:r>
              <w:rPr>
                <w:rFonts w:ascii="Garamond" w:eastAsia="Garamond" w:hAnsi="Garamond" w:cs="Garamond"/>
                <w:b/>
                <w:bCs/>
                <w:sz w:val="20"/>
                <w:szCs w:val="20"/>
                <w:lang w:val="sv-SE"/>
              </w:rPr>
              <w:t>Poin Interviewee</w:t>
            </w:r>
          </w:p>
        </w:tc>
        <w:tc>
          <w:tcPr>
            <w:tcW w:w="5098" w:type="dxa"/>
          </w:tcPr>
          <w:p w14:paraId="339923CB" w14:textId="77777777" w:rsidR="00915FFC" w:rsidRPr="008E1FDA" w:rsidRDefault="00915FFC" w:rsidP="00A95F0A">
            <w:pPr>
              <w:jc w:val="center"/>
              <w:rPr>
                <w:rFonts w:ascii="Garamond" w:eastAsia="Garamond" w:hAnsi="Garamond" w:cs="Garamond"/>
                <w:b/>
                <w:bCs/>
                <w:sz w:val="20"/>
                <w:szCs w:val="20"/>
                <w:lang w:val="sv-SE"/>
              </w:rPr>
            </w:pPr>
            <w:r>
              <w:rPr>
                <w:rFonts w:ascii="Garamond" w:eastAsia="Garamond" w:hAnsi="Garamond" w:cs="Garamond"/>
                <w:b/>
                <w:bCs/>
                <w:sz w:val="20"/>
                <w:szCs w:val="20"/>
                <w:lang w:val="sv-SE"/>
              </w:rPr>
              <w:t>Content</w:t>
            </w:r>
          </w:p>
        </w:tc>
      </w:tr>
      <w:tr w:rsidR="00915FFC" w:rsidRPr="00BF2253" w14:paraId="2509B318" w14:textId="77777777" w:rsidTr="00A95F0A">
        <w:tc>
          <w:tcPr>
            <w:tcW w:w="1129" w:type="dxa"/>
          </w:tcPr>
          <w:p w14:paraId="138EEACA" w14:textId="77777777" w:rsidR="00915FFC" w:rsidRPr="008E1FDA" w:rsidRDefault="00915FFC" w:rsidP="00A95F0A">
            <w:pPr>
              <w:jc w:val="center"/>
              <w:rPr>
                <w:rFonts w:ascii="Garamond" w:eastAsia="Garamond" w:hAnsi="Garamond" w:cs="Garamond"/>
                <w:sz w:val="20"/>
                <w:szCs w:val="20"/>
                <w:lang w:val="sv-SE"/>
              </w:rPr>
            </w:pPr>
            <w:r w:rsidRPr="00954A7A">
              <w:rPr>
                <w:rFonts w:ascii="Garamond" w:eastAsia="Garamond" w:hAnsi="Garamond" w:cs="Garamond"/>
                <w:sz w:val="20"/>
                <w:szCs w:val="20"/>
                <w:lang w:val="en-ID"/>
              </w:rPr>
              <w:t>Cognitive</w:t>
            </w:r>
          </w:p>
        </w:tc>
        <w:tc>
          <w:tcPr>
            <w:tcW w:w="2268" w:type="dxa"/>
          </w:tcPr>
          <w:p w14:paraId="6CD20C64" w14:textId="77777777" w:rsidR="00915FFC" w:rsidRPr="00CD7D49" w:rsidRDefault="00915FFC" w:rsidP="00A95F0A">
            <w:pPr>
              <w:pStyle w:val="ListParagraph"/>
              <w:numPr>
                <w:ilvl w:val="0"/>
                <w:numId w:val="4"/>
              </w:numPr>
              <w:ind w:left="322" w:hanging="284"/>
              <w:jc w:val="both"/>
              <w:rPr>
                <w:rFonts w:ascii="Garamond" w:eastAsia="Garamond" w:hAnsi="Garamond" w:cs="Garamond"/>
                <w:sz w:val="20"/>
                <w:szCs w:val="20"/>
                <w:lang w:val="en-ID"/>
              </w:rPr>
            </w:pPr>
            <w:r w:rsidRPr="00CD7D49">
              <w:rPr>
                <w:rFonts w:ascii="Garamond" w:eastAsia="Garamond" w:hAnsi="Garamond" w:cs="Garamond"/>
                <w:sz w:val="20"/>
                <w:szCs w:val="20"/>
                <w:lang w:val="en-ID"/>
              </w:rPr>
              <w:t>Know the rules regarding restrictions on worship in the red zone</w:t>
            </w:r>
          </w:p>
        </w:tc>
        <w:tc>
          <w:tcPr>
            <w:tcW w:w="5098" w:type="dxa"/>
          </w:tcPr>
          <w:p w14:paraId="51323D55"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Elderly Muslim 01:</w:t>
            </w:r>
          </w:p>
          <w:p w14:paraId="0F67BA07"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"...at the beginning of Corona, a circular was issued by the MUI."</w:t>
            </w:r>
          </w:p>
          <w:p w14:paraId="19585159" w14:textId="77777777" w:rsidR="00915FFC" w:rsidRPr="002A2DA6" w:rsidRDefault="00915FFC" w:rsidP="00A95F0A">
            <w:pPr>
              <w:jc w:val="both"/>
              <w:rPr>
                <w:rFonts w:ascii="Garamond" w:eastAsia="Garamond" w:hAnsi="Garamond" w:cs="Garamond"/>
                <w:sz w:val="20"/>
                <w:szCs w:val="20"/>
                <w:lang w:val="en-ID"/>
              </w:rPr>
            </w:pPr>
          </w:p>
          <w:p w14:paraId="6C357CA6"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Elderly Muslim 04:</w:t>
            </w:r>
          </w:p>
          <w:p w14:paraId="5AFBEAC8"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"Initially, it was not allowed to worship in mosques, but looking at the conditions, the government provided an opportunity. "Prayers keep their distance."</w:t>
            </w:r>
          </w:p>
          <w:p w14:paraId="0D6AEBE0" w14:textId="77777777" w:rsidR="00915FFC" w:rsidRPr="002A2DA6" w:rsidRDefault="00915FFC" w:rsidP="00A95F0A">
            <w:pPr>
              <w:jc w:val="both"/>
              <w:rPr>
                <w:rFonts w:ascii="Garamond" w:eastAsia="Garamond" w:hAnsi="Garamond" w:cs="Garamond"/>
                <w:sz w:val="20"/>
                <w:szCs w:val="20"/>
                <w:lang w:val="en-ID"/>
              </w:rPr>
            </w:pPr>
          </w:p>
          <w:p w14:paraId="59E7B575"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Elderly Muslim 07:</w:t>
            </w:r>
          </w:p>
          <w:p w14:paraId="2929357A"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"It is true. There is an appeal from the MUI. "There are also those from the government, but they are not specific to mosques."</w:t>
            </w:r>
          </w:p>
          <w:p w14:paraId="2CF55958" w14:textId="77777777" w:rsidR="00915FFC" w:rsidRPr="002A2DA6" w:rsidRDefault="00915FFC" w:rsidP="00A95F0A">
            <w:pPr>
              <w:jc w:val="both"/>
              <w:rPr>
                <w:rFonts w:ascii="Garamond" w:eastAsia="Garamond" w:hAnsi="Garamond" w:cs="Garamond"/>
                <w:sz w:val="20"/>
                <w:szCs w:val="20"/>
                <w:lang w:val="en-ID"/>
              </w:rPr>
            </w:pPr>
          </w:p>
          <w:p w14:paraId="5B715E82"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Elderly Muslims 10:</w:t>
            </w:r>
          </w:p>
          <w:p w14:paraId="27437D64"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"My son, who forbade praying at the mosque, said there was an appeal from the government."</w:t>
            </w:r>
          </w:p>
          <w:p w14:paraId="632E28D6" w14:textId="77777777" w:rsidR="00915FFC" w:rsidRPr="002A2DA6" w:rsidRDefault="00915FFC" w:rsidP="00A95F0A">
            <w:pPr>
              <w:jc w:val="both"/>
              <w:rPr>
                <w:rFonts w:ascii="Garamond" w:eastAsia="Garamond" w:hAnsi="Garamond" w:cs="Garamond"/>
                <w:sz w:val="20"/>
                <w:szCs w:val="20"/>
                <w:lang w:val="en-ID"/>
              </w:rPr>
            </w:pPr>
          </w:p>
          <w:p w14:paraId="7CE18CD4"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Elderly Muslims 11:</w:t>
            </w:r>
          </w:p>
          <w:p w14:paraId="73E4A137" w14:textId="77777777" w:rsidR="00915FFC" w:rsidRPr="006D42D2"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en-ID"/>
              </w:rPr>
              <w:t>"I've heard from mosque congregations, but I haven't read the rules."</w:t>
            </w:r>
          </w:p>
        </w:tc>
      </w:tr>
      <w:tr w:rsidR="00915FFC" w:rsidRPr="002A2DA6" w14:paraId="55E21DEA" w14:textId="77777777" w:rsidTr="00A95F0A">
        <w:tc>
          <w:tcPr>
            <w:tcW w:w="1129" w:type="dxa"/>
          </w:tcPr>
          <w:p w14:paraId="002859CB" w14:textId="77777777" w:rsidR="00915FFC" w:rsidRPr="006D42D2" w:rsidRDefault="00915FFC" w:rsidP="00A95F0A">
            <w:pPr>
              <w:jc w:val="both"/>
              <w:rPr>
                <w:rFonts w:ascii="Garamond" w:eastAsia="Garamond" w:hAnsi="Garamond" w:cs="Garamond"/>
                <w:sz w:val="20"/>
                <w:szCs w:val="20"/>
                <w:lang w:val="id-ID"/>
              </w:rPr>
            </w:pPr>
          </w:p>
        </w:tc>
        <w:tc>
          <w:tcPr>
            <w:tcW w:w="2268" w:type="dxa"/>
          </w:tcPr>
          <w:p w14:paraId="27096B75" w14:textId="77777777" w:rsidR="00915FFC" w:rsidRPr="00CD7D49" w:rsidRDefault="00915FFC" w:rsidP="00A95F0A">
            <w:pPr>
              <w:pStyle w:val="ListParagraph"/>
              <w:numPr>
                <w:ilvl w:val="0"/>
                <w:numId w:val="4"/>
              </w:numPr>
              <w:ind w:left="322" w:hanging="284"/>
              <w:jc w:val="both"/>
              <w:rPr>
                <w:rFonts w:ascii="Garamond" w:eastAsia="Garamond" w:hAnsi="Garamond" w:cs="Garamond"/>
                <w:sz w:val="20"/>
                <w:szCs w:val="20"/>
                <w:lang w:val="en-ID"/>
              </w:rPr>
            </w:pPr>
            <w:r w:rsidRPr="00CD7D49">
              <w:rPr>
                <w:rFonts w:ascii="Garamond" w:eastAsia="Garamond" w:hAnsi="Garamond" w:cs="Garamond"/>
                <w:sz w:val="20"/>
                <w:szCs w:val="20"/>
                <w:lang w:val="en-ID"/>
              </w:rPr>
              <w:t>Understand the rules regarding restrictions on worship</w:t>
            </w:r>
          </w:p>
          <w:p w14:paraId="2F6C2F83" w14:textId="77777777" w:rsidR="00915FFC" w:rsidRPr="00CD7D49" w:rsidRDefault="00915FFC" w:rsidP="00A95F0A">
            <w:pPr>
              <w:jc w:val="both"/>
              <w:rPr>
                <w:rFonts w:ascii="Garamond" w:eastAsia="Garamond" w:hAnsi="Garamond" w:cs="Garamond"/>
                <w:sz w:val="20"/>
                <w:szCs w:val="20"/>
                <w:lang w:val="en-ID"/>
              </w:rPr>
            </w:pPr>
          </w:p>
        </w:tc>
        <w:tc>
          <w:tcPr>
            <w:tcW w:w="5098" w:type="dxa"/>
          </w:tcPr>
          <w:p w14:paraId="64678BCE"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01:</w:t>
            </w:r>
          </w:p>
          <w:p w14:paraId="736B4828"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"The circular we received at that time, regarding the rules for carrying out prayers in the midst of a pandemic... we were told to wear masks, wash our hands, keep our distance."</w:t>
            </w:r>
          </w:p>
          <w:p w14:paraId="75BC1D11" w14:textId="77777777" w:rsidR="00915FFC" w:rsidRPr="002A2DA6" w:rsidRDefault="00915FFC" w:rsidP="00A95F0A">
            <w:pPr>
              <w:jc w:val="both"/>
              <w:rPr>
                <w:rFonts w:ascii="Garamond" w:eastAsia="Garamond" w:hAnsi="Garamond" w:cs="Garamond"/>
                <w:sz w:val="20"/>
                <w:szCs w:val="20"/>
                <w:lang w:val="id-ID"/>
              </w:rPr>
            </w:pPr>
          </w:p>
          <w:p w14:paraId="4CB3FCCD"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02:</w:t>
            </w:r>
          </w:p>
          <w:p w14:paraId="2FF62668"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"Whether there are rules or not, we understand that we have to wear masks, wash hands, it has always been provided outside, keep your distance, and bring prayer mats from home."</w:t>
            </w:r>
          </w:p>
          <w:p w14:paraId="112C26C5" w14:textId="77777777" w:rsidR="00915FFC" w:rsidRPr="002A2DA6" w:rsidRDefault="00915FFC" w:rsidP="00A95F0A">
            <w:pPr>
              <w:jc w:val="both"/>
              <w:rPr>
                <w:rFonts w:ascii="Garamond" w:eastAsia="Garamond" w:hAnsi="Garamond" w:cs="Garamond"/>
                <w:sz w:val="20"/>
                <w:szCs w:val="20"/>
                <w:lang w:val="id-ID"/>
              </w:rPr>
            </w:pPr>
          </w:p>
          <w:p w14:paraId="65D815E0"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04:</w:t>
            </w:r>
          </w:p>
          <w:p w14:paraId="2DCC2910"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"...keep your prayer distance, wear a mask, immediately disperse after prayer..."</w:t>
            </w:r>
          </w:p>
          <w:p w14:paraId="0C5019DE" w14:textId="77777777" w:rsidR="00915FFC" w:rsidRPr="002A2DA6" w:rsidRDefault="00915FFC" w:rsidP="00A95F0A">
            <w:pPr>
              <w:jc w:val="both"/>
              <w:rPr>
                <w:rFonts w:ascii="Garamond" w:eastAsia="Garamond" w:hAnsi="Garamond" w:cs="Garamond"/>
                <w:sz w:val="20"/>
                <w:szCs w:val="20"/>
                <w:lang w:val="id-ID"/>
              </w:rPr>
            </w:pPr>
          </w:p>
          <w:p w14:paraId="77FCFEF6"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07:</w:t>
            </w:r>
          </w:p>
          <w:p w14:paraId="3FCE0EBD"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 xml:space="preserve">"As far as I know, we are told to obey 3M, keep our distance, </w:t>
            </w:r>
            <w:r w:rsidRPr="002A2DA6">
              <w:rPr>
                <w:rFonts w:ascii="Garamond" w:eastAsia="Garamond" w:hAnsi="Garamond" w:cs="Garamond"/>
                <w:sz w:val="20"/>
                <w:szCs w:val="20"/>
                <w:lang w:val="id-ID"/>
              </w:rPr>
              <w:lastRenderedPageBreak/>
              <w:t>wash our hands. "Then if we are exposed, like yesterday's mother, we have to be isolated at home; we cannot go to the mosque."</w:t>
            </w:r>
          </w:p>
          <w:p w14:paraId="5F184DBD" w14:textId="77777777" w:rsidR="00915FFC" w:rsidRPr="002A2DA6" w:rsidRDefault="00915FFC" w:rsidP="00A95F0A">
            <w:pPr>
              <w:jc w:val="both"/>
              <w:rPr>
                <w:rFonts w:ascii="Garamond" w:eastAsia="Garamond" w:hAnsi="Garamond" w:cs="Garamond"/>
                <w:sz w:val="20"/>
                <w:szCs w:val="20"/>
                <w:lang w:val="id-ID"/>
              </w:rPr>
            </w:pPr>
          </w:p>
          <w:p w14:paraId="426B26C6"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08:</w:t>
            </w:r>
          </w:p>
          <w:p w14:paraId="23BB4EFA"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"Yes, the contents of the rules, as far as I know, we are told to pray at home because of Covid-19, right?"</w:t>
            </w:r>
          </w:p>
          <w:p w14:paraId="63D18683" w14:textId="77777777" w:rsidR="00915FFC" w:rsidRPr="002A2DA6" w:rsidRDefault="00915FFC" w:rsidP="00A95F0A">
            <w:pPr>
              <w:jc w:val="both"/>
              <w:rPr>
                <w:rFonts w:ascii="Garamond" w:eastAsia="Garamond" w:hAnsi="Garamond" w:cs="Garamond"/>
                <w:sz w:val="20"/>
                <w:szCs w:val="20"/>
                <w:lang w:val="id-ID"/>
              </w:rPr>
            </w:pPr>
          </w:p>
          <w:p w14:paraId="78224A8B"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Muslims 10:</w:t>
            </w:r>
          </w:p>
          <w:p w14:paraId="5692B978" w14:textId="77777777" w:rsidR="00915FFC" w:rsidRPr="00FD6889"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"Obviously, of course, I had forgotten. The point is to keep your distance when praying. "That is why in this mosque, we make the distance between worshipers about one meter."</w:t>
            </w:r>
          </w:p>
        </w:tc>
      </w:tr>
      <w:tr w:rsidR="00915FFC" w:rsidRPr="00BF2253" w14:paraId="57419060" w14:textId="77777777" w:rsidTr="00A95F0A">
        <w:tc>
          <w:tcPr>
            <w:tcW w:w="1129" w:type="dxa"/>
          </w:tcPr>
          <w:p w14:paraId="5EA2745F" w14:textId="77777777" w:rsidR="00915FFC" w:rsidRPr="00FD6889" w:rsidRDefault="00915FFC" w:rsidP="00A95F0A">
            <w:pPr>
              <w:jc w:val="both"/>
              <w:rPr>
                <w:rFonts w:ascii="Garamond" w:eastAsia="Garamond" w:hAnsi="Garamond" w:cs="Garamond"/>
                <w:sz w:val="20"/>
                <w:szCs w:val="20"/>
                <w:lang w:val="id-ID"/>
              </w:rPr>
            </w:pPr>
          </w:p>
        </w:tc>
        <w:tc>
          <w:tcPr>
            <w:tcW w:w="2268" w:type="dxa"/>
          </w:tcPr>
          <w:p w14:paraId="19573C9A" w14:textId="77777777" w:rsidR="00915FFC" w:rsidRPr="00CD7D49" w:rsidRDefault="00915FFC" w:rsidP="00A95F0A">
            <w:pPr>
              <w:pStyle w:val="ListParagraph"/>
              <w:numPr>
                <w:ilvl w:val="0"/>
                <w:numId w:val="4"/>
              </w:numPr>
              <w:ind w:left="322" w:hanging="284"/>
              <w:rPr>
                <w:rFonts w:ascii="Garamond" w:eastAsia="Garamond" w:hAnsi="Garamond" w:cs="Garamond"/>
                <w:sz w:val="20"/>
                <w:szCs w:val="20"/>
                <w:lang w:val="en-ID"/>
              </w:rPr>
            </w:pPr>
            <w:r w:rsidRPr="00CD7D49">
              <w:rPr>
                <w:rFonts w:ascii="Garamond" w:eastAsia="Garamond" w:hAnsi="Garamond" w:cs="Garamond"/>
                <w:sz w:val="20"/>
                <w:szCs w:val="20"/>
                <w:lang w:val="en-ID"/>
              </w:rPr>
              <w:t>Implement restrictions on worship</w:t>
            </w:r>
          </w:p>
        </w:tc>
        <w:tc>
          <w:tcPr>
            <w:tcW w:w="5098" w:type="dxa"/>
          </w:tcPr>
          <w:p w14:paraId="42BC9C7D"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Elderly Muslim 01:</w:t>
            </w:r>
          </w:p>
          <w:p w14:paraId="58CC3842"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"The distance during prayer is separated by one meter. There is black duct tape that we deliberately attached. "We from the management also put free hand washing soap and masks at the front entrance."</w:t>
            </w:r>
          </w:p>
          <w:p w14:paraId="2D971571" w14:textId="77777777" w:rsidR="00915FFC" w:rsidRPr="002A2DA6" w:rsidRDefault="00915FFC" w:rsidP="00A95F0A">
            <w:pPr>
              <w:jc w:val="both"/>
              <w:rPr>
                <w:rFonts w:ascii="Garamond" w:eastAsia="Garamond" w:hAnsi="Garamond" w:cs="Garamond"/>
                <w:sz w:val="20"/>
                <w:szCs w:val="20"/>
                <w:lang w:val="en-ID"/>
              </w:rPr>
            </w:pPr>
          </w:p>
          <w:p w14:paraId="181E653F"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Elderly Muslim 02:</w:t>
            </w:r>
          </w:p>
          <w:p w14:paraId="611EE984"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"The prayer atmosphere has changed a lot. Usually, one prayer line can accommodate 20 people. During Covid there were only 7 people."</w:t>
            </w:r>
          </w:p>
          <w:p w14:paraId="79F15FAA" w14:textId="77777777" w:rsidR="00915FFC" w:rsidRPr="002A2DA6" w:rsidRDefault="00915FFC" w:rsidP="00A95F0A">
            <w:pPr>
              <w:jc w:val="both"/>
              <w:rPr>
                <w:rFonts w:ascii="Garamond" w:eastAsia="Garamond" w:hAnsi="Garamond" w:cs="Garamond"/>
                <w:sz w:val="20"/>
                <w:szCs w:val="20"/>
                <w:lang w:val="en-ID"/>
              </w:rPr>
            </w:pPr>
          </w:p>
          <w:p w14:paraId="3BF0007B"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Elderly Muslim 09:</w:t>
            </w:r>
          </w:p>
          <w:p w14:paraId="014F551D"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"…we in the mosque do not pray on the carpet. The carpet has been rolled up and only the floor remains. That's why we are advised to bring prayer mats."</w:t>
            </w:r>
          </w:p>
          <w:p w14:paraId="5B80F8A0" w14:textId="77777777" w:rsidR="00915FFC" w:rsidRPr="002A2DA6" w:rsidRDefault="00915FFC" w:rsidP="00A95F0A">
            <w:pPr>
              <w:jc w:val="both"/>
              <w:rPr>
                <w:rFonts w:ascii="Garamond" w:eastAsia="Garamond" w:hAnsi="Garamond" w:cs="Garamond"/>
                <w:sz w:val="20"/>
                <w:szCs w:val="20"/>
                <w:lang w:val="en-ID"/>
              </w:rPr>
            </w:pPr>
          </w:p>
          <w:p w14:paraId="7DCEE9B7"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Elderly Muslims 11:</w:t>
            </w:r>
          </w:p>
          <w:p w14:paraId="05E903C0" w14:textId="77777777" w:rsidR="00915FFC" w:rsidRPr="002A2DA6" w:rsidRDefault="00915FFC" w:rsidP="00A95F0A">
            <w:pPr>
              <w:jc w:val="both"/>
              <w:rPr>
                <w:rFonts w:ascii="Garamond" w:eastAsia="Garamond" w:hAnsi="Garamond" w:cs="Garamond"/>
                <w:sz w:val="20"/>
                <w:szCs w:val="20"/>
                <w:lang w:val="en-ID"/>
              </w:rPr>
            </w:pPr>
            <w:r w:rsidRPr="002A2DA6">
              <w:rPr>
                <w:rFonts w:ascii="Garamond" w:eastAsia="Garamond" w:hAnsi="Garamond" w:cs="Garamond"/>
                <w:sz w:val="20"/>
                <w:szCs w:val="20"/>
                <w:lang w:val="en-ID"/>
              </w:rPr>
              <w:t>"I always wear a mask, bring my own prayer mat from home, bring disinfectant spray."</w:t>
            </w:r>
          </w:p>
        </w:tc>
      </w:tr>
      <w:tr w:rsidR="00915FFC" w:rsidRPr="00F51A8F" w14:paraId="7B098F9B" w14:textId="77777777" w:rsidTr="00A95F0A">
        <w:tc>
          <w:tcPr>
            <w:tcW w:w="1129" w:type="dxa"/>
          </w:tcPr>
          <w:p w14:paraId="094C927D" w14:textId="77777777" w:rsidR="00915FFC" w:rsidRPr="00FD6889" w:rsidRDefault="00915FFC" w:rsidP="00A95F0A">
            <w:pPr>
              <w:jc w:val="both"/>
              <w:rPr>
                <w:rFonts w:ascii="Garamond" w:eastAsia="Garamond" w:hAnsi="Garamond" w:cs="Garamond"/>
                <w:sz w:val="20"/>
                <w:szCs w:val="20"/>
                <w:lang w:val="id-ID"/>
              </w:rPr>
            </w:pPr>
          </w:p>
        </w:tc>
        <w:tc>
          <w:tcPr>
            <w:tcW w:w="2268" w:type="dxa"/>
          </w:tcPr>
          <w:p w14:paraId="599C7031" w14:textId="77777777" w:rsidR="00915FFC" w:rsidRPr="00CD7D49" w:rsidRDefault="00915FFC" w:rsidP="00A95F0A">
            <w:pPr>
              <w:pStyle w:val="ListParagraph"/>
              <w:numPr>
                <w:ilvl w:val="0"/>
                <w:numId w:val="4"/>
              </w:numPr>
              <w:ind w:left="322" w:hanging="284"/>
              <w:jc w:val="both"/>
              <w:rPr>
                <w:rFonts w:ascii="Garamond" w:eastAsia="Garamond" w:hAnsi="Garamond" w:cs="Garamond"/>
                <w:sz w:val="20"/>
                <w:szCs w:val="20"/>
                <w:lang w:val="en-ID"/>
              </w:rPr>
            </w:pPr>
            <w:r w:rsidRPr="00CD7D49">
              <w:rPr>
                <w:rFonts w:ascii="Garamond" w:eastAsia="Garamond" w:hAnsi="Garamond" w:cs="Garamond"/>
                <w:sz w:val="20"/>
                <w:szCs w:val="20"/>
                <w:lang w:val="en-ID"/>
              </w:rPr>
              <w:t>Criticize the rules regarding restrictions on worship</w:t>
            </w:r>
          </w:p>
          <w:p w14:paraId="6188FD23" w14:textId="77777777" w:rsidR="00915FFC" w:rsidRPr="00CD7D49" w:rsidRDefault="00915FFC" w:rsidP="00A95F0A">
            <w:pPr>
              <w:jc w:val="both"/>
              <w:rPr>
                <w:rFonts w:ascii="Garamond" w:eastAsia="Garamond" w:hAnsi="Garamond" w:cs="Garamond"/>
                <w:sz w:val="20"/>
                <w:szCs w:val="20"/>
                <w:lang w:val="id-ID"/>
              </w:rPr>
            </w:pPr>
          </w:p>
        </w:tc>
        <w:tc>
          <w:tcPr>
            <w:tcW w:w="5098" w:type="dxa"/>
          </w:tcPr>
          <w:p w14:paraId="5F6412C9"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01:</w:t>
            </w:r>
          </w:p>
          <w:p w14:paraId="1D319884"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"…we have followed the rules that were established from the start. Even though this area is in the red zone, we cannot prevent people from praying. The call to prayer is still said because this is a religious rule."</w:t>
            </w:r>
          </w:p>
          <w:p w14:paraId="12B4BE39" w14:textId="77777777" w:rsidR="00915FFC" w:rsidRPr="002A2DA6" w:rsidRDefault="00915FFC" w:rsidP="00A95F0A">
            <w:pPr>
              <w:jc w:val="both"/>
              <w:rPr>
                <w:rFonts w:ascii="Garamond" w:eastAsia="Garamond" w:hAnsi="Garamond" w:cs="Garamond"/>
                <w:sz w:val="20"/>
                <w:szCs w:val="20"/>
                <w:lang w:val="id-ID"/>
              </w:rPr>
            </w:pPr>
          </w:p>
          <w:p w14:paraId="3AF24203"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03:</w:t>
            </w:r>
          </w:p>
          <w:p w14:paraId="7ADB347E"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"I always wear a mask, bring my own prayer mat from home, bring disinfectant spray."</w:t>
            </w:r>
          </w:p>
          <w:p w14:paraId="4679C9F2" w14:textId="77777777" w:rsidR="00915FFC" w:rsidRPr="002A2DA6" w:rsidRDefault="00915FFC" w:rsidP="00A95F0A">
            <w:pPr>
              <w:jc w:val="both"/>
              <w:rPr>
                <w:rFonts w:ascii="Garamond" w:eastAsia="Garamond" w:hAnsi="Garamond" w:cs="Garamond"/>
                <w:sz w:val="20"/>
                <w:szCs w:val="20"/>
                <w:lang w:val="id-ID"/>
              </w:rPr>
            </w:pPr>
          </w:p>
          <w:p w14:paraId="494532A3"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07:</w:t>
            </w:r>
          </w:p>
          <w:p w14:paraId="7EB47C5D"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"…at first, it was uncomfortable; our tradition after prayer is to shake hands. Now, it is not allowed. Then, for that row, I followed the hadith about straightening the rows, not the one from Abu Daud about straight and tight rows. So I think based on this hadith, just being straightforward is enough; there is no need for meetings considering the Corona situation. "Because there is this relaxation, prayers can still be done in mosques."</w:t>
            </w:r>
          </w:p>
          <w:p w14:paraId="6D14043A" w14:textId="77777777" w:rsidR="00915FFC" w:rsidRPr="002A2DA6" w:rsidRDefault="00915FFC" w:rsidP="00A95F0A">
            <w:pPr>
              <w:jc w:val="both"/>
              <w:rPr>
                <w:rFonts w:ascii="Garamond" w:eastAsia="Garamond" w:hAnsi="Garamond" w:cs="Garamond"/>
                <w:sz w:val="20"/>
                <w:szCs w:val="20"/>
                <w:lang w:val="id-ID"/>
              </w:rPr>
            </w:pPr>
          </w:p>
          <w:p w14:paraId="33F31C6F"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08:</w:t>
            </w:r>
          </w:p>
          <w:p w14:paraId="10968F71" w14:textId="77777777" w:rsidR="00915FFC" w:rsidRPr="00FD6889"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"We see here that the government is not really serious. Malls and shopping centers, shops are allowed to open. How come the mosque's turn is limited? This is not fair."</w:t>
            </w:r>
          </w:p>
        </w:tc>
      </w:tr>
      <w:tr w:rsidR="00915FFC" w:rsidRPr="002A2DA6" w14:paraId="657DF9A4" w14:textId="77777777" w:rsidTr="00A95F0A">
        <w:tc>
          <w:tcPr>
            <w:tcW w:w="1129" w:type="dxa"/>
          </w:tcPr>
          <w:p w14:paraId="38D717EF" w14:textId="77777777" w:rsidR="00915FFC" w:rsidRPr="00FD6889" w:rsidRDefault="00915FFC" w:rsidP="00A95F0A">
            <w:pPr>
              <w:jc w:val="both"/>
              <w:rPr>
                <w:rFonts w:ascii="Garamond" w:eastAsia="Garamond" w:hAnsi="Garamond" w:cs="Garamond"/>
                <w:sz w:val="20"/>
                <w:szCs w:val="20"/>
                <w:lang w:val="id-ID"/>
              </w:rPr>
            </w:pPr>
          </w:p>
        </w:tc>
        <w:tc>
          <w:tcPr>
            <w:tcW w:w="2268" w:type="dxa"/>
          </w:tcPr>
          <w:p w14:paraId="2EBDF195" w14:textId="77777777" w:rsidR="00915FFC" w:rsidRPr="00CD7D49" w:rsidRDefault="00915FFC" w:rsidP="00A95F0A">
            <w:pPr>
              <w:pStyle w:val="ListParagraph"/>
              <w:numPr>
                <w:ilvl w:val="0"/>
                <w:numId w:val="4"/>
              </w:numPr>
              <w:ind w:left="322" w:hanging="284"/>
              <w:jc w:val="both"/>
              <w:rPr>
                <w:rFonts w:ascii="Garamond" w:eastAsia="Garamond" w:hAnsi="Garamond" w:cs="Garamond"/>
                <w:sz w:val="20"/>
                <w:szCs w:val="20"/>
                <w:lang w:val="en-ID"/>
              </w:rPr>
            </w:pPr>
            <w:r w:rsidRPr="00CD7D49">
              <w:rPr>
                <w:rFonts w:ascii="Garamond" w:eastAsia="Garamond" w:hAnsi="Garamond" w:cs="Garamond"/>
                <w:sz w:val="20"/>
                <w:szCs w:val="20"/>
                <w:lang w:val="en-ID"/>
              </w:rPr>
              <w:t>Combining restrictive rules with the informant's prior knowledge</w:t>
            </w:r>
          </w:p>
        </w:tc>
        <w:tc>
          <w:tcPr>
            <w:tcW w:w="5098" w:type="dxa"/>
          </w:tcPr>
          <w:p w14:paraId="47E9BF17"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02:</w:t>
            </w:r>
          </w:p>
          <w:p w14:paraId="6D54A6A6"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"There are also concerns. It just came back to me that I was sure that the disease came from God. I continue to pray to Allah to protect us from Covid-19. If we think Corona is artificial</w:t>
            </w:r>
            <w:r>
              <w:rPr>
                <w:rFonts w:ascii="Garamond" w:eastAsia="Garamond" w:hAnsi="Garamond" w:cs="Garamond"/>
                <w:sz w:val="20"/>
                <w:szCs w:val="20"/>
                <w:lang w:val="id-ID"/>
              </w:rPr>
              <w:t xml:space="preserve"> (man)</w:t>
            </w:r>
            <w:r w:rsidRPr="002A2DA6">
              <w:rPr>
                <w:rFonts w:ascii="Garamond" w:eastAsia="Garamond" w:hAnsi="Garamond" w:cs="Garamond"/>
                <w:sz w:val="20"/>
                <w:szCs w:val="20"/>
                <w:lang w:val="id-ID"/>
              </w:rPr>
              <w:t xml:space="preserve">, that is what makes us weak in worship—moving further away </w:t>
            </w:r>
            <w:r w:rsidRPr="002A2DA6">
              <w:rPr>
                <w:rFonts w:ascii="Garamond" w:eastAsia="Garamond" w:hAnsi="Garamond" w:cs="Garamond"/>
                <w:sz w:val="20"/>
                <w:szCs w:val="20"/>
                <w:lang w:val="id-ID"/>
              </w:rPr>
              <w:lastRenderedPageBreak/>
              <w:t>from the mosque. Friendship is also lost. "Because we come to the mosque, friendship is established, our life is prolonged, our brotherhood is closer."</w:t>
            </w:r>
          </w:p>
          <w:p w14:paraId="638A3194" w14:textId="77777777" w:rsidR="00915FFC" w:rsidRPr="002A2DA6" w:rsidRDefault="00915FFC" w:rsidP="00A95F0A">
            <w:pPr>
              <w:jc w:val="both"/>
              <w:rPr>
                <w:rFonts w:ascii="Garamond" w:eastAsia="Garamond" w:hAnsi="Garamond" w:cs="Garamond"/>
                <w:sz w:val="20"/>
                <w:szCs w:val="20"/>
                <w:lang w:val="id-ID"/>
              </w:rPr>
            </w:pPr>
          </w:p>
          <w:p w14:paraId="479CDD99"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06:</w:t>
            </w:r>
          </w:p>
          <w:p w14:paraId="67EE0076"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"I am old, I will definitely die. Whether the cause is Covid-19 or my old illness, I will still die. For me, abandoning the practices of the mosque is a loss in this world and the hereafter. Covid-19 is just the world."</w:t>
            </w:r>
          </w:p>
          <w:p w14:paraId="30948C74" w14:textId="77777777" w:rsidR="00915FFC" w:rsidRPr="002A2DA6" w:rsidRDefault="00915FFC" w:rsidP="00A95F0A">
            <w:pPr>
              <w:jc w:val="both"/>
              <w:rPr>
                <w:rFonts w:ascii="Garamond" w:eastAsia="Garamond" w:hAnsi="Garamond" w:cs="Garamond"/>
                <w:sz w:val="20"/>
                <w:szCs w:val="20"/>
                <w:lang w:val="id-ID"/>
              </w:rPr>
            </w:pPr>
          </w:p>
          <w:p w14:paraId="4DDD12F5"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08:</w:t>
            </w:r>
          </w:p>
          <w:p w14:paraId="352D3285"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"The point is to believe that Corona comes from Allah, so approach Allah. The best way to approach Allah is to visit his house. Honestly, I'm not afraid of Corona. In a clean, holy condition, have performed ablution, worn a mask and implemented health protocols as well. In sha Allah, we will be under His protection. So just believe in fate, and be sure that you won't get infected as long as you always use health protocols."</w:t>
            </w:r>
          </w:p>
          <w:p w14:paraId="21F7F947" w14:textId="77777777" w:rsidR="00915FFC" w:rsidRPr="002A2DA6" w:rsidRDefault="00915FFC" w:rsidP="00A95F0A">
            <w:pPr>
              <w:jc w:val="both"/>
              <w:rPr>
                <w:rFonts w:ascii="Garamond" w:eastAsia="Garamond" w:hAnsi="Garamond" w:cs="Garamond"/>
                <w:sz w:val="20"/>
                <w:szCs w:val="20"/>
                <w:lang w:val="id-ID"/>
              </w:rPr>
            </w:pPr>
          </w:p>
          <w:p w14:paraId="4122CDEB"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09:</w:t>
            </w:r>
          </w:p>
          <w:p w14:paraId="6F4281E4" w14:textId="77777777" w:rsidR="00915FFC" w:rsidRPr="00FD6889"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"The point is to believe that Corona comes from Allah, so approach Allah. The best way to approach Allah is to visit his house. Honestly, I'm not afraid of Corona. In a clean, holy condition, you have performed ablution, worn a mask and implemented health protocols as well. In sha Allah, we will be under His protection. So just believe in fate, and be sure that you won't get infected as long as you always use health protocols."</w:t>
            </w:r>
          </w:p>
        </w:tc>
      </w:tr>
      <w:tr w:rsidR="00915FFC" w:rsidRPr="002A2DA6" w14:paraId="35D7382E" w14:textId="77777777" w:rsidTr="00A95F0A">
        <w:tc>
          <w:tcPr>
            <w:tcW w:w="1129" w:type="dxa"/>
          </w:tcPr>
          <w:p w14:paraId="2CDF057C" w14:textId="77777777" w:rsidR="00915FFC" w:rsidRPr="00FD6889" w:rsidRDefault="00915FFC" w:rsidP="00A95F0A">
            <w:pPr>
              <w:jc w:val="both"/>
              <w:rPr>
                <w:rFonts w:ascii="Garamond" w:eastAsia="Garamond" w:hAnsi="Garamond" w:cs="Garamond"/>
                <w:sz w:val="20"/>
                <w:szCs w:val="20"/>
                <w:lang w:val="id-ID"/>
              </w:rPr>
            </w:pPr>
          </w:p>
        </w:tc>
        <w:tc>
          <w:tcPr>
            <w:tcW w:w="2268" w:type="dxa"/>
          </w:tcPr>
          <w:p w14:paraId="02E23806" w14:textId="77777777" w:rsidR="00915FFC" w:rsidRPr="007329E7" w:rsidRDefault="00915FFC" w:rsidP="00A95F0A">
            <w:pPr>
              <w:pStyle w:val="ListParagraph"/>
              <w:numPr>
                <w:ilvl w:val="0"/>
                <w:numId w:val="4"/>
              </w:numPr>
              <w:ind w:left="322" w:hanging="284"/>
              <w:jc w:val="both"/>
              <w:rPr>
                <w:rFonts w:ascii="Garamond" w:eastAsia="Garamond" w:hAnsi="Garamond" w:cs="Garamond"/>
                <w:sz w:val="20"/>
                <w:szCs w:val="20"/>
                <w:lang w:val="id-ID"/>
              </w:rPr>
            </w:pPr>
            <w:r w:rsidRPr="00CD7D49">
              <w:rPr>
                <w:rFonts w:ascii="Garamond" w:eastAsia="Garamond" w:hAnsi="Garamond" w:cs="Garamond"/>
                <w:sz w:val="20"/>
                <w:szCs w:val="20"/>
                <w:lang w:val="en-ID"/>
              </w:rPr>
              <w:t>Evaluate the rules for limiting worship in the red zone</w:t>
            </w:r>
          </w:p>
        </w:tc>
        <w:tc>
          <w:tcPr>
            <w:tcW w:w="5098" w:type="dxa"/>
          </w:tcPr>
          <w:p w14:paraId="3B8BE6B7"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01:</w:t>
            </w:r>
          </w:p>
          <w:p w14:paraId="011EDE97"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"The government is right in taking this policy, including the zoning system. We are also continuing to monitor conditions here. If many people in this neighborhood are affected by Covid-19, then our mosque will close. If it's safe, even if it's in the red zone, we open it. Appeal to the public to pray at home. If someone still wants to come to the mosque, we cannot forbid them. It is their right to worship."</w:t>
            </w:r>
          </w:p>
          <w:p w14:paraId="184E04C0" w14:textId="77777777" w:rsidR="00915FFC" w:rsidRPr="002A2DA6" w:rsidRDefault="00915FFC" w:rsidP="00A95F0A">
            <w:pPr>
              <w:jc w:val="both"/>
              <w:rPr>
                <w:rFonts w:ascii="Garamond" w:eastAsia="Garamond" w:hAnsi="Garamond" w:cs="Garamond"/>
                <w:sz w:val="20"/>
                <w:szCs w:val="20"/>
                <w:lang w:val="id-ID"/>
              </w:rPr>
            </w:pPr>
          </w:p>
          <w:p w14:paraId="0418EE94"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04:</w:t>
            </w:r>
          </w:p>
          <w:p w14:paraId="4B8564EA"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 what the MUI conveyed was like an appeal. Come back to each other."</w:t>
            </w:r>
          </w:p>
          <w:p w14:paraId="577D4F98" w14:textId="77777777" w:rsidR="00915FFC" w:rsidRPr="002A2DA6" w:rsidRDefault="00915FFC" w:rsidP="00A95F0A">
            <w:pPr>
              <w:jc w:val="both"/>
              <w:rPr>
                <w:rFonts w:ascii="Garamond" w:eastAsia="Garamond" w:hAnsi="Garamond" w:cs="Garamond"/>
                <w:sz w:val="20"/>
                <w:szCs w:val="20"/>
                <w:lang w:val="id-ID"/>
              </w:rPr>
            </w:pPr>
          </w:p>
          <w:p w14:paraId="7D634FA2" w14:textId="77777777" w:rsidR="00915FFC" w:rsidRPr="002A2DA6"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Elderly Muslim 08:</w:t>
            </w:r>
          </w:p>
          <w:p w14:paraId="65F2FCC0" w14:textId="77777777" w:rsidR="00915FFC" w:rsidRPr="00FD6889" w:rsidRDefault="00915FFC" w:rsidP="00A95F0A">
            <w:pPr>
              <w:jc w:val="both"/>
              <w:rPr>
                <w:rFonts w:ascii="Garamond" w:eastAsia="Garamond" w:hAnsi="Garamond" w:cs="Garamond"/>
                <w:sz w:val="20"/>
                <w:szCs w:val="20"/>
                <w:lang w:val="id-ID"/>
              </w:rPr>
            </w:pPr>
            <w:r w:rsidRPr="002A2DA6">
              <w:rPr>
                <w:rFonts w:ascii="Garamond" w:eastAsia="Garamond" w:hAnsi="Garamond" w:cs="Garamond"/>
                <w:sz w:val="20"/>
                <w:szCs w:val="20"/>
                <w:lang w:val="id-ID"/>
              </w:rPr>
              <w:t>"The red zone rules are not severe. There is still much human activity in the market. Some still go to work. When you go to the mosque, comments are made. Do not be like that. What needs to be disciplined is wearing masks, keeping a safe distance, and always being clean.</w:t>
            </w:r>
          </w:p>
        </w:tc>
      </w:tr>
    </w:tbl>
    <w:p w14:paraId="56B236A5" w14:textId="30F23557" w:rsidR="006832AE" w:rsidRPr="00326E62" w:rsidRDefault="00EC3AC8" w:rsidP="008E1FDA">
      <w:pPr>
        <w:spacing w:line="360" w:lineRule="auto"/>
        <w:jc w:val="both"/>
        <w:rPr>
          <w:rFonts w:ascii="Garamond" w:eastAsia="Garamond" w:hAnsi="Garamond" w:cs="Garamond"/>
          <w:sz w:val="22"/>
          <w:szCs w:val="22"/>
          <w:lang w:val="id-ID"/>
        </w:rPr>
      </w:pPr>
      <w:r>
        <w:rPr>
          <w:rFonts w:ascii="Garamond" w:eastAsia="Garamond" w:hAnsi="Garamond" w:cs="Garamond"/>
          <w:sz w:val="22"/>
          <w:szCs w:val="22"/>
          <w:lang w:val="id-ID"/>
        </w:rPr>
        <w:t>Sources</w:t>
      </w:r>
      <w:r w:rsidR="00326E62" w:rsidRPr="00326E62">
        <w:rPr>
          <w:rFonts w:ascii="Garamond" w:eastAsia="Garamond" w:hAnsi="Garamond" w:cs="Garamond"/>
          <w:sz w:val="22"/>
          <w:szCs w:val="22"/>
          <w:lang w:val="id-ID"/>
        </w:rPr>
        <w:t xml:space="preserve">: </w:t>
      </w:r>
      <w:r>
        <w:rPr>
          <w:rFonts w:ascii="Garamond" w:eastAsia="Garamond" w:hAnsi="Garamond" w:cs="Garamond"/>
          <w:sz w:val="22"/>
          <w:szCs w:val="22"/>
          <w:lang w:val="id-ID"/>
        </w:rPr>
        <w:t xml:space="preserve">Primary </w:t>
      </w:r>
      <w:r w:rsidR="00326E62" w:rsidRPr="00326E62">
        <w:rPr>
          <w:rFonts w:ascii="Garamond" w:eastAsia="Garamond" w:hAnsi="Garamond" w:cs="Garamond"/>
          <w:sz w:val="22"/>
          <w:szCs w:val="22"/>
          <w:lang w:val="id-ID"/>
        </w:rPr>
        <w:t>Data, 2023</w:t>
      </w:r>
    </w:p>
    <w:p w14:paraId="3F8A20EE" w14:textId="6D003605" w:rsidR="004F00F4" w:rsidRPr="004F00F4" w:rsidRDefault="004F00F4" w:rsidP="004F00F4">
      <w:pPr>
        <w:spacing w:line="360" w:lineRule="auto"/>
        <w:ind w:firstLine="567"/>
        <w:jc w:val="both"/>
        <w:rPr>
          <w:rFonts w:ascii="Garamond" w:eastAsia="Garamond" w:hAnsi="Garamond" w:cs="Garamond"/>
          <w:lang w:val="id-ID"/>
        </w:rPr>
      </w:pPr>
      <w:r w:rsidRPr="004F00F4">
        <w:rPr>
          <w:rFonts w:ascii="Garamond" w:eastAsia="Garamond" w:hAnsi="Garamond" w:cs="Garamond"/>
          <w:lang w:val="id-ID"/>
        </w:rPr>
        <w:t>Elderly Muslims are generally aware of the restrictions on movement since Covid-19 became a pandemic in Indonesia. Although they do not know the details of the regulations, they have been following the points on keeping distance, wearing masks, washing hands and isolating themselves through the PSBB and PPKM. Elderly Muslims are also aware of the</w:t>
      </w:r>
      <w:r>
        <w:rPr>
          <w:rFonts w:ascii="Garamond" w:eastAsia="Garamond" w:hAnsi="Garamond" w:cs="Garamond"/>
          <w:lang w:val="id-ID"/>
        </w:rPr>
        <w:t xml:space="preserve"> </w:t>
      </w:r>
      <w:r w:rsidRPr="004F00F4">
        <w:rPr>
          <w:rFonts w:ascii="Garamond" w:eastAsia="Garamond" w:hAnsi="Garamond" w:cs="Garamond"/>
          <w:lang w:val="id-ID"/>
        </w:rPr>
        <w:t xml:space="preserve">MUI Fatwa No. 14 of 2020, which specifically addresses procedures for worship in the event </w:t>
      </w:r>
      <w:r w:rsidRPr="004F00F4">
        <w:rPr>
          <w:rFonts w:ascii="Garamond" w:eastAsia="Garamond" w:hAnsi="Garamond" w:cs="Garamond"/>
          <w:lang w:val="id-ID"/>
        </w:rPr>
        <w:lastRenderedPageBreak/>
        <w:t xml:space="preserve">of a Covid-19 outbreak. Although the rules have set clear boundaries, older Muslims continue to make up their own minds about when to stay home and when to come to worship. When the Bengkulu provincial government declared the area around the Al-Mukmin mosque a red zone, worship at the mosque continued. Elderly Muslims provide critical views through the mechanism of comparison between worship space and economic space, physical health that is considered safe from virus attacks, and belief in health protocols. </w:t>
      </w:r>
    </w:p>
    <w:p w14:paraId="311E1252" w14:textId="77777777" w:rsidR="004F00F4" w:rsidRPr="004F00F4" w:rsidRDefault="004F00F4" w:rsidP="004F00F4">
      <w:pPr>
        <w:spacing w:line="360" w:lineRule="auto"/>
        <w:ind w:firstLine="567"/>
        <w:jc w:val="both"/>
        <w:rPr>
          <w:rFonts w:ascii="Garamond" w:eastAsia="Garamond" w:hAnsi="Garamond" w:cs="Garamond"/>
          <w:lang w:val="id-ID"/>
        </w:rPr>
      </w:pPr>
      <w:r w:rsidRPr="004F00F4">
        <w:rPr>
          <w:rFonts w:ascii="Garamond" w:eastAsia="Garamond" w:hAnsi="Garamond" w:cs="Garamond"/>
          <w:lang w:val="id-ID"/>
        </w:rPr>
        <w:t>The decision to continue to come to the mosque is also based on the basic knowledge that the older Muslims have. Demographically, the informants have a good level of education and are familiar with digital technology. These two supportive factors provide a lot of input into religious knowledge as well as considerations when there are differences of opinion. Older Muslims are able to combine the knowledge that they have with the information that they have received from other people. Initially, older Muslims were worried about worshipping in the mosque when there were rules issued by scholars about restrictions on worshipping. So, with their own awareness, they began to follow the health protocols. They realised that it was a good rule to follow in order to minimise the transmission of Covid-19.</w:t>
      </w:r>
    </w:p>
    <w:p w14:paraId="05F16F04" w14:textId="5BC0CA8A" w:rsidR="004F00F4" w:rsidRDefault="004F00F4" w:rsidP="004F00F4">
      <w:pPr>
        <w:spacing w:line="360" w:lineRule="auto"/>
        <w:ind w:firstLine="567"/>
        <w:jc w:val="both"/>
        <w:rPr>
          <w:rFonts w:ascii="Garamond" w:eastAsia="Garamond" w:hAnsi="Garamond" w:cs="Garamond"/>
          <w:lang w:val="id-ID"/>
        </w:rPr>
      </w:pPr>
      <w:r w:rsidRPr="004F00F4">
        <w:rPr>
          <w:rFonts w:ascii="Garamond" w:eastAsia="Garamond" w:hAnsi="Garamond" w:cs="Garamond"/>
          <w:lang w:val="id-ID"/>
        </w:rPr>
        <w:t xml:space="preserve">Older Muslims who have prior knowledge have a link between it and government regulations. Acceptance of a Covid-19 period rule is therefore a function of the combination of prior knowledge and rules. At this level, the threat received is not a major consideration. Older Muslims seem to be more afraid of leaving the Worship, which has great rewards, than they are of getting threatened, which they might get. Kelsay </w:t>
      </w:r>
      <w:r>
        <w:rPr>
          <w:rFonts w:ascii="Garamond" w:eastAsia="Garamond" w:hAnsi="Garamond" w:cs="Garamond"/>
          <w:lang w:val="id-ID"/>
        </w:rPr>
        <w:fldChar w:fldCharType="begin" w:fldLock="1"/>
      </w:r>
      <w:r>
        <w:rPr>
          <w:rFonts w:ascii="Garamond" w:eastAsia="Garamond" w:hAnsi="Garamond" w:cs="Garamond"/>
          <w:lang w:val="id-ID"/>
        </w:rPr>
        <w:instrText>ADDIN CSL_CITATION { "citationItems" : [ { "id" : "ITEM-1", "itemData" : { "author" : [ { "dropping-particle" : "", "family" : "Kelsay", "given" : "John", "non-dropping-particle" : "", "parse-names" : false, "suffix" : "" } ], "container-title" : "The Ethics of War", "edition" : "1", "editor" : [ { "dropping-particle" : "", "family" : "Sorabji", "given" : "Richard", "non-dropping-particle" : "", "parse-names" : false, "suffix" : "" }, { "dropping-particle" : "", "family" : "Rodin", "given" : "David", "non-dropping-particle" : "", "parse-names" : false, "suffix" : "" } ], "id" : "ITEM-1", "issued" : { "date-parts" : [ [ "2006" ] ] }, "page" : "61-91", "publisher" : "Routledge", "title" : "Arguments concerning resistance in contemporary Islam", "type" : "chapter" }, "suppress-author" : 1, "uris" : [ "http://www.mendeley.com/documents/?uuid=8cf84228-2042-454f-892c-b2563a29021b" ] } ], "mendeley" : { "formattedCitation" : "(2006)", "plainTextFormattedCitation" : "(2006)", "previouslyFormattedCitation" : "(2006)" }, "properties" : { "noteIndex" : 0 }, "schema" : "https://github.com/citation-style-language/schema/raw/master/csl-citation.json" }</w:instrText>
      </w:r>
      <w:r>
        <w:rPr>
          <w:rFonts w:ascii="Garamond" w:eastAsia="Garamond" w:hAnsi="Garamond" w:cs="Garamond"/>
          <w:lang w:val="id-ID"/>
        </w:rPr>
        <w:fldChar w:fldCharType="separate"/>
      </w:r>
      <w:r w:rsidRPr="00D75B70">
        <w:rPr>
          <w:rFonts w:ascii="Garamond" w:eastAsia="Garamond" w:hAnsi="Garamond" w:cs="Garamond"/>
          <w:noProof/>
          <w:lang w:val="id-ID"/>
        </w:rPr>
        <w:t>(2006)</w:t>
      </w:r>
      <w:r>
        <w:rPr>
          <w:rFonts w:ascii="Garamond" w:eastAsia="Garamond" w:hAnsi="Garamond" w:cs="Garamond"/>
          <w:lang w:val="id-ID"/>
        </w:rPr>
        <w:fldChar w:fldCharType="end"/>
      </w:r>
      <w:r>
        <w:rPr>
          <w:rFonts w:ascii="Garamond" w:eastAsia="Garamond" w:hAnsi="Garamond" w:cs="Garamond"/>
          <w:lang w:val="id-ID"/>
        </w:rPr>
        <w:t xml:space="preserve"> </w:t>
      </w:r>
      <w:r w:rsidRPr="004F00F4">
        <w:rPr>
          <w:rFonts w:ascii="Garamond" w:eastAsia="Garamond" w:hAnsi="Garamond" w:cs="Garamond"/>
          <w:lang w:val="id-ID"/>
        </w:rPr>
        <w:t xml:space="preserve">explains that Islamic doctrine is more important to devout Muslims than their own lives. Sumbula </w:t>
      </w:r>
      <w:r>
        <w:rPr>
          <w:rFonts w:ascii="Garamond" w:eastAsia="Garamond" w:hAnsi="Garamond" w:cs="Garamond"/>
          <w:lang w:val="id-ID"/>
        </w:rPr>
        <w:fldChar w:fldCharType="begin" w:fldLock="1"/>
      </w:r>
      <w:r>
        <w:rPr>
          <w:rFonts w:ascii="Garamond" w:eastAsia="Garamond" w:hAnsi="Garamond" w:cs="Garamond"/>
          <w:lang w:val="id-ID"/>
        </w:rPr>
        <w:instrText>ADDIN CSL_CITATION { "citationItems" : [ { "id" : "ITEM-1", "itemData" : { "author" : [ { "dropping-particle" : "", "family" : "Sumbulah", "given" : "Umi", "non-dropping-particle" : "", "parse-names" : false, "suffix" : "" } ], "id" : "ITEM-1", "issued" : { "date-parts" : [ [ "2009" ] ] }, "publisher" : "UIN-Maliki Press", "publisher-place" : "Malang", "title" : "Konfigurasi Fundamentalisme Islam", "type" : "book" }, "suppress-author" : 1, "uris" : [ "http://www.mendeley.com/documents/?uuid=8c24adf0-956d-44cb-8e99-63c14a88f9d7" ] } ], "mendeley" : { "formattedCitation" : "(2009)", "plainTextFormattedCitation" : "(2009)", "previouslyFormattedCitation" : "(2009)" }, "properties" : { "noteIndex" : 0 }, "schema" : "https://github.com/citation-style-language/schema/raw/master/csl-citation.json" }</w:instrText>
      </w:r>
      <w:r>
        <w:rPr>
          <w:rFonts w:ascii="Garamond" w:eastAsia="Garamond" w:hAnsi="Garamond" w:cs="Garamond"/>
          <w:lang w:val="id-ID"/>
        </w:rPr>
        <w:fldChar w:fldCharType="separate"/>
      </w:r>
      <w:r w:rsidRPr="0055517C">
        <w:rPr>
          <w:rFonts w:ascii="Garamond" w:eastAsia="Garamond" w:hAnsi="Garamond" w:cs="Garamond"/>
          <w:noProof/>
          <w:lang w:val="id-ID"/>
        </w:rPr>
        <w:t>(2009)</w:t>
      </w:r>
      <w:r>
        <w:rPr>
          <w:rFonts w:ascii="Garamond" w:eastAsia="Garamond" w:hAnsi="Garamond" w:cs="Garamond"/>
          <w:lang w:val="id-ID"/>
        </w:rPr>
        <w:fldChar w:fldCharType="end"/>
      </w:r>
      <w:r w:rsidRPr="004F00F4">
        <w:rPr>
          <w:rFonts w:ascii="Garamond" w:eastAsia="Garamond" w:hAnsi="Garamond" w:cs="Garamond"/>
          <w:lang w:val="id-ID"/>
        </w:rPr>
        <w:t xml:space="preserve"> uses the term religious subjectivity to understand the phenomenon. The objectivist approach argues that religious phenomena related to Islam arise from a group of people's understanding that Islam covers all aspects (</w:t>
      </w:r>
      <w:r w:rsidRPr="004F00F4">
        <w:rPr>
          <w:rFonts w:ascii="Garamond" w:eastAsia="Garamond" w:hAnsi="Garamond" w:cs="Garamond"/>
          <w:i/>
          <w:iCs/>
          <w:lang w:val="id-ID"/>
        </w:rPr>
        <w:t>Islam syumul</w:t>
      </w:r>
      <w:r w:rsidRPr="004F00F4">
        <w:rPr>
          <w:rFonts w:ascii="Garamond" w:eastAsia="Garamond" w:hAnsi="Garamond" w:cs="Garamond"/>
          <w:lang w:val="id-ID"/>
        </w:rPr>
        <w:t xml:space="preserve">), which must be implemented </w:t>
      </w:r>
      <w:r w:rsidRPr="004F00F4">
        <w:rPr>
          <w:rFonts w:ascii="Garamond" w:eastAsia="Garamond" w:hAnsi="Garamond" w:cs="Garamond"/>
          <w:i/>
          <w:iCs/>
          <w:lang w:val="id-ID"/>
        </w:rPr>
        <w:t>kaffah</w:t>
      </w:r>
      <w:r w:rsidRPr="004F00F4">
        <w:rPr>
          <w:rFonts w:ascii="Garamond" w:eastAsia="Garamond" w:hAnsi="Garamond" w:cs="Garamond"/>
          <w:lang w:val="id-ID"/>
        </w:rPr>
        <w:t xml:space="preserve"> in all areas and spaces of life. Not only the textual authority of the scriptures in which they believe, but also the body of knowledge in the form of experience, imagination, ideas, interactions and the whole archetype of their lives can give rise to this view among Muslims.</w:t>
      </w:r>
    </w:p>
    <w:p w14:paraId="778AFBA0" w14:textId="77777777" w:rsidR="00915FFC" w:rsidRPr="00915FFC" w:rsidRDefault="00915FFC" w:rsidP="00915FFC">
      <w:pPr>
        <w:spacing w:line="360" w:lineRule="auto"/>
        <w:ind w:firstLine="567"/>
        <w:jc w:val="both"/>
        <w:rPr>
          <w:rFonts w:ascii="Garamond" w:eastAsia="Garamond" w:hAnsi="Garamond" w:cs="Garamond"/>
          <w:lang w:val="id-ID"/>
        </w:rPr>
      </w:pPr>
      <w:r w:rsidRPr="00915FFC">
        <w:rPr>
          <w:rFonts w:ascii="Garamond" w:eastAsia="Garamond" w:hAnsi="Garamond" w:cs="Garamond"/>
          <w:lang w:val="id-ID"/>
        </w:rPr>
        <w:t xml:space="preserve">Cognitive abilities in the evaluation phase are also evident from the results of the interviews with informants. However, the assessment that emerges is incomplete. It is general and from only one point of view. The Al-Mukmin and Asy-Syifa mosques are adjacent to the hospital where Covid-19 patients are admitted. However, this does not seem to be a guiding principle in the evaluation. The conditions around the mosque are considered in </w:t>
      </w:r>
      <w:r w:rsidRPr="00915FFC">
        <w:rPr>
          <w:rFonts w:ascii="Garamond" w:eastAsia="Garamond" w:hAnsi="Garamond" w:cs="Garamond"/>
          <w:lang w:val="id-ID"/>
        </w:rPr>
        <w:lastRenderedPageBreak/>
        <w:t>response to any policy that emerges at the national level. We see that this is not done consistently by mosque administrators either. In the case of Omicorn, a lot of people in the area around the mosque were affected - one family even had the virus - and the mosque is still in operation. The two mosques continue to hold five daily prayers and Friday prayers. The understanding of government regulations returned to each individual is clearly more rational. This individual evaluation ultimately provides the elderly Muslims with the opportunity to reject or accept government policies during Covid-19.</w:t>
      </w:r>
    </w:p>
    <w:p w14:paraId="29E42AD4" w14:textId="05ED4336" w:rsidR="00915FFC" w:rsidRPr="00915FFC" w:rsidRDefault="00915FFC" w:rsidP="00915FFC">
      <w:pPr>
        <w:spacing w:line="360" w:lineRule="auto"/>
        <w:ind w:firstLine="567"/>
        <w:jc w:val="both"/>
        <w:rPr>
          <w:rFonts w:ascii="Garamond" w:eastAsia="Garamond" w:hAnsi="Garamond" w:cs="Garamond"/>
          <w:lang w:val="id-ID"/>
        </w:rPr>
      </w:pPr>
      <w:r w:rsidRPr="00915FFC">
        <w:rPr>
          <w:rFonts w:ascii="Garamond" w:eastAsia="Garamond" w:hAnsi="Garamond" w:cs="Garamond"/>
          <w:lang w:val="id-ID"/>
        </w:rPr>
        <w:t xml:space="preserve">The cognitive abilities of older Muslims can be seen in the implementation of health protocols: wearing a mask, keeping a distance, not staying in the mosque, and isolating oneself when the symptoms of Kovid-19 begin to appear. The mosque leadership also rolled up the mosque mat, made handwashing facilities available and restricted the distance between worshippers with a barrier sign. Ongoing appeals by the local government meant that the elderly Muslims were then persuaded to implement this rule restricting worshipping. In addition, elderly Muslims can also explain the purpose of these rules, this finding reinforces previous findings related to understanding and implementing health protocols in mosques </w:t>
      </w:r>
      <w:r>
        <w:rPr>
          <w:rFonts w:ascii="Garamond" w:hAnsi="Garamond"/>
          <w:color w:val="000000"/>
          <w:lang w:val="id-ID"/>
        </w:rPr>
        <w:fldChar w:fldCharType="begin" w:fldLock="1"/>
      </w:r>
      <w:r>
        <w:rPr>
          <w:rFonts w:ascii="Garamond" w:hAnsi="Garamond"/>
          <w:color w:val="000000"/>
          <w:lang w:val="id-ID"/>
        </w:rPr>
        <w:instrText>ADDIN CSL_CITATION { "citationItems" : [ { "id" : "ITEM-1", "itemData" : { "DOI" : "10.37268/mjphm/vol.23/no.1/art.1650", "ISSN" : "25903829", "abstract" : "This study focuses on mosque management in implementing health protocols. A mosque is a place for community activities, worship, and other social activities, including garbage alms and urban farming. Mosques have the potential to be a source of new transmission of COVID-19. Therefore, studying how to apply health protocols in mosques is necessary. There hasn't been a lot of research done on the management of health protocols in mosques. This study aimed to explore the management of the mosque pilgrims' health protocols in Indonesia during the COVID-19 pandemic. This research design uses a qualitative method with phenomenology. The participants in this study were the mosque administrators from different mosques. There are six participants with the following criteria, namely having the status as a mosque manager, congregation in the mosque, over 18 years of age, and not currently suffering from COVID-19. The sampling is done by purposive sampling. The tools used in this study include the interview guidelines and field notes. The data collection methods are done using in-depth interviews and recorded\u2014data analysis using Collaizi. The study's results produced four themes, namely the opinions about COVID-19, the application of the health protocols at the beginning of a pandemic, the application of the health protocols when the cases decreased, and the obstacles in implementing the health protocols in the mosques. The management of the implementation of health protocols in mosques is critical for the worshipers to avoid transmission in various activities at the mosques.", "author" : [ { "dropping-particle" : "", "family" : "Mamnuah", "given" : "", "non-dropping-particle" : "", "parse-names" : false, "suffix" : "" }, { "dropping-particle" : "", "family" : "Faidati", "given" : "Nur", "non-dropping-particle" : "", "parse-names" : false, "suffix" : "" }, { "dropping-particle" : "", "family" : "Trihidayati", "given" : "Noorwahyu", "non-dropping-particle" : "", "parse-names" : false, "suffix" : "" } ], "container-title" : "Malaysian Journal of Public Health Medicine", "id" : "ITEM-1", "issue" : "1", "issued" : { "date-parts" : [ [ "2023" ] ] }, "page" : "175-181", "title" : "Health Protocol Management on Mosque Religious Practice During the Covid-19 Pandemic in Yogyakarta", "type" : "article-journal", "volume" : "23" }, "uris" : [ "http://www.mendeley.com/documents/?uuid=3bfe9e29-975b-410f-b2f8-172311d67200" ] }, { "id" : "ITEM-2", "itemData" : { "DOI" : "10.18860/jia.v7i3.18103", "ISSN" : "23564644", "abstract" : "The Covid-19 pandemic has caused drastic changes in everyday life in Indonesia, including Muslim religious activities facilitated by mosques. A mosque is intended to accommodate all worshipping activities that can provide benefits not only for congregants performing activities within, but also for communities and the environment around the mosque. One thing that remains constant in terms of the main functions of mosques is the accommodation of praying [salst] activities. In the times of Covid-19 pandemic, the implementation of rules concerning compulsory congregational prayers should be adjusted according to health protocols to minimize the spread of the coronavirus, especially the parts related to interpersonal space between individuals. This study intends to capture the dynamics of perception regarding interpersonal spaces according to congregants performing congregational prayers in the mosque. This study applies behavior mapping and questionnaire to collect data concerning the dynamics of perception regarding interpersonal spaces from Salman Mosque in Bandung. This study identifies the difference, in terms of congregational prayers, between how congregants perceive their interpersonal space differs from how they apply interpersonal distance. The difference is mostly influenced by self-interpretation concerning religious and/or government rules rather than total compliance to religious leaders and/or government instructions.", "author" : [ { "dropping-particle" : "", "family" : "Lukman", "given" : "Aldyfra Luhulima", "non-dropping-particle" : "", "parse-names" : false, "suffix" : "" }, { "dropping-particle" : "", "family" : "Wirakusumah", "given" : "Indri Astrina", "non-dropping-particle" : "", "parse-names" : false, "suffix" : "" }, { "dropping-particle" : "", "family" : "Sahid", "given" : "", "non-dropping-particle" : "", "parse-names" : false, "suffix" : "" }, { "dropping-particle" : "", "family" : "Gunawan", "given" : "Edward Vinsensius", "non-dropping-particle" : "", "parse-names" : false, "suffix" : "" } ], "container-title" : "Journal of Islamic Architecture", "id" : "ITEM-2", "issue" : "3", "issued" : { "date-parts" : [ [ "2023" ] ] }, "page" : "416-426", "title" : "the Dynamics of Interpersonal Space in Congregational Prayers in Salman Mosque Bandung During Covid Pandemic", "type" : "article-journal", "volume" : "7" }, "uris" : [ "http://www.mendeley.com/documents/?uuid=4efda922-7513-4d5d-a4ea-024503fb7a0c" ] }, { "id" : "ITEM-3", "itemData" : { "DOI" : "10.1016/j.heliyon.2021.e07541", "ISSN" : "24058440", "abstract" : "Background: The act of worshipping in mosque is often not only considered to be one of the factors causing the transmission of coronavirus disease 2019 (covid-19), but also a contributing factor to health protocol violations. Against this backdrop, the purpose of this paper is to examine the application of the Islamic principle of \u1e25if\u1e93 al-nafs (protection of life) in the practice of worshipping at the Nurul Iman mosque as it relates to the prevention of transmission of covid-19. Methods: This research uses a sociology of law perspective to the connection and the dynamics between the adoption of the principle of \u1e25if\u1e93 al-nafs and the implementation of worship at the Nurul Iman mosque. As a case study, the data collection technique used includes interviews, observation, documentation reviews, and triangulation techniques, while the analysis technique used content analysis techniques. Results: The application of the principle of \u1e25if\u1e93 al-nafs (protection of life) in the practices of worship at the Nurul Iman mosque have proven to be in accordance with health protocols and at the same time all members of the mosque congregation have been free from the transmission of covid-19. From an Islamic needs framework perspective, in the context of Covid-19 pandemic, the application of the \u1e25if\u1e93 al-nafs principle at this mosque is a considered primary necessity (\u1e0dar\u016briyy\u0101t) in that it protects life while providing spiritual continuity of collective religious worshipping, hence integrating the community together within a health and sanctity of life paradigm during this challenging time. Equally important, this research also challenges the thesis of the direct linkage between worshipping in mosque and Covid-19 transmission. Conclusion: the application of the principle of \u1e25if\u1e93 al-nafs in the practices of worship in mosque has demonstrably shown that the congragants levels of health consciousness has increased and that they have also been kept safe. In essence, the effective contextualization of Islamic principle is able to provide the twin benefits of health and spirituality.", "author" : [ { "dropping-particle" : "", "family" : "Dahlan", "given" : "Moh", "non-dropping-particle" : "", "parse-names" : false, "suffix" : "" }, { "dropping-particle" : "", "family" : "Bustami", "given" : "Mohammad Reevany", "non-dropping-particle" : "", "parse-names" : false, "suffix" : "" }, { "dropping-particle" : "", "family" : "Makmur", "given" : "", "non-dropping-particle" : "", "parse-names" : false, "suffix" : "" }, { "dropping-particle" : "", "family" : "Mas'ulah", "given" : "Siti", "non-dropping-particle" : "", "parse-names" : false, "suffix" : "" } ], "container-title" : "Heliyon", "id" : "ITEM-3", "issue" : "7", "issued" : { "date-parts" : [ [ "2021" ] ] }, "title" : "The Islamic principle of \u1e25if\u1e93 al-nafs (protection of life) and COVID-19 in Indonesia: A case study of nurul iman mosque of Bengkulu city", "type" : "article-journal", "volume" : "7" }, "uris" : [ "http://www.mendeley.com/documents/?uuid=3efbe623-e94f-42c5-aa2d-0c75a65ad257" ] } ], "mendeley" : { "formattedCitation" : "(Dahlan et al., 2021; Lukman et al., 2023; Mamnuah et al., 2023)", "plainTextFormattedCitation" : "(Dahlan et al., 2021; Lukman et al., 2023; Mamnuah et al., 2023)", "previouslyFormattedCitation" : "(Dahlan et al., 2021; Lukman et al., 2023; Mamnuah et al., 2023)" }, "properties" : { "noteIndex" : 0 }, "schema" : "https://github.com/citation-style-language/schema/raw/master/csl-citation.json" }</w:instrText>
      </w:r>
      <w:r>
        <w:rPr>
          <w:rFonts w:ascii="Garamond" w:hAnsi="Garamond"/>
          <w:color w:val="000000"/>
          <w:lang w:val="id-ID"/>
        </w:rPr>
        <w:fldChar w:fldCharType="separate"/>
      </w:r>
      <w:r w:rsidRPr="006856D5">
        <w:rPr>
          <w:rFonts w:ascii="Garamond" w:hAnsi="Garamond"/>
          <w:noProof/>
          <w:color w:val="000000"/>
          <w:lang w:val="id-ID"/>
        </w:rPr>
        <w:t>(Dahlan et al., 2021; Lukman et al., 2023; Mamnuah et al., 2023)</w:t>
      </w:r>
      <w:r>
        <w:rPr>
          <w:rFonts w:ascii="Garamond" w:hAnsi="Garamond"/>
          <w:color w:val="000000"/>
          <w:lang w:val="id-ID"/>
        </w:rPr>
        <w:fldChar w:fldCharType="end"/>
      </w:r>
      <w:r w:rsidRPr="00915FFC">
        <w:rPr>
          <w:rFonts w:ascii="Garamond" w:eastAsia="Garamond" w:hAnsi="Garamond" w:cs="Garamond"/>
          <w:lang w:val="id-ID"/>
        </w:rPr>
        <w:t>.</w:t>
      </w:r>
    </w:p>
    <w:p w14:paraId="314BCAAD" w14:textId="77777777" w:rsidR="00915FFC" w:rsidRPr="00915FFC" w:rsidRDefault="00915FFC" w:rsidP="00915FFC">
      <w:pPr>
        <w:spacing w:line="360" w:lineRule="auto"/>
        <w:ind w:firstLine="567"/>
        <w:jc w:val="both"/>
        <w:rPr>
          <w:rFonts w:ascii="Garamond" w:eastAsia="Garamond" w:hAnsi="Garamond" w:cs="Garamond"/>
          <w:lang w:val="id-ID"/>
        </w:rPr>
      </w:pPr>
      <w:r w:rsidRPr="00915FFC">
        <w:rPr>
          <w:rFonts w:ascii="Garamond" w:eastAsia="Garamond" w:hAnsi="Garamond" w:cs="Garamond"/>
          <w:lang w:val="id-ID"/>
        </w:rPr>
        <w:t xml:space="preserve">The results that are considered important in this study are the emergence of three cognitive forms in older Muslims: memory, combination and evaluation. The stage of combining the experience of the Covid-19 period with previously held religious knowledge is considered a critical point for the elderly in the struggle for their faith. </w:t>
      </w:r>
    </w:p>
    <w:p w14:paraId="43AB2983" w14:textId="704981F7" w:rsidR="00915FFC" w:rsidRPr="00915FFC" w:rsidRDefault="00915FFC" w:rsidP="00915FFC">
      <w:pPr>
        <w:spacing w:line="360" w:lineRule="auto"/>
        <w:ind w:firstLine="567"/>
        <w:jc w:val="both"/>
        <w:rPr>
          <w:rFonts w:ascii="Garamond" w:eastAsia="Garamond" w:hAnsi="Garamond" w:cs="Garamond"/>
          <w:lang w:val="id-ID"/>
        </w:rPr>
      </w:pPr>
      <w:r w:rsidRPr="00915FFC">
        <w:rPr>
          <w:rFonts w:ascii="Garamond" w:eastAsia="Garamond" w:hAnsi="Garamond" w:cs="Garamond"/>
          <w:lang w:val="id-ID"/>
        </w:rPr>
        <w:t xml:space="preserve">Age affects a person's memory, especially the elderly who enter the senile phase. Kholifa </w:t>
      </w:r>
      <w:r>
        <w:rPr>
          <w:rFonts w:ascii="Garamond" w:hAnsi="Garamond" w:cstheme="majorBidi"/>
          <w:lang w:val="id-ID"/>
        </w:rPr>
        <w:fldChar w:fldCharType="begin" w:fldLock="1"/>
      </w:r>
      <w:r>
        <w:rPr>
          <w:rFonts w:ascii="Garamond" w:hAnsi="Garamond" w:cstheme="majorBidi"/>
          <w:lang w:val="id-ID"/>
        </w:rPr>
        <w:instrText>ADDIN CSL_CITATION { "citationItems" : [ { "id" : "ITEM-1", "itemData" : { "author" : [ { "dropping-particle" : "", "family" : "Kholifah", "given" : "Nur Siti", "non-dropping-particle" : "", "parse-names" : false, "suffix" : "" } ], "id" : "ITEM-1", "issued" : { "date-parts" : [ [ "2016" ] ] }, "publisher" : "Pusdik SDM Kesehatan", "publisher-place" : "Jakarta", "title" : "Keperawatan Gerontik", "type" : "book" }, "suppress-author" : 1, "uris" : [ "http://www.mendeley.com/documents/?uuid=dab3f293-ff2b-48a5-8eb1-4f7f90a07f59" ] } ], "mendeley" : { "formattedCitation" : "(2016)", "plainTextFormattedCitation" : "(2016)", "previouslyFormattedCitation" : "(2016)" }, "properties" : { "noteIndex" : 0 }, "schema" : "https://github.com/citation-style-language/schema/raw/master/csl-citation.json" }</w:instrText>
      </w:r>
      <w:r>
        <w:rPr>
          <w:rFonts w:ascii="Garamond" w:hAnsi="Garamond" w:cstheme="majorBidi"/>
          <w:lang w:val="id-ID"/>
        </w:rPr>
        <w:fldChar w:fldCharType="separate"/>
      </w:r>
      <w:r w:rsidRPr="006856D5">
        <w:rPr>
          <w:rFonts w:ascii="Garamond" w:hAnsi="Garamond" w:cstheme="majorBidi"/>
          <w:noProof/>
          <w:lang w:val="id-ID"/>
        </w:rPr>
        <w:t>(2016)</w:t>
      </w:r>
      <w:r>
        <w:rPr>
          <w:rFonts w:ascii="Garamond" w:hAnsi="Garamond" w:cstheme="majorBidi"/>
          <w:lang w:val="id-ID"/>
        </w:rPr>
        <w:fldChar w:fldCharType="end"/>
      </w:r>
      <w:r w:rsidRPr="00915FFC">
        <w:rPr>
          <w:rFonts w:ascii="Garamond" w:eastAsia="Garamond" w:hAnsi="Garamond" w:cs="Garamond"/>
          <w:lang w:val="id-ID"/>
        </w:rPr>
        <w:t xml:space="preserve"> explains in the geriatric nursing module that cognitive problems in the elderly are the weakening of memory for something (senile dementia), and it is difficult to socialise with the surrounding community. Ganda et al </w:t>
      </w:r>
      <w:r>
        <w:rPr>
          <w:rFonts w:ascii="Garamond" w:hAnsi="Garamond"/>
          <w:lang w:val="id-ID"/>
        </w:rPr>
        <w:fldChar w:fldCharType="begin" w:fldLock="1"/>
      </w:r>
      <w:r>
        <w:rPr>
          <w:rFonts w:ascii="Garamond" w:hAnsi="Garamond"/>
          <w:lang w:val="id-ID"/>
        </w:rPr>
        <w:instrText>ADDIN CSL_CITATION { "citationItems" : [ { "id" : "ITEM-1", "itemData" : { "author" : [ { "dropping-particle" : "", "family" : "Sigalingging", "given" : "Ganda", "non-dropping-particle" : "", "parse-names" : false, "suffix" : "" }, { "dropping-particle" : "", "family" : "Sitopu", "given" : "Selli Dosriani", "non-dropping-particle" : "", "parse-names" : false, "suffix" : "" }, { "dropping-particle" : "", "family" : "Sihaloho", "given" : "Lasria", "non-dropping-particle" : "", "parse-names" : false, "suffix" : "" } ], "container-title" : "Jurnal Darma Agung Husada", "id" : "ITEM-1", "issue" : "1", "issued" : { "date-parts" : [ [ "2020" ] ] }, "page" : "33-44", "title" : "Karakteristik lanjut usia yang mengalami gangguan memori", "type" : "article-journal", "volume" : "7" }, "suppress-author" : 1, "uris" : [ "http://www.mendeley.com/documents/?uuid=5e779661-96bc-436b-9e68-d3fbb886cdab" ] } ], "mendeley" : { "formattedCitation" : "(2020)", "plainTextFormattedCitation" : "(2020)", "previouslyFormattedCitation" : "(2020)" }, "properties" : { "noteIndex" : 0 }, "schema" : "https://github.com/citation-style-language/schema/raw/master/csl-citation.json" }</w:instrText>
      </w:r>
      <w:r>
        <w:rPr>
          <w:rFonts w:ascii="Garamond" w:hAnsi="Garamond"/>
          <w:lang w:val="id-ID"/>
        </w:rPr>
        <w:fldChar w:fldCharType="separate"/>
      </w:r>
      <w:r w:rsidRPr="00D75B70">
        <w:rPr>
          <w:rFonts w:ascii="Garamond" w:hAnsi="Garamond"/>
          <w:noProof/>
          <w:lang w:val="id-ID"/>
        </w:rPr>
        <w:t>(2020)</w:t>
      </w:r>
      <w:r>
        <w:rPr>
          <w:rFonts w:ascii="Garamond" w:hAnsi="Garamond"/>
          <w:lang w:val="id-ID"/>
        </w:rPr>
        <w:fldChar w:fldCharType="end"/>
      </w:r>
      <w:r w:rsidRPr="00915FFC">
        <w:rPr>
          <w:rFonts w:ascii="Garamond" w:eastAsia="Garamond" w:hAnsi="Garamond" w:cs="Garamond"/>
          <w:lang w:val="id-ID"/>
        </w:rPr>
        <w:t xml:space="preserve"> say that memory problems affect men more than women. Nevertheless, the results of the research on older Muslims, the majority of whom are men, show that they are able to recall the rules of worship. Elderly Muslims confirmed the statement that they clearly remembered the rules of worship restrictions issued by the government and scholars during COVID-19.</w:t>
      </w:r>
    </w:p>
    <w:p w14:paraId="4DDD7FE7" w14:textId="18645831" w:rsidR="00915FFC" w:rsidRDefault="00915FFC" w:rsidP="00915FFC">
      <w:pPr>
        <w:spacing w:line="360" w:lineRule="auto"/>
        <w:ind w:firstLine="567"/>
        <w:jc w:val="both"/>
        <w:rPr>
          <w:rFonts w:ascii="Garamond" w:eastAsia="Garamond" w:hAnsi="Garamond" w:cs="Garamond"/>
          <w:lang w:val="id-ID"/>
        </w:rPr>
      </w:pPr>
      <w:commentRangeStart w:id="3"/>
      <w:r w:rsidRPr="00915FFC">
        <w:rPr>
          <w:rFonts w:ascii="Garamond" w:eastAsia="Garamond" w:hAnsi="Garamond" w:cs="Garamond"/>
          <w:lang w:val="id-ID"/>
        </w:rPr>
        <w:t xml:space="preserve">In this way, our article provides implications for government policies in critical times - not just limited to Covid-19 - about the importance of equality in policy making. Policies of inequality, such as allowing modern shopping centres to open and limiting places of worship, are not good answers. This fact is inextricably linked to the dominance of Muslims in areas of high fanaticism. Socio-economic policies are considered by society to be as important as </w:t>
      </w:r>
      <w:r w:rsidRPr="00915FFC">
        <w:rPr>
          <w:rFonts w:ascii="Garamond" w:eastAsia="Garamond" w:hAnsi="Garamond" w:cs="Garamond"/>
          <w:lang w:val="id-ID"/>
        </w:rPr>
        <w:lastRenderedPageBreak/>
        <w:t>religious policies, and sometimes even more important. Therefore, the involvement of government elements at the village level and government religious institutions, such as Islamic religious teachers from the Office of Religious Affairs, can be maximised. The attainment of Muslim wisdom in dealing with crisis situations can be achieved through the use of counter-religious arguments. In other words, explaining other religious interpretations to suppress religious views already understood by Muslims is the best solution.</w:t>
      </w:r>
      <w:commentRangeEnd w:id="3"/>
      <w:r>
        <w:rPr>
          <w:rStyle w:val="CommentReference"/>
        </w:rPr>
        <w:commentReference w:id="3"/>
      </w:r>
    </w:p>
    <w:p w14:paraId="73890AD9" w14:textId="77777777" w:rsidR="00A42AF4" w:rsidRPr="00A42AF4" w:rsidRDefault="00A42AF4" w:rsidP="00A42AF4">
      <w:pPr>
        <w:spacing w:line="360" w:lineRule="auto"/>
        <w:ind w:firstLine="567"/>
        <w:jc w:val="both"/>
        <w:rPr>
          <w:rFonts w:ascii="Garamond" w:hAnsi="Garamond"/>
          <w:lang w:val="id-ID"/>
        </w:rPr>
      </w:pPr>
    </w:p>
    <w:p w14:paraId="4E20C9C0" w14:textId="369BE0AA" w:rsidR="00545F82" w:rsidRPr="00AA7423" w:rsidRDefault="00915FFC">
      <w:pPr>
        <w:keepNext/>
        <w:keepLines/>
        <w:pBdr>
          <w:top w:val="nil"/>
          <w:left w:val="nil"/>
          <w:bottom w:val="nil"/>
          <w:right w:val="nil"/>
          <w:between w:val="nil"/>
        </w:pBdr>
        <w:spacing w:line="360" w:lineRule="auto"/>
        <w:rPr>
          <w:rFonts w:ascii="Garamond" w:eastAsia="Garamond" w:hAnsi="Garamond" w:cs="Garamond"/>
          <w:b/>
          <w:color w:val="000000"/>
          <w:lang w:val="id-ID"/>
        </w:rPr>
      </w:pPr>
      <w:r w:rsidRPr="00915FFC">
        <w:rPr>
          <w:rFonts w:ascii="Garamond" w:eastAsia="Garamond" w:hAnsi="Garamond" w:cs="Garamond"/>
          <w:b/>
          <w:color w:val="000000"/>
          <w:lang w:val="id-ID"/>
        </w:rPr>
        <w:t>CONCLUSIONS AND RECOMMENDATIONS</w:t>
      </w:r>
      <w:r w:rsidR="009D0906" w:rsidRPr="00AA7423">
        <w:rPr>
          <w:rFonts w:ascii="Garamond" w:eastAsia="Garamond" w:hAnsi="Garamond" w:cs="Garamond"/>
          <w:b/>
          <w:color w:val="000000"/>
          <w:lang w:val="id-ID"/>
        </w:rPr>
        <w:t xml:space="preserve"> </w:t>
      </w:r>
    </w:p>
    <w:p w14:paraId="7797DEC5" w14:textId="77777777" w:rsidR="00915FFC" w:rsidRPr="00915FFC" w:rsidRDefault="00915FFC" w:rsidP="00915FFC">
      <w:pPr>
        <w:spacing w:line="360" w:lineRule="auto"/>
        <w:ind w:firstLine="567"/>
        <w:jc w:val="both"/>
        <w:rPr>
          <w:rFonts w:ascii="Garamond" w:eastAsia="Garamond" w:hAnsi="Garamond" w:cs="Garamond"/>
          <w:lang w:val="id-ID"/>
        </w:rPr>
      </w:pPr>
      <w:r w:rsidRPr="00915FFC">
        <w:rPr>
          <w:rFonts w:ascii="Garamond" w:eastAsia="Garamond" w:hAnsi="Garamond" w:cs="Garamond"/>
          <w:lang w:val="id-ID"/>
        </w:rPr>
        <w:t xml:space="preserve">The resistance of elderly Muslims during the Covid-19 period has sparked debate and justification that Muslims are very obedient to Islamic doctrine. This article explores the reasons behind the resistance of elderly Muslims to the continuation of worship in Al-Mukmin and Asy-Syifa mosques, which are under the red zone. Layered cognitive knowledge is found to support the final decision of elderly Muslims to continue worshipping at the mosque through a series of health protocols. The cognitive phase in the critical part, combining knowing and evaluating the policy, is considered the most crucial. Elderly Muslims come up with various ways of continuing to attend the mosque: wearing masks, keeping a distance, bringing prayer equipment, avoiding lingering in the mosque and isolating themselves when they start to feel symptoms of Covid-19. With the alternatives provided by the government since the beginning of Covid-19, loosening one sector and tightening another, and the Islamic doctrine strongly held by older Muslims, the final determinant of resistance. </w:t>
      </w:r>
    </w:p>
    <w:p w14:paraId="1EEF7DF8" w14:textId="184A2301" w:rsidR="00915FFC" w:rsidRDefault="00915FFC" w:rsidP="00915FFC">
      <w:pPr>
        <w:spacing w:line="360" w:lineRule="auto"/>
        <w:ind w:firstLine="567"/>
        <w:jc w:val="both"/>
        <w:rPr>
          <w:rFonts w:ascii="Garamond" w:eastAsia="Garamond" w:hAnsi="Garamond" w:cs="Garamond"/>
          <w:lang w:val="id-ID"/>
        </w:rPr>
      </w:pPr>
      <w:commentRangeStart w:id="4"/>
      <w:r w:rsidRPr="00915FFC">
        <w:rPr>
          <w:rFonts w:ascii="Garamond" w:eastAsia="Garamond" w:hAnsi="Garamond" w:cs="Garamond"/>
          <w:lang w:val="id-ID"/>
        </w:rPr>
        <w:t>From the outset, the study focused only on the responses from Muslims to the single-mosque policy. This is ultimately seen as a limitation of the research. Future studies could expand the sample of mosques, the conditions of older people, or new issues in the research site. Our research also suggests that it is important to explore the relationship between the policy of restricting worship and the mental and spiritual health of the elderly.</w:t>
      </w:r>
      <w:commentRangeEnd w:id="4"/>
      <w:r>
        <w:rPr>
          <w:rStyle w:val="CommentReference"/>
        </w:rPr>
        <w:commentReference w:id="4"/>
      </w:r>
    </w:p>
    <w:p w14:paraId="2133C06B" w14:textId="48C0C41C" w:rsidR="00545F82" w:rsidRPr="00DB5E05" w:rsidRDefault="00545F82">
      <w:pPr>
        <w:widowControl/>
        <w:spacing w:line="360" w:lineRule="auto"/>
        <w:rPr>
          <w:rFonts w:ascii="Garamond" w:eastAsia="Garamond" w:hAnsi="Garamond" w:cs="Garamond"/>
          <w:lang w:val="id-ID"/>
        </w:rPr>
      </w:pPr>
    </w:p>
    <w:p w14:paraId="23B5A908" w14:textId="69FC4A30" w:rsidR="00132D24" w:rsidRPr="005848F3" w:rsidRDefault="00915FFC">
      <w:pPr>
        <w:widowControl/>
        <w:spacing w:line="360" w:lineRule="auto"/>
        <w:rPr>
          <w:rFonts w:ascii="Garamond" w:eastAsia="Garamond" w:hAnsi="Garamond" w:cs="Garamond"/>
          <w:b/>
          <w:bCs/>
          <w:lang w:val="id-ID"/>
        </w:rPr>
      </w:pPr>
      <w:r>
        <w:rPr>
          <w:rFonts w:ascii="Garamond" w:eastAsia="Garamond" w:hAnsi="Garamond" w:cs="Garamond"/>
          <w:b/>
          <w:bCs/>
          <w:lang w:val="id-ID"/>
        </w:rPr>
        <w:t>REFERENCES</w:t>
      </w:r>
    </w:p>
    <w:p w14:paraId="254DE58E" w14:textId="240693DD" w:rsidR="006922A3" w:rsidRPr="006922A3" w:rsidRDefault="00132D24" w:rsidP="00915FFC">
      <w:pPr>
        <w:autoSpaceDE w:val="0"/>
        <w:autoSpaceDN w:val="0"/>
        <w:adjustRightInd w:val="0"/>
        <w:spacing w:after="120"/>
        <w:ind w:left="480" w:hanging="480"/>
        <w:jc w:val="both"/>
        <w:rPr>
          <w:rFonts w:ascii="Garamond" w:hAnsi="Garamond"/>
          <w:noProof/>
          <w:kern w:val="0"/>
        </w:rPr>
      </w:pPr>
      <w:r>
        <w:rPr>
          <w:rFonts w:ascii="Garamond" w:eastAsia="Garamond" w:hAnsi="Garamond" w:cs="Garamond"/>
          <w:lang w:val="sv-SE"/>
        </w:rPr>
        <w:fldChar w:fldCharType="begin" w:fldLock="1"/>
      </w:r>
      <w:r w:rsidRPr="005848F3">
        <w:rPr>
          <w:rFonts w:ascii="Garamond" w:eastAsia="Garamond" w:hAnsi="Garamond" w:cs="Garamond"/>
          <w:lang w:val="id-ID"/>
        </w:rPr>
        <w:instrText xml:space="preserve">ADDIN Mendeley Bibliography CSL_BIBLIOGRAPHY </w:instrText>
      </w:r>
      <w:r>
        <w:rPr>
          <w:rFonts w:ascii="Garamond" w:eastAsia="Garamond" w:hAnsi="Garamond" w:cs="Garamond"/>
          <w:lang w:val="sv-SE"/>
        </w:rPr>
        <w:fldChar w:fldCharType="separate"/>
      </w:r>
      <w:r w:rsidR="006922A3" w:rsidRPr="00A42AF4">
        <w:rPr>
          <w:rFonts w:ascii="Garamond" w:hAnsi="Garamond"/>
          <w:noProof/>
          <w:kern w:val="0"/>
          <w:lang w:val="id-ID"/>
        </w:rPr>
        <w:t xml:space="preserve">Abedin, M., Islam, Mohammad Aminul Rahman, F. N., Reza, H. M., Hossain, M. Z., Hossain, M. A., Arefin, A., &amp; Hossain, A. (2021). </w:t>
      </w:r>
      <w:r w:rsidR="006922A3" w:rsidRPr="006922A3">
        <w:rPr>
          <w:rFonts w:ascii="Garamond" w:hAnsi="Garamond"/>
          <w:noProof/>
          <w:kern w:val="0"/>
        </w:rPr>
        <w:t xml:space="preserve">Willingness to vaccinate against COVID-19 among Bangladeshi adults: Understanding the strategies to optimize vaccination coverage. </w:t>
      </w:r>
      <w:r w:rsidR="006922A3" w:rsidRPr="006922A3">
        <w:rPr>
          <w:rFonts w:ascii="Garamond" w:hAnsi="Garamond"/>
          <w:i/>
          <w:iCs/>
          <w:noProof/>
          <w:kern w:val="0"/>
        </w:rPr>
        <w:t>PloS One</w:t>
      </w:r>
      <w:r w:rsidR="006922A3" w:rsidRPr="006922A3">
        <w:rPr>
          <w:rFonts w:ascii="Garamond" w:hAnsi="Garamond"/>
          <w:noProof/>
          <w:kern w:val="0"/>
        </w:rPr>
        <w:t xml:space="preserve">, </w:t>
      </w:r>
      <w:r w:rsidR="006922A3" w:rsidRPr="006922A3">
        <w:rPr>
          <w:rFonts w:ascii="Garamond" w:hAnsi="Garamond"/>
          <w:i/>
          <w:iCs/>
          <w:noProof/>
          <w:kern w:val="0"/>
        </w:rPr>
        <w:t>16</w:t>
      </w:r>
      <w:r w:rsidR="006922A3" w:rsidRPr="006922A3">
        <w:rPr>
          <w:rFonts w:ascii="Garamond" w:hAnsi="Garamond"/>
          <w:noProof/>
          <w:kern w:val="0"/>
        </w:rPr>
        <w:t>(4), e0250495. https://doi.org/10.1371/journal. pone.0250495</w:t>
      </w:r>
    </w:p>
    <w:p w14:paraId="386C3282"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Akgün Şahin, Z., Deniz, M., Akça, D., Uymaz Aras, G., &amp; Doğan, S. (2023). The Relationship Between Intolerance of Uncertainty and Spiritual Well-Being Levels of COVID-19 </w:t>
      </w:r>
      <w:r w:rsidRPr="006922A3">
        <w:rPr>
          <w:rFonts w:ascii="Garamond" w:hAnsi="Garamond"/>
          <w:noProof/>
          <w:kern w:val="0"/>
        </w:rPr>
        <w:lastRenderedPageBreak/>
        <w:t xml:space="preserve">Among Elderly: A Cross Sectional and Correlational Study. </w:t>
      </w:r>
      <w:r w:rsidRPr="006922A3">
        <w:rPr>
          <w:rFonts w:ascii="Garamond" w:hAnsi="Garamond"/>
          <w:i/>
          <w:iCs/>
          <w:noProof/>
          <w:kern w:val="0"/>
        </w:rPr>
        <w:t>Omega (United States)</w:t>
      </w:r>
      <w:r w:rsidRPr="006922A3">
        <w:rPr>
          <w:rFonts w:ascii="Garamond" w:hAnsi="Garamond"/>
          <w:noProof/>
          <w:kern w:val="0"/>
        </w:rPr>
        <w:t>. https://doi.org/10.1177/00302228231163208</w:t>
      </w:r>
    </w:p>
    <w:p w14:paraId="29DA685D"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Al-Astewani, A. (2021). To open or close? COVID-19, mosques and the role of religious authority within the British Muslim community: A socio-legal analysis. </w:t>
      </w:r>
      <w:r w:rsidRPr="006922A3">
        <w:rPr>
          <w:rFonts w:ascii="Garamond" w:hAnsi="Garamond"/>
          <w:i/>
          <w:iCs/>
          <w:noProof/>
          <w:kern w:val="0"/>
        </w:rPr>
        <w:t>Religions</w:t>
      </w:r>
      <w:r w:rsidRPr="006922A3">
        <w:rPr>
          <w:rFonts w:ascii="Garamond" w:hAnsi="Garamond"/>
          <w:noProof/>
          <w:kern w:val="0"/>
        </w:rPr>
        <w:t xml:space="preserve">, </w:t>
      </w:r>
      <w:r w:rsidRPr="006922A3">
        <w:rPr>
          <w:rFonts w:ascii="Garamond" w:hAnsi="Garamond"/>
          <w:i/>
          <w:iCs/>
          <w:noProof/>
          <w:kern w:val="0"/>
        </w:rPr>
        <w:t>12</w:t>
      </w:r>
      <w:r w:rsidRPr="006922A3">
        <w:rPr>
          <w:rFonts w:ascii="Garamond" w:hAnsi="Garamond"/>
          <w:noProof/>
          <w:kern w:val="0"/>
        </w:rPr>
        <w:t>(1), 1–26. https://doi.org/10.3390/rel12010011</w:t>
      </w:r>
    </w:p>
    <w:p w14:paraId="3AE28809"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Araf, Y., Akter, F., Tang, Y. dong, Fatemi, R., Parvez, M. S. A., Zheng, C., &amp; Hossain, M. G. (2022). Omicron variant of SARS-CoV-2: Genomics, transmissibility, and responses to current COVID-19 vaccines. </w:t>
      </w:r>
      <w:r w:rsidRPr="006922A3">
        <w:rPr>
          <w:rFonts w:ascii="Garamond" w:hAnsi="Garamond"/>
          <w:i/>
          <w:iCs/>
          <w:noProof/>
          <w:kern w:val="0"/>
        </w:rPr>
        <w:t>Journal of Medical Virology</w:t>
      </w:r>
      <w:r w:rsidRPr="006922A3">
        <w:rPr>
          <w:rFonts w:ascii="Garamond" w:hAnsi="Garamond"/>
          <w:noProof/>
          <w:kern w:val="0"/>
        </w:rPr>
        <w:t xml:space="preserve">, </w:t>
      </w:r>
      <w:r w:rsidRPr="006922A3">
        <w:rPr>
          <w:rFonts w:ascii="Garamond" w:hAnsi="Garamond"/>
          <w:i/>
          <w:iCs/>
          <w:noProof/>
          <w:kern w:val="0"/>
        </w:rPr>
        <w:t>94</w:t>
      </w:r>
      <w:r w:rsidRPr="006922A3">
        <w:rPr>
          <w:rFonts w:ascii="Garamond" w:hAnsi="Garamond"/>
          <w:noProof/>
          <w:kern w:val="0"/>
        </w:rPr>
        <w:t>(5), 1825–1832. https://doi.org/10.1002/jmv.27588</w:t>
      </w:r>
    </w:p>
    <w:p w14:paraId="1F89895A" w14:textId="77777777" w:rsidR="006922A3" w:rsidRPr="00A42AF4" w:rsidRDefault="006922A3" w:rsidP="00915FFC">
      <w:pPr>
        <w:autoSpaceDE w:val="0"/>
        <w:autoSpaceDN w:val="0"/>
        <w:adjustRightInd w:val="0"/>
        <w:spacing w:after="120"/>
        <w:ind w:left="480" w:hanging="480"/>
        <w:jc w:val="both"/>
        <w:rPr>
          <w:rFonts w:ascii="Garamond" w:hAnsi="Garamond"/>
          <w:noProof/>
          <w:kern w:val="0"/>
          <w:lang w:val="sv-SE"/>
        </w:rPr>
      </w:pPr>
      <w:r w:rsidRPr="006922A3">
        <w:rPr>
          <w:rFonts w:ascii="Garamond" w:hAnsi="Garamond"/>
          <w:noProof/>
          <w:kern w:val="0"/>
        </w:rPr>
        <w:t xml:space="preserve">Azizah, L. M. (2011). </w:t>
      </w:r>
      <w:r w:rsidRPr="006922A3">
        <w:rPr>
          <w:rFonts w:ascii="Garamond" w:hAnsi="Garamond"/>
          <w:i/>
          <w:iCs/>
          <w:noProof/>
          <w:kern w:val="0"/>
        </w:rPr>
        <w:t>Keperawatan Lanjut Usia</w:t>
      </w:r>
      <w:r w:rsidRPr="006922A3">
        <w:rPr>
          <w:rFonts w:ascii="Garamond" w:hAnsi="Garamond"/>
          <w:noProof/>
          <w:kern w:val="0"/>
        </w:rPr>
        <w:t xml:space="preserve"> (1st ed.). </w:t>
      </w:r>
      <w:r w:rsidRPr="00A42AF4">
        <w:rPr>
          <w:rFonts w:ascii="Garamond" w:hAnsi="Garamond"/>
          <w:noProof/>
          <w:kern w:val="0"/>
          <w:lang w:val="sv-SE"/>
        </w:rPr>
        <w:t>Graha Ilmu.</w:t>
      </w:r>
    </w:p>
    <w:p w14:paraId="7A67117E"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A42AF4">
        <w:rPr>
          <w:rFonts w:ascii="Garamond" w:hAnsi="Garamond"/>
          <w:noProof/>
          <w:kern w:val="0"/>
          <w:lang w:val="sv-SE"/>
        </w:rPr>
        <w:t xml:space="preserve">Azwar, M. K., &amp; Setiati, S. (2020). </w:t>
      </w:r>
      <w:r w:rsidRPr="006922A3">
        <w:rPr>
          <w:rFonts w:ascii="Garamond" w:hAnsi="Garamond"/>
          <w:noProof/>
          <w:kern w:val="0"/>
        </w:rPr>
        <w:t xml:space="preserve">COVID-19 and Indonesia. </w:t>
      </w:r>
      <w:r w:rsidRPr="006922A3">
        <w:rPr>
          <w:rFonts w:ascii="Garamond" w:hAnsi="Garamond"/>
          <w:i/>
          <w:iCs/>
          <w:noProof/>
          <w:kern w:val="0"/>
        </w:rPr>
        <w:t>Acta Medica Indonesiana</w:t>
      </w:r>
      <w:r w:rsidRPr="006922A3">
        <w:rPr>
          <w:rFonts w:ascii="Garamond" w:hAnsi="Garamond"/>
          <w:noProof/>
          <w:kern w:val="0"/>
        </w:rPr>
        <w:t xml:space="preserve">, </w:t>
      </w:r>
      <w:r w:rsidRPr="006922A3">
        <w:rPr>
          <w:rFonts w:ascii="Garamond" w:hAnsi="Garamond"/>
          <w:i/>
          <w:iCs/>
          <w:noProof/>
          <w:kern w:val="0"/>
        </w:rPr>
        <w:t>52</w:t>
      </w:r>
      <w:r w:rsidRPr="006922A3">
        <w:rPr>
          <w:rFonts w:ascii="Garamond" w:hAnsi="Garamond"/>
          <w:noProof/>
          <w:kern w:val="0"/>
        </w:rPr>
        <w:t>(1), 84–89. https://www.researchgate.net/publication/340645813</w:t>
      </w:r>
    </w:p>
    <w:p w14:paraId="5F16F9C5"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Chaffee, S. H., &amp; Schleuder, J. (1986). Measurement and effects of attention to media news. </w:t>
      </w:r>
      <w:r w:rsidRPr="006922A3">
        <w:rPr>
          <w:rFonts w:ascii="Garamond" w:hAnsi="Garamond"/>
          <w:i/>
          <w:iCs/>
          <w:noProof/>
          <w:kern w:val="0"/>
        </w:rPr>
        <w:t>Human Communication Research</w:t>
      </w:r>
      <w:r w:rsidRPr="006922A3">
        <w:rPr>
          <w:rFonts w:ascii="Garamond" w:hAnsi="Garamond"/>
          <w:noProof/>
          <w:kern w:val="0"/>
        </w:rPr>
        <w:t xml:space="preserve">, </w:t>
      </w:r>
      <w:r w:rsidRPr="006922A3">
        <w:rPr>
          <w:rFonts w:ascii="Garamond" w:hAnsi="Garamond"/>
          <w:i/>
          <w:iCs/>
          <w:noProof/>
          <w:kern w:val="0"/>
        </w:rPr>
        <w:t>13</w:t>
      </w:r>
      <w:r w:rsidRPr="006922A3">
        <w:rPr>
          <w:rFonts w:ascii="Garamond" w:hAnsi="Garamond"/>
          <w:noProof/>
          <w:kern w:val="0"/>
        </w:rPr>
        <w:t>(1), 76–107.</w:t>
      </w:r>
    </w:p>
    <w:p w14:paraId="0F78E318"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Chenchula, S., Karunakaran, P., Sharma, S., &amp; Chavan, M. (2022). Current evidence on efficacy of COVID-19 booster dose vaccination against the Omicron variant: A systematic review. </w:t>
      </w:r>
      <w:r w:rsidRPr="006922A3">
        <w:rPr>
          <w:rFonts w:ascii="Garamond" w:hAnsi="Garamond"/>
          <w:i/>
          <w:iCs/>
          <w:noProof/>
          <w:kern w:val="0"/>
        </w:rPr>
        <w:t>Journal of Medical Virology</w:t>
      </w:r>
      <w:r w:rsidRPr="006922A3">
        <w:rPr>
          <w:rFonts w:ascii="Garamond" w:hAnsi="Garamond"/>
          <w:noProof/>
          <w:kern w:val="0"/>
        </w:rPr>
        <w:t xml:space="preserve">, </w:t>
      </w:r>
      <w:r w:rsidRPr="006922A3">
        <w:rPr>
          <w:rFonts w:ascii="Garamond" w:hAnsi="Garamond"/>
          <w:i/>
          <w:iCs/>
          <w:noProof/>
          <w:kern w:val="0"/>
        </w:rPr>
        <w:t>94</w:t>
      </w:r>
      <w:r w:rsidRPr="006922A3">
        <w:rPr>
          <w:rFonts w:ascii="Garamond" w:hAnsi="Garamond"/>
          <w:noProof/>
          <w:kern w:val="0"/>
        </w:rPr>
        <w:t>(7), 2969–2976. https://doi.org/10.1002/jmv.27697</w:t>
      </w:r>
    </w:p>
    <w:p w14:paraId="2BACD21B"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Ciotti, M., Ciccozzi, M., Terrinoni, A., Jiang, W. C., Wang, C. Bin, &amp; Bernardini, S. (2020). The COVID-19 pandemic. </w:t>
      </w:r>
      <w:r w:rsidRPr="006922A3">
        <w:rPr>
          <w:rFonts w:ascii="Garamond" w:hAnsi="Garamond"/>
          <w:i/>
          <w:iCs/>
          <w:noProof/>
          <w:kern w:val="0"/>
        </w:rPr>
        <w:t>Critical Reviews in Clinical Laboratory Sciences</w:t>
      </w:r>
      <w:r w:rsidRPr="006922A3">
        <w:rPr>
          <w:rFonts w:ascii="Garamond" w:hAnsi="Garamond"/>
          <w:noProof/>
          <w:kern w:val="0"/>
        </w:rPr>
        <w:t>, 365–388. https://doi.org/10.1080/10408363.2020.1783198</w:t>
      </w:r>
    </w:p>
    <w:p w14:paraId="20052D1A"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Corman, V. M., Muth, D., Niemeyer, D., &amp; Drosten, C. (2018). Hosts and Sources of Endemic Human Coronaviruses. </w:t>
      </w:r>
      <w:r w:rsidRPr="006922A3">
        <w:rPr>
          <w:rFonts w:ascii="Garamond" w:hAnsi="Garamond"/>
          <w:i/>
          <w:iCs/>
          <w:noProof/>
          <w:kern w:val="0"/>
        </w:rPr>
        <w:t>Advances in Virus Research</w:t>
      </w:r>
      <w:r w:rsidRPr="006922A3">
        <w:rPr>
          <w:rFonts w:ascii="Garamond" w:hAnsi="Garamond"/>
          <w:noProof/>
          <w:kern w:val="0"/>
        </w:rPr>
        <w:t xml:space="preserve">, </w:t>
      </w:r>
      <w:r w:rsidRPr="006922A3">
        <w:rPr>
          <w:rFonts w:ascii="Garamond" w:hAnsi="Garamond"/>
          <w:i/>
          <w:iCs/>
          <w:noProof/>
          <w:kern w:val="0"/>
        </w:rPr>
        <w:t>100</w:t>
      </w:r>
      <w:r w:rsidRPr="006922A3">
        <w:rPr>
          <w:rFonts w:ascii="Garamond" w:hAnsi="Garamond"/>
          <w:noProof/>
          <w:kern w:val="0"/>
        </w:rPr>
        <w:t>, 163–188. https://doi.org/10.1016/bs.aivir.2018.01.001</w:t>
      </w:r>
    </w:p>
    <w:p w14:paraId="01A00961"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Creswell, J. W. (2013). Qualitative, quantitative, and mixed methods approaches. In </w:t>
      </w:r>
      <w:r w:rsidRPr="006922A3">
        <w:rPr>
          <w:rFonts w:ascii="Garamond" w:hAnsi="Garamond"/>
          <w:i/>
          <w:iCs/>
          <w:noProof/>
          <w:kern w:val="0"/>
        </w:rPr>
        <w:t>Research design</w:t>
      </w:r>
      <w:r w:rsidRPr="006922A3">
        <w:rPr>
          <w:rFonts w:ascii="Garamond" w:hAnsi="Garamond"/>
          <w:noProof/>
          <w:kern w:val="0"/>
        </w:rPr>
        <w:t>.</w:t>
      </w:r>
    </w:p>
    <w:p w14:paraId="739473ED" w14:textId="77777777" w:rsidR="006922A3" w:rsidRPr="00A42AF4" w:rsidRDefault="006922A3" w:rsidP="00915FFC">
      <w:pPr>
        <w:autoSpaceDE w:val="0"/>
        <w:autoSpaceDN w:val="0"/>
        <w:adjustRightInd w:val="0"/>
        <w:spacing w:after="120"/>
        <w:ind w:left="480" w:hanging="480"/>
        <w:jc w:val="both"/>
        <w:rPr>
          <w:rFonts w:ascii="Garamond" w:hAnsi="Garamond"/>
          <w:noProof/>
          <w:kern w:val="0"/>
          <w:lang w:val="sv-SE"/>
        </w:rPr>
      </w:pPr>
      <w:r w:rsidRPr="006922A3">
        <w:rPr>
          <w:rFonts w:ascii="Garamond" w:hAnsi="Garamond"/>
          <w:noProof/>
          <w:kern w:val="0"/>
        </w:rPr>
        <w:t xml:space="preserve">Dahlan, M., Bustami, M. R., Makmur, &amp; Mas’ulah, S. (2021). The Islamic principle of </w:t>
      </w:r>
      <w:r w:rsidRPr="006922A3">
        <w:rPr>
          <w:rFonts w:ascii="Cambria" w:hAnsi="Cambria" w:cs="Cambria"/>
          <w:noProof/>
          <w:kern w:val="0"/>
        </w:rPr>
        <w:t>ḥ</w:t>
      </w:r>
      <w:r w:rsidRPr="006922A3">
        <w:rPr>
          <w:rFonts w:ascii="Garamond" w:hAnsi="Garamond"/>
          <w:noProof/>
          <w:kern w:val="0"/>
        </w:rPr>
        <w:t>if</w:t>
      </w:r>
      <w:r w:rsidRPr="006922A3">
        <w:rPr>
          <w:rFonts w:ascii="Cambria" w:hAnsi="Cambria" w:cs="Cambria"/>
          <w:noProof/>
          <w:kern w:val="0"/>
        </w:rPr>
        <w:t>ẓ</w:t>
      </w:r>
      <w:r w:rsidRPr="006922A3">
        <w:rPr>
          <w:rFonts w:ascii="Garamond" w:hAnsi="Garamond"/>
          <w:noProof/>
          <w:kern w:val="0"/>
        </w:rPr>
        <w:t xml:space="preserve"> al-nafs (protection of life) and COVID-19 in Indonesia: A case study of nurul iman mosque of Bengkulu city. </w:t>
      </w:r>
      <w:r w:rsidRPr="00A42AF4">
        <w:rPr>
          <w:rFonts w:ascii="Garamond" w:hAnsi="Garamond"/>
          <w:i/>
          <w:iCs/>
          <w:noProof/>
          <w:kern w:val="0"/>
          <w:lang w:val="sv-SE"/>
        </w:rPr>
        <w:t>Heliyon</w:t>
      </w:r>
      <w:r w:rsidRPr="00A42AF4">
        <w:rPr>
          <w:rFonts w:ascii="Garamond" w:hAnsi="Garamond"/>
          <w:noProof/>
          <w:kern w:val="0"/>
          <w:lang w:val="sv-SE"/>
        </w:rPr>
        <w:t xml:space="preserve">, </w:t>
      </w:r>
      <w:r w:rsidRPr="00A42AF4">
        <w:rPr>
          <w:rFonts w:ascii="Garamond" w:hAnsi="Garamond"/>
          <w:i/>
          <w:iCs/>
          <w:noProof/>
          <w:kern w:val="0"/>
          <w:lang w:val="sv-SE"/>
        </w:rPr>
        <w:t>7</w:t>
      </w:r>
      <w:r w:rsidRPr="00A42AF4">
        <w:rPr>
          <w:rFonts w:ascii="Garamond" w:hAnsi="Garamond"/>
          <w:noProof/>
          <w:kern w:val="0"/>
          <w:lang w:val="sv-SE"/>
        </w:rPr>
        <w:t>(7). https://doi.org/10.1016/j.heliyon.2021.e07541</w:t>
      </w:r>
    </w:p>
    <w:p w14:paraId="213032F4"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A42AF4">
        <w:rPr>
          <w:rFonts w:ascii="Garamond" w:hAnsi="Garamond"/>
          <w:noProof/>
          <w:kern w:val="0"/>
          <w:lang w:val="sv-SE"/>
        </w:rPr>
        <w:t xml:space="preserve">Durmuş, M., &amp; Durar, E. (2022). </w:t>
      </w:r>
      <w:r w:rsidRPr="006922A3">
        <w:rPr>
          <w:rFonts w:ascii="Garamond" w:hAnsi="Garamond"/>
          <w:noProof/>
          <w:kern w:val="0"/>
        </w:rPr>
        <w:t xml:space="preserve">The relationship between spiritual well-being and fear of COVID-19 among Turkish elders. </w:t>
      </w:r>
      <w:r w:rsidRPr="006922A3">
        <w:rPr>
          <w:rFonts w:ascii="Garamond" w:hAnsi="Garamond"/>
          <w:i/>
          <w:iCs/>
          <w:noProof/>
          <w:kern w:val="0"/>
        </w:rPr>
        <w:t>Journal of Religion, Spirituality and Aging</w:t>
      </w:r>
      <w:r w:rsidRPr="006922A3">
        <w:rPr>
          <w:rFonts w:ascii="Garamond" w:hAnsi="Garamond"/>
          <w:noProof/>
          <w:kern w:val="0"/>
        </w:rPr>
        <w:t xml:space="preserve">, </w:t>
      </w:r>
      <w:r w:rsidRPr="006922A3">
        <w:rPr>
          <w:rFonts w:ascii="Garamond" w:hAnsi="Garamond"/>
          <w:i/>
          <w:iCs/>
          <w:noProof/>
          <w:kern w:val="0"/>
        </w:rPr>
        <w:t>34</w:t>
      </w:r>
      <w:r w:rsidRPr="006922A3">
        <w:rPr>
          <w:rFonts w:ascii="Garamond" w:hAnsi="Garamond"/>
          <w:noProof/>
          <w:kern w:val="0"/>
        </w:rPr>
        <w:t>(1), 3–16. https://doi.org/10.1080/15528030.2021.1894627</w:t>
      </w:r>
    </w:p>
    <w:p w14:paraId="511F7037"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Fernando, H., Abdullah, I., &amp; Yusuf, M. (2022). Reception of Law Worship: The Experiences of Muslims Worship During Pandemic Covid-19. </w:t>
      </w:r>
      <w:r w:rsidRPr="006922A3">
        <w:rPr>
          <w:rFonts w:ascii="Garamond" w:hAnsi="Garamond"/>
          <w:i/>
          <w:iCs/>
          <w:noProof/>
          <w:kern w:val="0"/>
        </w:rPr>
        <w:t>Nurani: Jurnal Kajian Syari’ah Dan Masyarakat</w:t>
      </w:r>
      <w:r w:rsidRPr="006922A3">
        <w:rPr>
          <w:rFonts w:ascii="Garamond" w:hAnsi="Garamond"/>
          <w:noProof/>
          <w:kern w:val="0"/>
        </w:rPr>
        <w:t xml:space="preserve">, </w:t>
      </w:r>
      <w:r w:rsidRPr="006922A3">
        <w:rPr>
          <w:rFonts w:ascii="Garamond" w:hAnsi="Garamond"/>
          <w:i/>
          <w:iCs/>
          <w:noProof/>
          <w:kern w:val="0"/>
        </w:rPr>
        <w:t>22</w:t>
      </w:r>
      <w:r w:rsidRPr="006922A3">
        <w:rPr>
          <w:rFonts w:ascii="Garamond" w:hAnsi="Garamond"/>
          <w:noProof/>
          <w:kern w:val="0"/>
        </w:rPr>
        <w:t>(2), 201–212.</w:t>
      </w:r>
    </w:p>
    <w:p w14:paraId="3E20C2F3" w14:textId="77777777" w:rsidR="006922A3" w:rsidRPr="00A42AF4" w:rsidRDefault="006922A3" w:rsidP="00915FFC">
      <w:pPr>
        <w:autoSpaceDE w:val="0"/>
        <w:autoSpaceDN w:val="0"/>
        <w:adjustRightInd w:val="0"/>
        <w:spacing w:after="120"/>
        <w:ind w:left="480" w:hanging="480"/>
        <w:jc w:val="both"/>
        <w:rPr>
          <w:rFonts w:ascii="Garamond" w:hAnsi="Garamond"/>
          <w:noProof/>
          <w:kern w:val="0"/>
          <w:lang w:val="nb-NO"/>
        </w:rPr>
      </w:pPr>
      <w:r w:rsidRPr="006922A3">
        <w:rPr>
          <w:rFonts w:ascii="Garamond" w:hAnsi="Garamond"/>
          <w:noProof/>
          <w:kern w:val="0"/>
        </w:rPr>
        <w:t xml:space="preserve">Fernando, H., Abdullah, I., &amp; Yusuf, M. (2023). Resistance of Muslims Toward the Government’S Policy on Prohibiting Congregational Worship During the Covid-19 Pandemic. </w:t>
      </w:r>
      <w:r w:rsidRPr="00A42AF4">
        <w:rPr>
          <w:rFonts w:ascii="Garamond" w:hAnsi="Garamond"/>
          <w:i/>
          <w:iCs/>
          <w:noProof/>
          <w:kern w:val="0"/>
          <w:lang w:val="nb-NO"/>
        </w:rPr>
        <w:t>Jurnal Sosiologi Reflektif</w:t>
      </w:r>
      <w:r w:rsidRPr="00A42AF4">
        <w:rPr>
          <w:rFonts w:ascii="Garamond" w:hAnsi="Garamond"/>
          <w:noProof/>
          <w:kern w:val="0"/>
          <w:lang w:val="nb-NO"/>
        </w:rPr>
        <w:t xml:space="preserve">, </w:t>
      </w:r>
      <w:r w:rsidRPr="00A42AF4">
        <w:rPr>
          <w:rFonts w:ascii="Garamond" w:hAnsi="Garamond"/>
          <w:i/>
          <w:iCs/>
          <w:noProof/>
          <w:kern w:val="0"/>
          <w:lang w:val="nb-NO"/>
        </w:rPr>
        <w:t>17</w:t>
      </w:r>
      <w:r w:rsidRPr="00A42AF4">
        <w:rPr>
          <w:rFonts w:ascii="Garamond" w:hAnsi="Garamond"/>
          <w:noProof/>
          <w:kern w:val="0"/>
          <w:lang w:val="nb-NO"/>
        </w:rPr>
        <w:t>(2), 351. https://doi.org/10.14421/jsr.v17i2.2627</w:t>
      </w:r>
    </w:p>
    <w:p w14:paraId="09E3BD5F"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A42AF4">
        <w:rPr>
          <w:rFonts w:ascii="Garamond" w:hAnsi="Garamond"/>
          <w:noProof/>
          <w:kern w:val="0"/>
          <w:lang w:val="nb-NO"/>
        </w:rPr>
        <w:t xml:space="preserve">Govindaraju, V. (2021). </w:t>
      </w:r>
      <w:r w:rsidRPr="006922A3">
        <w:rPr>
          <w:rFonts w:ascii="Garamond" w:hAnsi="Garamond"/>
          <w:noProof/>
          <w:kern w:val="0"/>
        </w:rPr>
        <w:t>A review of social cognitive theory from the perspective of interpersonal communication."</w:t>
      </w:r>
      <w:r w:rsidRPr="006922A3">
        <w:rPr>
          <w:noProof/>
          <w:kern w:val="0"/>
        </w:rPr>
        <w:t> </w:t>
      </w:r>
      <w:r w:rsidRPr="006922A3">
        <w:rPr>
          <w:rFonts w:ascii="Garamond" w:hAnsi="Garamond"/>
          <w:noProof/>
          <w:kern w:val="0"/>
        </w:rPr>
        <w:t xml:space="preserve">: . </w:t>
      </w:r>
      <w:r w:rsidRPr="006922A3">
        <w:rPr>
          <w:rFonts w:ascii="Garamond" w:hAnsi="Garamond"/>
          <w:i/>
          <w:iCs/>
          <w:noProof/>
          <w:kern w:val="0"/>
        </w:rPr>
        <w:t>Multicultural Education</w:t>
      </w:r>
      <w:r w:rsidRPr="006922A3">
        <w:rPr>
          <w:rFonts w:ascii="Garamond" w:hAnsi="Garamond"/>
          <w:noProof/>
          <w:kern w:val="0"/>
        </w:rPr>
        <w:t xml:space="preserve">, </w:t>
      </w:r>
      <w:r w:rsidRPr="006922A3">
        <w:rPr>
          <w:rFonts w:ascii="Garamond" w:hAnsi="Garamond"/>
          <w:i/>
          <w:iCs/>
          <w:noProof/>
          <w:kern w:val="0"/>
        </w:rPr>
        <w:t>7</w:t>
      </w:r>
      <w:r w:rsidRPr="006922A3">
        <w:rPr>
          <w:rFonts w:ascii="Garamond" w:hAnsi="Garamond"/>
          <w:noProof/>
          <w:kern w:val="0"/>
        </w:rPr>
        <w:t>(12), 1–5.</w:t>
      </w:r>
    </w:p>
    <w:p w14:paraId="00E497DE"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Han, Q., Lin, Q., Ni, Z., &amp; You, L. (2020). Uncertainties about the transmission routes of 2019 novel coronavirus. </w:t>
      </w:r>
      <w:r w:rsidRPr="006922A3">
        <w:rPr>
          <w:rFonts w:ascii="Garamond" w:hAnsi="Garamond"/>
          <w:i/>
          <w:iCs/>
          <w:noProof/>
          <w:kern w:val="0"/>
        </w:rPr>
        <w:t>Influenza and Other Respiratory Viruses</w:t>
      </w:r>
      <w:r w:rsidRPr="006922A3">
        <w:rPr>
          <w:rFonts w:ascii="Garamond" w:hAnsi="Garamond"/>
          <w:noProof/>
          <w:kern w:val="0"/>
        </w:rPr>
        <w:t xml:space="preserve">, </w:t>
      </w:r>
      <w:r w:rsidRPr="006922A3">
        <w:rPr>
          <w:rFonts w:ascii="Garamond" w:hAnsi="Garamond"/>
          <w:i/>
          <w:iCs/>
          <w:noProof/>
          <w:kern w:val="0"/>
        </w:rPr>
        <w:t>14</w:t>
      </w:r>
      <w:r w:rsidRPr="006922A3">
        <w:rPr>
          <w:rFonts w:ascii="Garamond" w:hAnsi="Garamond"/>
          <w:noProof/>
          <w:kern w:val="0"/>
        </w:rPr>
        <w:t xml:space="preserve">(4), 470–471. </w:t>
      </w:r>
      <w:r w:rsidRPr="006922A3">
        <w:rPr>
          <w:rFonts w:ascii="Garamond" w:hAnsi="Garamond"/>
          <w:noProof/>
          <w:kern w:val="0"/>
        </w:rPr>
        <w:lastRenderedPageBreak/>
        <w:t>https://doi.org/10.1111/irv.12735</w:t>
      </w:r>
    </w:p>
    <w:p w14:paraId="5CA2D585"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https://bnpb.go.id/. (2020). </w:t>
      </w:r>
      <w:r w:rsidRPr="006922A3">
        <w:rPr>
          <w:rFonts w:ascii="Garamond" w:hAnsi="Garamond"/>
          <w:i/>
          <w:iCs/>
          <w:noProof/>
          <w:kern w:val="0"/>
        </w:rPr>
        <w:t>Pengelompokan Kriteria Risiko COVID-19 di Daerah Berdasarkan Zonasi Warna</w:t>
      </w:r>
      <w:r w:rsidRPr="006922A3">
        <w:rPr>
          <w:rFonts w:ascii="Garamond" w:hAnsi="Garamond"/>
          <w:noProof/>
          <w:kern w:val="0"/>
        </w:rPr>
        <w:t>. Badan Nasional Penanggulangan Bencana. https://bnpb.go.id/berita/pengelompokan-kriteria-risiko-covid19-di-daerah-berdasarkan-zonasi-warna</w:t>
      </w:r>
    </w:p>
    <w:p w14:paraId="6DE64028" w14:textId="77777777" w:rsidR="006922A3" w:rsidRPr="00A42AF4" w:rsidRDefault="006922A3" w:rsidP="00915FFC">
      <w:pPr>
        <w:autoSpaceDE w:val="0"/>
        <w:autoSpaceDN w:val="0"/>
        <w:adjustRightInd w:val="0"/>
        <w:spacing w:after="120"/>
        <w:ind w:left="480" w:hanging="480"/>
        <w:jc w:val="both"/>
        <w:rPr>
          <w:rFonts w:ascii="Garamond" w:hAnsi="Garamond"/>
          <w:noProof/>
          <w:kern w:val="0"/>
          <w:lang w:val="sv-SE"/>
        </w:rPr>
      </w:pPr>
      <w:r w:rsidRPr="006922A3">
        <w:rPr>
          <w:rFonts w:ascii="Garamond" w:hAnsi="Garamond"/>
          <w:noProof/>
          <w:kern w:val="0"/>
        </w:rPr>
        <w:t xml:space="preserve">Indonesia, M. of H. R. (2024). </w:t>
      </w:r>
      <w:r w:rsidRPr="00A42AF4">
        <w:rPr>
          <w:rFonts w:ascii="Garamond" w:hAnsi="Garamond"/>
          <w:i/>
          <w:iCs/>
          <w:noProof/>
          <w:kern w:val="0"/>
          <w:lang w:val="sv-SE"/>
        </w:rPr>
        <w:t>Laporan Harian COVID-19 per 3 Januari 2024</w:t>
      </w:r>
      <w:r w:rsidRPr="00A42AF4">
        <w:rPr>
          <w:rFonts w:ascii="Garamond" w:hAnsi="Garamond"/>
          <w:noProof/>
          <w:kern w:val="0"/>
          <w:lang w:val="sv-SE"/>
        </w:rPr>
        <w:t>. https://infeksiemerging.kemkes.go.id/document/laporan-harian-covid-19-per-3-januari-2024/view</w:t>
      </w:r>
    </w:p>
    <w:p w14:paraId="353838F7"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A42AF4">
        <w:rPr>
          <w:rFonts w:ascii="Garamond" w:hAnsi="Garamond"/>
          <w:noProof/>
          <w:kern w:val="0"/>
          <w:lang w:val="sv-SE"/>
        </w:rPr>
        <w:t xml:space="preserve">Jalaludin, R. (1999). </w:t>
      </w:r>
      <w:r w:rsidRPr="00A42AF4">
        <w:rPr>
          <w:rFonts w:ascii="Garamond" w:hAnsi="Garamond"/>
          <w:i/>
          <w:iCs/>
          <w:noProof/>
          <w:kern w:val="0"/>
          <w:lang w:val="sv-SE"/>
        </w:rPr>
        <w:t>Psikologi Komunikasi</w:t>
      </w:r>
      <w:r w:rsidRPr="00A42AF4">
        <w:rPr>
          <w:rFonts w:ascii="Garamond" w:hAnsi="Garamond"/>
          <w:noProof/>
          <w:kern w:val="0"/>
          <w:lang w:val="sv-SE"/>
        </w:rPr>
        <w:t xml:space="preserve">. </w:t>
      </w:r>
      <w:r w:rsidRPr="006922A3">
        <w:rPr>
          <w:rFonts w:ascii="Garamond" w:hAnsi="Garamond"/>
          <w:noProof/>
          <w:kern w:val="0"/>
        </w:rPr>
        <w:t>Remaja Rosdakarya.</w:t>
      </w:r>
    </w:p>
    <w:p w14:paraId="48EE2E14"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Kelsay, J. (2006). Arguments concerning resistance in contemporary Islam. In R. Sorabji &amp; D. Rodin (Eds.), </w:t>
      </w:r>
      <w:r w:rsidRPr="006922A3">
        <w:rPr>
          <w:rFonts w:ascii="Garamond" w:hAnsi="Garamond"/>
          <w:i/>
          <w:iCs/>
          <w:noProof/>
          <w:kern w:val="0"/>
        </w:rPr>
        <w:t>The Ethics of War</w:t>
      </w:r>
      <w:r w:rsidRPr="006922A3">
        <w:rPr>
          <w:rFonts w:ascii="Garamond" w:hAnsi="Garamond"/>
          <w:noProof/>
          <w:kern w:val="0"/>
        </w:rPr>
        <w:t xml:space="preserve"> (1st ed., pp. 61–91). Routledge.</w:t>
      </w:r>
    </w:p>
    <w:p w14:paraId="746A80A4"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Kholifah, N. S. (2016). </w:t>
      </w:r>
      <w:r w:rsidRPr="006922A3">
        <w:rPr>
          <w:rFonts w:ascii="Garamond" w:hAnsi="Garamond"/>
          <w:i/>
          <w:iCs/>
          <w:noProof/>
          <w:kern w:val="0"/>
        </w:rPr>
        <w:t>Keperawatan Gerontik</w:t>
      </w:r>
      <w:r w:rsidRPr="006922A3">
        <w:rPr>
          <w:rFonts w:ascii="Garamond" w:hAnsi="Garamond"/>
          <w:noProof/>
          <w:kern w:val="0"/>
        </w:rPr>
        <w:t>. Pusdik SDM Kesehatan.</w:t>
      </w:r>
    </w:p>
    <w:p w14:paraId="34D60971"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Kumar, A., Singh, R., Kaur, J., Pandey, S., Sharma, V., Thakur, L., Sati, S., Mani, S., Asthana, S., Sharma, T. K., Chaudhuri, S., Bhattacharyya, S., &amp; Kumar, N. (2021). Wuhan to World: The COVID-19 Pandemic. </w:t>
      </w:r>
      <w:r w:rsidRPr="006922A3">
        <w:rPr>
          <w:rFonts w:ascii="Garamond" w:hAnsi="Garamond"/>
          <w:i/>
          <w:iCs/>
          <w:noProof/>
          <w:kern w:val="0"/>
        </w:rPr>
        <w:t>Frontiers in Cellular and Infection Microbiology</w:t>
      </w:r>
      <w:r w:rsidRPr="006922A3">
        <w:rPr>
          <w:rFonts w:ascii="Garamond" w:hAnsi="Garamond"/>
          <w:noProof/>
          <w:kern w:val="0"/>
        </w:rPr>
        <w:t xml:space="preserve">, </w:t>
      </w:r>
      <w:r w:rsidRPr="006922A3">
        <w:rPr>
          <w:rFonts w:ascii="Garamond" w:hAnsi="Garamond"/>
          <w:i/>
          <w:iCs/>
          <w:noProof/>
          <w:kern w:val="0"/>
        </w:rPr>
        <w:t>11</w:t>
      </w:r>
      <w:r w:rsidRPr="006922A3">
        <w:rPr>
          <w:rFonts w:ascii="Garamond" w:hAnsi="Garamond"/>
          <w:noProof/>
          <w:kern w:val="0"/>
        </w:rPr>
        <w:t>. https://doi.org/10.3389/fcimb.2021.596201</w:t>
      </w:r>
    </w:p>
    <w:p w14:paraId="12350341"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Lau, H., Khosrawipour, V., Kocbach, P., Mikolajczyk, A., Schubert, J., Bania, J., &amp; Khosrawipour, T. (2021). The positive impact of lockdown in Wuhan on containing the COVID-19 outbreak in China. </w:t>
      </w:r>
      <w:r w:rsidRPr="006922A3">
        <w:rPr>
          <w:rFonts w:ascii="Garamond" w:hAnsi="Garamond"/>
          <w:i/>
          <w:iCs/>
          <w:noProof/>
          <w:kern w:val="0"/>
        </w:rPr>
        <w:t>Journal of Travel Medicine</w:t>
      </w:r>
      <w:r w:rsidRPr="006922A3">
        <w:rPr>
          <w:rFonts w:ascii="Garamond" w:hAnsi="Garamond"/>
          <w:noProof/>
          <w:kern w:val="0"/>
        </w:rPr>
        <w:t xml:space="preserve">, </w:t>
      </w:r>
      <w:r w:rsidRPr="006922A3">
        <w:rPr>
          <w:rFonts w:ascii="Garamond" w:hAnsi="Garamond"/>
          <w:i/>
          <w:iCs/>
          <w:noProof/>
          <w:kern w:val="0"/>
        </w:rPr>
        <w:t>27</w:t>
      </w:r>
      <w:r w:rsidRPr="006922A3">
        <w:rPr>
          <w:rFonts w:ascii="Garamond" w:hAnsi="Garamond"/>
          <w:noProof/>
          <w:kern w:val="0"/>
        </w:rPr>
        <w:t>(3), 1–7. https://doi.org/10.1093/JTM/TAAA037</w:t>
      </w:r>
    </w:p>
    <w:p w14:paraId="16CA87DE"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Lukman, A. L., Wirakusumah, I. A., Sahid, &amp; Gunawan, E. V. (2023). the Dynamics of Interpersonal Space in Congregational Prayers in Salman Mosque Bandung During Covid Pandemic. </w:t>
      </w:r>
      <w:r w:rsidRPr="006922A3">
        <w:rPr>
          <w:rFonts w:ascii="Garamond" w:hAnsi="Garamond"/>
          <w:i/>
          <w:iCs/>
          <w:noProof/>
          <w:kern w:val="0"/>
        </w:rPr>
        <w:t>Journal of Islamic Architecture</w:t>
      </w:r>
      <w:r w:rsidRPr="006922A3">
        <w:rPr>
          <w:rFonts w:ascii="Garamond" w:hAnsi="Garamond"/>
          <w:noProof/>
          <w:kern w:val="0"/>
        </w:rPr>
        <w:t xml:space="preserve">, </w:t>
      </w:r>
      <w:r w:rsidRPr="006922A3">
        <w:rPr>
          <w:rFonts w:ascii="Garamond" w:hAnsi="Garamond"/>
          <w:i/>
          <w:iCs/>
          <w:noProof/>
          <w:kern w:val="0"/>
        </w:rPr>
        <w:t>7</w:t>
      </w:r>
      <w:r w:rsidRPr="006922A3">
        <w:rPr>
          <w:rFonts w:ascii="Garamond" w:hAnsi="Garamond"/>
          <w:noProof/>
          <w:kern w:val="0"/>
        </w:rPr>
        <w:t>(3), 416–426. https://doi.org/10.18860/jia.v7i3.18103</w:t>
      </w:r>
    </w:p>
    <w:p w14:paraId="72CB0C6A"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Mamnuah, Faidati, N., &amp; Trihidayati, N. (2023). Health Protocol Management on Mosque Religious Practice During the Covid-19 Pandemic in Yogyakarta. </w:t>
      </w:r>
      <w:r w:rsidRPr="006922A3">
        <w:rPr>
          <w:rFonts w:ascii="Garamond" w:hAnsi="Garamond"/>
          <w:i/>
          <w:iCs/>
          <w:noProof/>
          <w:kern w:val="0"/>
        </w:rPr>
        <w:t>Malaysian Journal of Public Health Medicine</w:t>
      </w:r>
      <w:r w:rsidRPr="006922A3">
        <w:rPr>
          <w:rFonts w:ascii="Garamond" w:hAnsi="Garamond"/>
          <w:noProof/>
          <w:kern w:val="0"/>
        </w:rPr>
        <w:t xml:space="preserve">, </w:t>
      </w:r>
      <w:r w:rsidRPr="006922A3">
        <w:rPr>
          <w:rFonts w:ascii="Garamond" w:hAnsi="Garamond"/>
          <w:i/>
          <w:iCs/>
          <w:noProof/>
          <w:kern w:val="0"/>
        </w:rPr>
        <w:t>23</w:t>
      </w:r>
      <w:r w:rsidRPr="006922A3">
        <w:rPr>
          <w:rFonts w:ascii="Garamond" w:hAnsi="Garamond"/>
          <w:noProof/>
          <w:kern w:val="0"/>
        </w:rPr>
        <w:t>(1), 175–181. https://doi.org/10.37268/mjphm/vol.23/no.1/art.1650</w:t>
      </w:r>
    </w:p>
    <w:p w14:paraId="72A82442"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Miles, M., Huberman, A. M., &amp; Saldaña, J. (2018). </w:t>
      </w:r>
      <w:r w:rsidRPr="006922A3">
        <w:rPr>
          <w:rFonts w:ascii="Garamond" w:hAnsi="Garamond"/>
          <w:i/>
          <w:iCs/>
          <w:noProof/>
          <w:kern w:val="0"/>
        </w:rPr>
        <w:t>Qualitative Data Analysis: A Methods Sourcebook</w:t>
      </w:r>
      <w:r w:rsidRPr="006922A3">
        <w:rPr>
          <w:rFonts w:ascii="Garamond" w:hAnsi="Garamond"/>
          <w:noProof/>
          <w:kern w:val="0"/>
        </w:rPr>
        <w:t>. Sage.</w:t>
      </w:r>
    </w:p>
    <w:p w14:paraId="3783EB97"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Muslim. (2021). </w:t>
      </w:r>
      <w:r w:rsidRPr="006922A3">
        <w:rPr>
          <w:rFonts w:ascii="Garamond" w:hAnsi="Garamond"/>
          <w:i/>
          <w:iCs/>
          <w:noProof/>
          <w:kern w:val="0"/>
        </w:rPr>
        <w:t>Al-Jami’ al-Shahih</w:t>
      </w:r>
      <w:r w:rsidRPr="006922A3">
        <w:rPr>
          <w:rFonts w:ascii="Garamond" w:hAnsi="Garamond"/>
          <w:noProof/>
          <w:kern w:val="0"/>
        </w:rPr>
        <w:t xml:space="preserve"> (Z. MZ (ed.); 3rd ed.). Turats Nabawi Press.</w:t>
      </w:r>
    </w:p>
    <w:p w14:paraId="5AF1E42F" w14:textId="77777777" w:rsidR="006922A3" w:rsidRPr="00A42AF4" w:rsidRDefault="006922A3" w:rsidP="00915FFC">
      <w:pPr>
        <w:autoSpaceDE w:val="0"/>
        <w:autoSpaceDN w:val="0"/>
        <w:adjustRightInd w:val="0"/>
        <w:spacing w:after="120"/>
        <w:ind w:left="480" w:hanging="480"/>
        <w:jc w:val="both"/>
        <w:rPr>
          <w:rFonts w:ascii="Garamond" w:hAnsi="Garamond"/>
          <w:noProof/>
          <w:kern w:val="0"/>
          <w:lang w:val="sv-SE"/>
        </w:rPr>
      </w:pPr>
      <w:r w:rsidRPr="006922A3">
        <w:rPr>
          <w:rFonts w:ascii="Garamond" w:hAnsi="Garamond"/>
          <w:noProof/>
          <w:kern w:val="0"/>
        </w:rPr>
        <w:t xml:space="preserve">Nisa, J., Marni, &amp; Lisnawati. (2022). Fatwa Majelis Ulama Indonesia (MUI) Pada Masa Pandemi Covid-19 dalam Perspektif Ketatanegaraan. </w:t>
      </w:r>
      <w:r w:rsidRPr="00A42AF4">
        <w:rPr>
          <w:rFonts w:ascii="Garamond" w:hAnsi="Garamond"/>
          <w:i/>
          <w:iCs/>
          <w:noProof/>
          <w:kern w:val="0"/>
          <w:lang w:val="sv-SE"/>
        </w:rPr>
        <w:t>Syarah: Jurnal Hukum Islam &amp; Ekonomi</w:t>
      </w:r>
      <w:r w:rsidRPr="00A42AF4">
        <w:rPr>
          <w:rFonts w:ascii="Garamond" w:hAnsi="Garamond"/>
          <w:noProof/>
          <w:kern w:val="0"/>
          <w:lang w:val="sv-SE"/>
        </w:rPr>
        <w:t xml:space="preserve">, </w:t>
      </w:r>
      <w:r w:rsidRPr="00A42AF4">
        <w:rPr>
          <w:rFonts w:ascii="Garamond" w:hAnsi="Garamond"/>
          <w:i/>
          <w:iCs/>
          <w:noProof/>
          <w:kern w:val="0"/>
          <w:lang w:val="sv-SE"/>
        </w:rPr>
        <w:t>11</w:t>
      </w:r>
      <w:r w:rsidRPr="00A42AF4">
        <w:rPr>
          <w:rFonts w:ascii="Garamond" w:hAnsi="Garamond"/>
          <w:noProof/>
          <w:kern w:val="0"/>
          <w:lang w:val="sv-SE"/>
        </w:rPr>
        <w:t>(1), 37–54.</w:t>
      </w:r>
    </w:p>
    <w:p w14:paraId="0CCBC13C"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A42AF4">
        <w:rPr>
          <w:rFonts w:ascii="Garamond" w:hAnsi="Garamond"/>
          <w:noProof/>
          <w:kern w:val="0"/>
          <w:lang w:val="sv-SE"/>
        </w:rPr>
        <w:t xml:space="preserve">Olivia, S., Gibson, J., &amp; Nasrudin, R. (2020). </w:t>
      </w:r>
      <w:r w:rsidRPr="006922A3">
        <w:rPr>
          <w:rFonts w:ascii="Garamond" w:hAnsi="Garamond"/>
          <w:noProof/>
          <w:kern w:val="0"/>
        </w:rPr>
        <w:t xml:space="preserve">Indonesia in the Time of Covid-19. </w:t>
      </w:r>
      <w:r w:rsidRPr="006922A3">
        <w:rPr>
          <w:rFonts w:ascii="Garamond" w:hAnsi="Garamond"/>
          <w:i/>
          <w:iCs/>
          <w:noProof/>
          <w:kern w:val="0"/>
        </w:rPr>
        <w:t>Bulletin of Indonesian Economic Studies</w:t>
      </w:r>
      <w:r w:rsidRPr="006922A3">
        <w:rPr>
          <w:rFonts w:ascii="Garamond" w:hAnsi="Garamond"/>
          <w:noProof/>
          <w:kern w:val="0"/>
        </w:rPr>
        <w:t xml:space="preserve">, </w:t>
      </w:r>
      <w:r w:rsidRPr="006922A3">
        <w:rPr>
          <w:rFonts w:ascii="Garamond" w:hAnsi="Garamond"/>
          <w:i/>
          <w:iCs/>
          <w:noProof/>
          <w:kern w:val="0"/>
        </w:rPr>
        <w:t>56</w:t>
      </w:r>
      <w:r w:rsidRPr="006922A3">
        <w:rPr>
          <w:rFonts w:ascii="Garamond" w:hAnsi="Garamond"/>
          <w:noProof/>
          <w:kern w:val="0"/>
        </w:rPr>
        <w:t>(2), 143–174. https://doi.org/10.1080/00074918.2020.1798581</w:t>
      </w:r>
    </w:p>
    <w:p w14:paraId="7FC0CC52"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Pabbajah, M., Darwis, M., Diab, A., Widyanti, R., Jubba, H., Juhansar, J., Pabbajah, M. T., Widyatmoko, W., &amp; Laila, N. (2022). </w:t>
      </w:r>
      <w:r w:rsidRPr="006922A3">
        <w:rPr>
          <w:rFonts w:ascii="Garamond" w:hAnsi="Garamond"/>
          <w:i/>
          <w:iCs/>
          <w:noProof/>
          <w:kern w:val="0"/>
        </w:rPr>
        <w:t>Why Closing the Mosque: Resistance of the Indonesia’s Muslim Community to the Government PPKM Policy During the Covid-19 Pandemic</w:t>
      </w:r>
      <w:r w:rsidRPr="006922A3">
        <w:rPr>
          <w:rFonts w:ascii="Garamond" w:hAnsi="Garamond"/>
          <w:noProof/>
          <w:kern w:val="0"/>
        </w:rPr>
        <w:t>. https://doi.org/10.4108/eai.15-9-2021.2315548</w:t>
      </w:r>
    </w:p>
    <w:p w14:paraId="226B6877"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Pan, A., Liu, L., Wang, C., Guo, H., Hao, X., Wang, Q., Huang, J., He, N., Yu, H., Lin, X., Wei, S., &amp; Wu, T. (2020). Association of Public Health Interventions with the </w:t>
      </w:r>
      <w:r w:rsidRPr="006922A3">
        <w:rPr>
          <w:rFonts w:ascii="Garamond" w:hAnsi="Garamond"/>
          <w:noProof/>
          <w:kern w:val="0"/>
        </w:rPr>
        <w:lastRenderedPageBreak/>
        <w:t xml:space="preserve">Epidemiology of the COVID-19 Outbreak in Wuhan, China. </w:t>
      </w:r>
      <w:r w:rsidRPr="006922A3">
        <w:rPr>
          <w:rFonts w:ascii="Garamond" w:hAnsi="Garamond"/>
          <w:i/>
          <w:iCs/>
          <w:noProof/>
          <w:kern w:val="0"/>
        </w:rPr>
        <w:t>JAMA - Journal of the American Medical Association</w:t>
      </w:r>
      <w:r w:rsidRPr="006922A3">
        <w:rPr>
          <w:rFonts w:ascii="Garamond" w:hAnsi="Garamond"/>
          <w:noProof/>
          <w:kern w:val="0"/>
        </w:rPr>
        <w:t xml:space="preserve">, </w:t>
      </w:r>
      <w:r w:rsidRPr="006922A3">
        <w:rPr>
          <w:rFonts w:ascii="Garamond" w:hAnsi="Garamond"/>
          <w:i/>
          <w:iCs/>
          <w:noProof/>
          <w:kern w:val="0"/>
        </w:rPr>
        <w:t>323</w:t>
      </w:r>
      <w:r w:rsidRPr="006922A3">
        <w:rPr>
          <w:rFonts w:ascii="Garamond" w:hAnsi="Garamond"/>
          <w:noProof/>
          <w:kern w:val="0"/>
        </w:rPr>
        <w:t>(19), 1915–1923. https://doi.org/10.1001/jama.2020.6130</w:t>
      </w:r>
    </w:p>
    <w:p w14:paraId="0D936EAE"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Said, I. G., &amp; Santosa, N. E. T. (2021). Negotiating religiosities among Indonesian Muslims amid the COVID-19 pandemic: Acceptance, resistance, and transformation. </w:t>
      </w:r>
      <w:r w:rsidRPr="006922A3">
        <w:rPr>
          <w:rFonts w:ascii="Garamond" w:hAnsi="Garamond"/>
          <w:i/>
          <w:iCs/>
          <w:noProof/>
          <w:kern w:val="0"/>
        </w:rPr>
        <w:t>Journal of Indonesian Islam</w:t>
      </w:r>
      <w:r w:rsidRPr="006922A3">
        <w:rPr>
          <w:rFonts w:ascii="Garamond" w:hAnsi="Garamond"/>
          <w:noProof/>
          <w:kern w:val="0"/>
        </w:rPr>
        <w:t xml:space="preserve">, </w:t>
      </w:r>
      <w:r w:rsidRPr="006922A3">
        <w:rPr>
          <w:rFonts w:ascii="Garamond" w:hAnsi="Garamond"/>
          <w:i/>
          <w:iCs/>
          <w:noProof/>
          <w:kern w:val="0"/>
        </w:rPr>
        <w:t>15</w:t>
      </w:r>
      <w:r w:rsidRPr="006922A3">
        <w:rPr>
          <w:rFonts w:ascii="Garamond" w:hAnsi="Garamond"/>
          <w:noProof/>
          <w:kern w:val="0"/>
        </w:rPr>
        <w:t>(2).</w:t>
      </w:r>
    </w:p>
    <w:p w14:paraId="6C09CDB1" w14:textId="77777777" w:rsidR="006922A3" w:rsidRPr="00A42AF4" w:rsidRDefault="006922A3" w:rsidP="00915FFC">
      <w:pPr>
        <w:autoSpaceDE w:val="0"/>
        <w:autoSpaceDN w:val="0"/>
        <w:adjustRightInd w:val="0"/>
        <w:spacing w:after="120"/>
        <w:ind w:left="480" w:hanging="480"/>
        <w:jc w:val="both"/>
        <w:rPr>
          <w:rFonts w:ascii="Garamond" w:hAnsi="Garamond"/>
          <w:noProof/>
          <w:kern w:val="0"/>
          <w:lang w:val="sv-SE"/>
        </w:rPr>
      </w:pPr>
      <w:r w:rsidRPr="006922A3">
        <w:rPr>
          <w:rFonts w:ascii="Garamond" w:hAnsi="Garamond"/>
          <w:noProof/>
          <w:kern w:val="0"/>
        </w:rPr>
        <w:t xml:space="preserve">Sangaji, R., Basri, H., Wandi, W., Sultan, M., &amp; Rasyid, N. (2021). The News of the Covid-19 Vaccine in the Media and Public Resistance in Indonesia: A Study of Islamic Law. </w:t>
      </w:r>
      <w:r w:rsidRPr="00A42AF4">
        <w:rPr>
          <w:rFonts w:ascii="Garamond" w:hAnsi="Garamond"/>
          <w:i/>
          <w:iCs/>
          <w:noProof/>
          <w:kern w:val="0"/>
          <w:lang w:val="sv-SE"/>
        </w:rPr>
        <w:t>Samarah</w:t>
      </w:r>
      <w:r w:rsidRPr="00A42AF4">
        <w:rPr>
          <w:rFonts w:ascii="Garamond" w:hAnsi="Garamond"/>
          <w:noProof/>
          <w:kern w:val="0"/>
          <w:lang w:val="sv-SE"/>
        </w:rPr>
        <w:t xml:space="preserve">, </w:t>
      </w:r>
      <w:r w:rsidRPr="00A42AF4">
        <w:rPr>
          <w:rFonts w:ascii="Garamond" w:hAnsi="Garamond"/>
          <w:i/>
          <w:iCs/>
          <w:noProof/>
          <w:kern w:val="0"/>
          <w:lang w:val="sv-SE"/>
        </w:rPr>
        <w:t>5</w:t>
      </w:r>
      <w:r w:rsidRPr="00A42AF4">
        <w:rPr>
          <w:rFonts w:ascii="Garamond" w:hAnsi="Garamond"/>
          <w:noProof/>
          <w:kern w:val="0"/>
          <w:lang w:val="sv-SE"/>
        </w:rPr>
        <w:t>(2), 957–975. https://doi.org/10.22373/sjhk.v5i2.10892</w:t>
      </w:r>
    </w:p>
    <w:p w14:paraId="4F250040" w14:textId="77777777" w:rsidR="006922A3" w:rsidRPr="00A42AF4" w:rsidRDefault="006922A3" w:rsidP="00915FFC">
      <w:pPr>
        <w:autoSpaceDE w:val="0"/>
        <w:autoSpaceDN w:val="0"/>
        <w:adjustRightInd w:val="0"/>
        <w:spacing w:after="120"/>
        <w:ind w:left="480" w:hanging="480"/>
        <w:jc w:val="both"/>
        <w:rPr>
          <w:rFonts w:ascii="Garamond" w:hAnsi="Garamond"/>
          <w:noProof/>
          <w:kern w:val="0"/>
          <w:lang w:val="sv-SE"/>
        </w:rPr>
      </w:pPr>
      <w:r w:rsidRPr="00A42AF4">
        <w:rPr>
          <w:rFonts w:ascii="Garamond" w:hAnsi="Garamond"/>
          <w:noProof/>
          <w:kern w:val="0"/>
          <w:lang w:val="sv-SE"/>
        </w:rPr>
        <w:t xml:space="preserve">Sigalingging, G., Sitopu, S. D., &amp; Sihaloho, L. (2020). </w:t>
      </w:r>
      <w:r w:rsidRPr="00A42AF4">
        <w:rPr>
          <w:rFonts w:ascii="Garamond" w:hAnsi="Garamond"/>
          <w:noProof/>
          <w:kern w:val="0"/>
          <w:lang w:val="nb-NO"/>
        </w:rPr>
        <w:t xml:space="preserve">Karakteristik lanjut usia yang mengalami gangguan memori. </w:t>
      </w:r>
      <w:r w:rsidRPr="00A42AF4">
        <w:rPr>
          <w:rFonts w:ascii="Garamond" w:hAnsi="Garamond"/>
          <w:i/>
          <w:iCs/>
          <w:noProof/>
          <w:kern w:val="0"/>
          <w:lang w:val="sv-SE"/>
        </w:rPr>
        <w:t>Jurnal Darma Agung Husada</w:t>
      </w:r>
      <w:r w:rsidRPr="00A42AF4">
        <w:rPr>
          <w:rFonts w:ascii="Garamond" w:hAnsi="Garamond"/>
          <w:noProof/>
          <w:kern w:val="0"/>
          <w:lang w:val="sv-SE"/>
        </w:rPr>
        <w:t xml:space="preserve">, </w:t>
      </w:r>
      <w:r w:rsidRPr="00A42AF4">
        <w:rPr>
          <w:rFonts w:ascii="Garamond" w:hAnsi="Garamond"/>
          <w:i/>
          <w:iCs/>
          <w:noProof/>
          <w:kern w:val="0"/>
          <w:lang w:val="sv-SE"/>
        </w:rPr>
        <w:t>7</w:t>
      </w:r>
      <w:r w:rsidRPr="00A42AF4">
        <w:rPr>
          <w:rFonts w:ascii="Garamond" w:hAnsi="Garamond"/>
          <w:noProof/>
          <w:kern w:val="0"/>
          <w:lang w:val="sv-SE"/>
        </w:rPr>
        <w:t>(1), 33–44.</w:t>
      </w:r>
    </w:p>
    <w:p w14:paraId="59878851" w14:textId="77777777" w:rsidR="006922A3" w:rsidRPr="00A42AF4" w:rsidRDefault="006922A3" w:rsidP="00915FFC">
      <w:pPr>
        <w:autoSpaceDE w:val="0"/>
        <w:autoSpaceDN w:val="0"/>
        <w:adjustRightInd w:val="0"/>
        <w:spacing w:after="120"/>
        <w:ind w:left="480" w:hanging="480"/>
        <w:jc w:val="both"/>
        <w:rPr>
          <w:rFonts w:ascii="Garamond" w:hAnsi="Garamond"/>
          <w:noProof/>
          <w:kern w:val="0"/>
          <w:lang w:val="sv-SE"/>
        </w:rPr>
      </w:pPr>
      <w:r w:rsidRPr="00A42AF4">
        <w:rPr>
          <w:rFonts w:ascii="Garamond" w:hAnsi="Garamond"/>
          <w:noProof/>
          <w:kern w:val="0"/>
          <w:lang w:val="sv-SE"/>
        </w:rPr>
        <w:t xml:space="preserve">Sumbulah, U. (2009). </w:t>
      </w:r>
      <w:r w:rsidRPr="00A42AF4">
        <w:rPr>
          <w:rFonts w:ascii="Garamond" w:hAnsi="Garamond"/>
          <w:i/>
          <w:iCs/>
          <w:noProof/>
          <w:kern w:val="0"/>
          <w:lang w:val="sv-SE"/>
        </w:rPr>
        <w:t>Konfigurasi Fundamentalisme Islam</w:t>
      </w:r>
      <w:r w:rsidRPr="00A42AF4">
        <w:rPr>
          <w:rFonts w:ascii="Garamond" w:hAnsi="Garamond"/>
          <w:noProof/>
          <w:kern w:val="0"/>
          <w:lang w:val="sv-SE"/>
        </w:rPr>
        <w:t>. UIN-Maliki Press.</w:t>
      </w:r>
    </w:p>
    <w:p w14:paraId="3F8568F0" w14:textId="77777777" w:rsidR="006922A3" w:rsidRPr="00A42AF4" w:rsidRDefault="006922A3" w:rsidP="00915FFC">
      <w:pPr>
        <w:autoSpaceDE w:val="0"/>
        <w:autoSpaceDN w:val="0"/>
        <w:adjustRightInd w:val="0"/>
        <w:spacing w:after="120"/>
        <w:ind w:left="480" w:hanging="480"/>
        <w:jc w:val="both"/>
        <w:rPr>
          <w:rFonts w:ascii="Garamond" w:hAnsi="Garamond"/>
          <w:noProof/>
          <w:kern w:val="0"/>
          <w:lang w:val="sv-SE"/>
        </w:rPr>
      </w:pPr>
      <w:r w:rsidRPr="00A42AF4">
        <w:rPr>
          <w:rFonts w:ascii="Garamond" w:hAnsi="Garamond"/>
          <w:noProof/>
          <w:kern w:val="0"/>
          <w:lang w:val="sv-SE"/>
        </w:rPr>
        <w:t xml:space="preserve">Wahab, M. R. N. F., Najib, A. A., &amp; Hikmah, S. F. (2021). Kontekstualisasi Hadist tentang Tha’un dalam Menangani Pandemi Covid-19. </w:t>
      </w:r>
      <w:r w:rsidRPr="00A42AF4">
        <w:rPr>
          <w:rFonts w:ascii="Garamond" w:hAnsi="Garamond"/>
          <w:i/>
          <w:iCs/>
          <w:noProof/>
          <w:kern w:val="0"/>
          <w:lang w:val="sv-SE"/>
        </w:rPr>
        <w:t>Jurnal Ekonomi Syariah Darussalam</w:t>
      </w:r>
      <w:r w:rsidRPr="00A42AF4">
        <w:rPr>
          <w:rFonts w:ascii="Garamond" w:hAnsi="Garamond"/>
          <w:noProof/>
          <w:kern w:val="0"/>
          <w:lang w:val="sv-SE"/>
        </w:rPr>
        <w:t xml:space="preserve">, </w:t>
      </w:r>
      <w:r w:rsidRPr="00A42AF4">
        <w:rPr>
          <w:rFonts w:ascii="Garamond" w:hAnsi="Garamond"/>
          <w:i/>
          <w:iCs/>
          <w:noProof/>
          <w:kern w:val="0"/>
          <w:lang w:val="sv-SE"/>
        </w:rPr>
        <w:t>2</w:t>
      </w:r>
      <w:r w:rsidRPr="00A42AF4">
        <w:rPr>
          <w:rFonts w:ascii="Garamond" w:hAnsi="Garamond"/>
          <w:noProof/>
          <w:kern w:val="0"/>
          <w:lang w:val="sv-SE"/>
        </w:rPr>
        <w:t>(1), 151–172. https://doi.org/10.30739/jesdar.v2i1.1087</w:t>
      </w:r>
    </w:p>
    <w:p w14:paraId="7C178D09"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A42AF4">
        <w:rPr>
          <w:rFonts w:ascii="Garamond" w:hAnsi="Garamond"/>
          <w:noProof/>
          <w:kern w:val="0"/>
          <w:lang w:val="sv-SE"/>
        </w:rPr>
        <w:t xml:space="preserve">Walgito, B. (1999). </w:t>
      </w:r>
      <w:r w:rsidRPr="006922A3">
        <w:rPr>
          <w:rFonts w:ascii="Garamond" w:hAnsi="Garamond"/>
          <w:i/>
          <w:iCs/>
          <w:noProof/>
          <w:kern w:val="0"/>
        </w:rPr>
        <w:t>Pengantar Psikologi Umum</w:t>
      </w:r>
      <w:r w:rsidRPr="006922A3">
        <w:rPr>
          <w:rFonts w:ascii="Garamond" w:hAnsi="Garamond"/>
          <w:noProof/>
          <w:kern w:val="0"/>
        </w:rPr>
        <w:t>. Andi Offset.</w:t>
      </w:r>
    </w:p>
    <w:p w14:paraId="2E8A87E9" w14:textId="77777777" w:rsidR="006922A3" w:rsidRPr="006922A3" w:rsidRDefault="006922A3" w:rsidP="00915FFC">
      <w:pPr>
        <w:autoSpaceDE w:val="0"/>
        <w:autoSpaceDN w:val="0"/>
        <w:adjustRightInd w:val="0"/>
        <w:spacing w:after="120"/>
        <w:ind w:left="480" w:hanging="480"/>
        <w:jc w:val="both"/>
        <w:rPr>
          <w:rFonts w:ascii="Garamond" w:hAnsi="Garamond"/>
          <w:noProof/>
          <w:kern w:val="0"/>
        </w:rPr>
      </w:pPr>
      <w:r w:rsidRPr="006922A3">
        <w:rPr>
          <w:rFonts w:ascii="Garamond" w:hAnsi="Garamond"/>
          <w:noProof/>
          <w:kern w:val="0"/>
        </w:rPr>
        <w:t xml:space="preserve">Wang, C., Horby, P. W., Hayden, F. G., &amp; Gao, G. F. (2020). A novel coronavirus outbreak of global health concern. </w:t>
      </w:r>
      <w:r w:rsidRPr="006922A3">
        <w:rPr>
          <w:rFonts w:ascii="Garamond" w:hAnsi="Garamond"/>
          <w:i/>
          <w:iCs/>
          <w:noProof/>
          <w:kern w:val="0"/>
        </w:rPr>
        <w:t>The Lancet</w:t>
      </w:r>
      <w:r w:rsidRPr="006922A3">
        <w:rPr>
          <w:rFonts w:ascii="Garamond" w:hAnsi="Garamond"/>
          <w:noProof/>
          <w:kern w:val="0"/>
        </w:rPr>
        <w:t xml:space="preserve">, </w:t>
      </w:r>
      <w:r w:rsidRPr="006922A3">
        <w:rPr>
          <w:rFonts w:ascii="Garamond" w:hAnsi="Garamond"/>
          <w:i/>
          <w:iCs/>
          <w:noProof/>
          <w:kern w:val="0"/>
        </w:rPr>
        <w:t>395</w:t>
      </w:r>
      <w:r w:rsidRPr="006922A3">
        <w:rPr>
          <w:rFonts w:ascii="Garamond" w:hAnsi="Garamond"/>
          <w:noProof/>
          <w:kern w:val="0"/>
        </w:rPr>
        <w:t>(10223), 470–473. https://doi.org/10.1016/S0140-6736(20)30185-9</w:t>
      </w:r>
    </w:p>
    <w:p w14:paraId="138CB004" w14:textId="77777777" w:rsidR="006922A3" w:rsidRPr="006922A3" w:rsidRDefault="006922A3" w:rsidP="00915FFC">
      <w:pPr>
        <w:autoSpaceDE w:val="0"/>
        <w:autoSpaceDN w:val="0"/>
        <w:adjustRightInd w:val="0"/>
        <w:spacing w:after="120"/>
        <w:ind w:left="480" w:hanging="480"/>
        <w:jc w:val="both"/>
        <w:rPr>
          <w:rFonts w:ascii="Garamond" w:hAnsi="Garamond"/>
          <w:noProof/>
        </w:rPr>
      </w:pPr>
      <w:r w:rsidRPr="006922A3">
        <w:rPr>
          <w:rFonts w:ascii="Garamond" w:hAnsi="Garamond"/>
          <w:noProof/>
          <w:kern w:val="0"/>
        </w:rPr>
        <w:t xml:space="preserve">WHO. (2024). </w:t>
      </w:r>
      <w:r w:rsidRPr="006922A3">
        <w:rPr>
          <w:rFonts w:ascii="Garamond" w:hAnsi="Garamond"/>
          <w:i/>
          <w:iCs/>
          <w:noProof/>
          <w:kern w:val="0"/>
        </w:rPr>
        <w:t>COVID-19 epidemiological update – 16 February 2024</w:t>
      </w:r>
      <w:r w:rsidRPr="006922A3">
        <w:rPr>
          <w:rFonts w:ascii="Garamond" w:hAnsi="Garamond"/>
          <w:noProof/>
          <w:kern w:val="0"/>
        </w:rPr>
        <w:t>. https://www.who.int/publications/m/item/covid-19-epidemiological-update-16-february-2024</w:t>
      </w:r>
    </w:p>
    <w:p w14:paraId="468E8BD0" w14:textId="11AE2500" w:rsidR="00132D24" w:rsidRPr="00132D24" w:rsidRDefault="00132D24" w:rsidP="00915FFC">
      <w:pPr>
        <w:widowControl/>
        <w:spacing w:after="120"/>
        <w:jc w:val="both"/>
        <w:rPr>
          <w:rFonts w:ascii="Garamond" w:eastAsia="Garamond" w:hAnsi="Garamond" w:cs="Garamond"/>
        </w:rPr>
      </w:pPr>
      <w:r>
        <w:rPr>
          <w:rFonts w:ascii="Garamond" w:eastAsia="Garamond" w:hAnsi="Garamond" w:cs="Garamond"/>
          <w:lang w:val="sv-SE"/>
        </w:rPr>
        <w:fldChar w:fldCharType="end"/>
      </w:r>
    </w:p>
    <w:sectPr w:rsidR="00132D24" w:rsidRPr="00132D24">
      <w:headerReference w:type="even" r:id="rId15"/>
      <w:headerReference w:type="default" r:id="rId16"/>
      <w:footerReference w:type="even" r:id="rId17"/>
      <w:footerReference w:type="default" r:id="rId18"/>
      <w:headerReference w:type="first" r:id="rId19"/>
      <w:footerReference w:type="first" r:id="rId20"/>
      <w:pgSz w:w="11907" w:h="16839"/>
      <w:pgMar w:top="1701" w:right="1701" w:bottom="1701" w:left="1701" w:header="227" w:footer="907"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Uin Fas BKL" w:date="2024-06-01T09:26:00Z" w:initials="UF">
    <w:p w14:paraId="5487E1A6" w14:textId="4763870E" w:rsidR="00654FFD" w:rsidRDefault="00654FFD">
      <w:pPr>
        <w:pStyle w:val="CommentText"/>
      </w:pPr>
      <w:r>
        <w:rPr>
          <w:rStyle w:val="CommentReference"/>
        </w:rPr>
        <w:annotationRef/>
      </w:r>
      <w:r>
        <w:t>With a</w:t>
      </w:r>
      <w:r w:rsidRPr="00654FFD">
        <w:t>dditional literatures</w:t>
      </w:r>
    </w:p>
  </w:comment>
  <w:comment w:id="2" w:author="Uin Fas BKL" w:date="2024-06-01T11:34:00Z" w:initials="UF">
    <w:p w14:paraId="3362D2B8" w14:textId="1EA091EC" w:rsidR="004209CA" w:rsidRDefault="004209CA">
      <w:pPr>
        <w:pStyle w:val="CommentText"/>
      </w:pPr>
      <w:r>
        <w:rPr>
          <w:rStyle w:val="CommentReference"/>
        </w:rPr>
        <w:annotationRef/>
      </w:r>
      <w:r>
        <w:t>Research procedure</w:t>
      </w:r>
    </w:p>
  </w:comment>
  <w:comment w:id="3" w:author="Uin Fas BKL" w:date="2024-06-01T11:24:00Z" w:initials="UF">
    <w:p w14:paraId="4F0BC954" w14:textId="64909C08" w:rsidR="00915FFC" w:rsidRDefault="00915FFC">
      <w:pPr>
        <w:pStyle w:val="CommentText"/>
      </w:pPr>
      <w:r>
        <w:rPr>
          <w:rStyle w:val="CommentReference"/>
        </w:rPr>
        <w:annotationRef/>
      </w:r>
      <w:r>
        <w:t>Implications</w:t>
      </w:r>
    </w:p>
  </w:comment>
  <w:comment w:id="4" w:author="Uin Fas BKL" w:date="2024-06-01T11:28:00Z" w:initials="UF">
    <w:p w14:paraId="4533B615" w14:textId="5C1FF6C3" w:rsidR="00915FFC" w:rsidRDefault="00915FFC">
      <w:pPr>
        <w:pStyle w:val="CommentText"/>
      </w:pPr>
      <w:r>
        <w:rPr>
          <w:rStyle w:val="CommentReference"/>
        </w:rPr>
        <w:annotationRef/>
      </w:r>
      <w:r>
        <w:t>Limitations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487E1A6" w15:done="0"/>
  <w15:commentEx w15:paraId="3362D2B8" w15:done="0"/>
  <w15:commentEx w15:paraId="4F0BC954" w15:done="0"/>
  <w15:commentEx w15:paraId="4533B6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5F23CE" w16cex:dateUtc="2024-06-01T02:26:00Z"/>
  <w16cex:commentExtensible w16cex:durableId="625510B5" w16cex:dateUtc="2024-06-01T04:34:00Z"/>
  <w16cex:commentExtensible w16cex:durableId="3C365AB0" w16cex:dateUtc="2024-06-01T04:24:00Z"/>
  <w16cex:commentExtensible w16cex:durableId="0849434B" w16cex:dateUtc="2024-06-01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87E1A6" w16cid:durableId="175F23CE"/>
  <w16cid:commentId w16cid:paraId="3362D2B8" w16cid:durableId="625510B5"/>
  <w16cid:commentId w16cid:paraId="4F0BC954" w16cid:durableId="3C365AB0"/>
  <w16cid:commentId w16cid:paraId="4533B615" w16cid:durableId="084943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6FE7A" w14:textId="77777777" w:rsidR="00CB479D" w:rsidRDefault="00CB479D">
      <w:r>
        <w:separator/>
      </w:r>
    </w:p>
  </w:endnote>
  <w:endnote w:type="continuationSeparator" w:id="0">
    <w:p w14:paraId="39EAF597" w14:textId="77777777" w:rsidR="00CB479D" w:rsidRDefault="00CB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2C4E6" w14:textId="77777777" w:rsidR="00545F82" w:rsidRDefault="009D0906">
    <w:pPr>
      <w:pBdr>
        <w:top w:val="nil"/>
        <w:left w:val="nil"/>
        <w:bottom w:val="nil"/>
        <w:right w:val="nil"/>
        <w:between w:val="nil"/>
      </w:pBdr>
      <w:tabs>
        <w:tab w:val="center" w:pos="4535"/>
        <w:tab w:val="right" w:pos="9071"/>
        <w:tab w:val="right" w:pos="8505"/>
      </w:tabs>
      <w:rPr>
        <w:i/>
        <w:color w:val="000000"/>
        <w:sz w:val="20"/>
        <w:szCs w:val="20"/>
      </w:rPr>
    </w:pPr>
    <w:r>
      <w:rPr>
        <w:i/>
        <w:color w:val="000000"/>
        <w:sz w:val="20"/>
        <w:szCs w:val="20"/>
      </w:rPr>
      <w:fldChar w:fldCharType="begin"/>
    </w:r>
    <w:r>
      <w:rPr>
        <w:i/>
        <w:color w:val="000000"/>
        <w:sz w:val="20"/>
        <w:szCs w:val="20"/>
      </w:rPr>
      <w:instrText>PAGE</w:instrText>
    </w:r>
    <w:r>
      <w:rPr>
        <w:i/>
        <w:color w:val="000000"/>
        <w:sz w:val="20"/>
        <w:szCs w:val="20"/>
      </w:rPr>
      <w:fldChar w:fldCharType="separate"/>
    </w:r>
    <w:r w:rsidR="00B943FD">
      <w:rPr>
        <w:i/>
        <w:noProof/>
        <w:color w:val="000000"/>
        <w:sz w:val="20"/>
        <w:szCs w:val="20"/>
      </w:rPr>
      <w:t>2</w:t>
    </w:r>
    <w:r>
      <w:rPr>
        <w:i/>
        <w:color w:val="000000"/>
        <w:sz w:val="20"/>
        <w:szCs w:val="20"/>
      </w:rPr>
      <w:fldChar w:fldCharType="end"/>
    </w:r>
    <w:r>
      <w:rPr>
        <w:i/>
        <w:color w:val="000000"/>
        <w:sz w:val="20"/>
        <w:szCs w:val="20"/>
      </w:rPr>
      <w:tab/>
    </w:r>
    <w:r>
      <w:rPr>
        <w:i/>
        <w:sz w:val="20"/>
        <w:szCs w:val="20"/>
      </w:rPr>
      <w:t xml:space="preserve">                                                                            </w:t>
    </w:r>
    <w:r>
      <w:rPr>
        <w:i/>
        <w:color w:val="000000"/>
        <w:sz w:val="20"/>
        <w:szCs w:val="20"/>
      </w:rPr>
      <w:t>JIM (Journal of Islamic Management)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8F376" w14:textId="726F1493" w:rsidR="00545F82" w:rsidRPr="004209CA" w:rsidRDefault="009D0906">
    <w:pPr>
      <w:pBdr>
        <w:top w:val="nil"/>
        <w:left w:val="nil"/>
        <w:bottom w:val="nil"/>
        <w:right w:val="nil"/>
        <w:between w:val="nil"/>
      </w:pBdr>
      <w:tabs>
        <w:tab w:val="center" w:pos="4535"/>
        <w:tab w:val="right" w:pos="9071"/>
        <w:tab w:val="right" w:pos="8505"/>
      </w:tabs>
      <w:rPr>
        <w:i/>
        <w:color w:val="FF0000"/>
        <w:sz w:val="20"/>
        <w:szCs w:val="20"/>
      </w:rPr>
    </w:pPr>
    <w:bookmarkStart w:id="5" w:name="_heading=h.1fob9te" w:colFirst="0" w:colLast="0"/>
    <w:bookmarkEnd w:id="5"/>
    <w:r w:rsidRPr="004209CA">
      <w:rPr>
        <w:i/>
        <w:color w:val="FF0000"/>
        <w:sz w:val="20"/>
        <w:szCs w:val="20"/>
      </w:rPr>
      <w:t>Volume xx, No. xx, Bulan Tahun, pp. xx</w:t>
    </w:r>
    <w:r w:rsidRPr="004209CA">
      <w:rPr>
        <w:i/>
        <w:color w:val="FF0000"/>
        <w:sz w:val="20"/>
        <w:szCs w:val="20"/>
      </w:rPr>
      <w:tab/>
    </w:r>
    <w:r w:rsidRPr="004209CA">
      <w:rPr>
        <w:i/>
        <w:color w:val="FF0000"/>
        <w:sz w:val="20"/>
        <w:szCs w:val="20"/>
      </w:rPr>
      <w:tab/>
    </w:r>
    <w:r w:rsidRPr="004209CA">
      <w:rPr>
        <w:i/>
        <w:color w:val="FF0000"/>
        <w:sz w:val="20"/>
        <w:szCs w:val="20"/>
      </w:rPr>
      <w:fldChar w:fldCharType="begin"/>
    </w:r>
    <w:r w:rsidRPr="004209CA">
      <w:rPr>
        <w:i/>
        <w:color w:val="FF0000"/>
        <w:sz w:val="20"/>
        <w:szCs w:val="20"/>
      </w:rPr>
      <w:instrText>PAGE</w:instrText>
    </w:r>
    <w:r w:rsidRPr="004209CA">
      <w:rPr>
        <w:i/>
        <w:color w:val="FF0000"/>
        <w:sz w:val="20"/>
        <w:szCs w:val="20"/>
      </w:rPr>
      <w:fldChar w:fldCharType="separate"/>
    </w:r>
    <w:r w:rsidR="00B943FD" w:rsidRPr="004209CA">
      <w:rPr>
        <w:i/>
        <w:noProof/>
        <w:color w:val="FF0000"/>
        <w:sz w:val="20"/>
        <w:szCs w:val="20"/>
      </w:rPr>
      <w:t>3</w:t>
    </w:r>
    <w:r w:rsidRPr="004209CA">
      <w:rPr>
        <w:i/>
        <w:color w:val="FF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E0DEA" w14:textId="77777777" w:rsidR="00545F82" w:rsidRDefault="00545F82">
    <w:pPr>
      <w:pBdr>
        <w:top w:val="nil"/>
        <w:left w:val="nil"/>
        <w:bottom w:val="nil"/>
        <w:right w:val="nil"/>
        <w:between w:val="nil"/>
      </w:pBdr>
      <w:spacing w:line="276" w:lineRule="auto"/>
      <w:rPr>
        <w:i/>
        <w:color w:val="000000"/>
        <w:sz w:val="20"/>
        <w:szCs w:val="20"/>
      </w:rPr>
    </w:pPr>
  </w:p>
  <w:p w14:paraId="1CF88069" w14:textId="77777777" w:rsidR="00545F82" w:rsidRDefault="00545F82">
    <w:pPr>
      <w:pBdr>
        <w:top w:val="nil"/>
        <w:left w:val="nil"/>
        <w:bottom w:val="nil"/>
        <w:right w:val="nil"/>
        <w:between w:val="nil"/>
      </w:pBdr>
      <w:tabs>
        <w:tab w:val="center" w:pos="4535"/>
        <w:tab w:val="right" w:pos="9071"/>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7415F" w14:textId="77777777" w:rsidR="00CB479D" w:rsidRDefault="00CB479D">
      <w:r>
        <w:separator/>
      </w:r>
    </w:p>
  </w:footnote>
  <w:footnote w:type="continuationSeparator" w:id="0">
    <w:p w14:paraId="5E01713E" w14:textId="77777777" w:rsidR="00CB479D" w:rsidRDefault="00CB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2EACE" w14:textId="77777777" w:rsidR="00545F82" w:rsidRDefault="00545F82">
    <w:pPr>
      <w:pBdr>
        <w:top w:val="nil"/>
        <w:left w:val="nil"/>
        <w:bottom w:val="nil"/>
        <w:right w:val="nil"/>
        <w:between w:val="nil"/>
      </w:pBdr>
      <w:tabs>
        <w:tab w:val="center" w:pos="4535"/>
        <w:tab w:val="right" w:pos="9071"/>
      </w:tabs>
      <w:rPr>
        <w:i/>
        <w:color w:val="000000"/>
        <w:sz w:val="20"/>
        <w:szCs w:val="20"/>
      </w:rPr>
    </w:pPr>
  </w:p>
  <w:p w14:paraId="2876A5EC" w14:textId="77777777" w:rsidR="00545F82" w:rsidRDefault="00545F82">
    <w:pPr>
      <w:pBdr>
        <w:top w:val="nil"/>
        <w:left w:val="nil"/>
        <w:bottom w:val="nil"/>
        <w:right w:val="nil"/>
        <w:between w:val="nil"/>
      </w:pBdr>
      <w:tabs>
        <w:tab w:val="center" w:pos="4535"/>
        <w:tab w:val="right" w:pos="9071"/>
      </w:tabs>
      <w:rPr>
        <w:i/>
        <w:color w:val="000000"/>
        <w:sz w:val="20"/>
        <w:szCs w:val="20"/>
      </w:rPr>
    </w:pPr>
  </w:p>
  <w:p w14:paraId="6AC81457" w14:textId="77777777" w:rsidR="00545F82" w:rsidRPr="004209CA" w:rsidRDefault="009D0906">
    <w:pPr>
      <w:pBdr>
        <w:top w:val="nil"/>
        <w:left w:val="nil"/>
        <w:bottom w:val="nil"/>
        <w:right w:val="nil"/>
        <w:between w:val="nil"/>
      </w:pBdr>
      <w:tabs>
        <w:tab w:val="center" w:pos="4535"/>
        <w:tab w:val="right" w:pos="9071"/>
      </w:tabs>
      <w:rPr>
        <w:i/>
        <w:color w:val="FF0000"/>
        <w:sz w:val="20"/>
        <w:szCs w:val="20"/>
      </w:rPr>
    </w:pPr>
    <w:r w:rsidRPr="004209CA">
      <w:rPr>
        <w:i/>
        <w:color w:val="FF0000"/>
        <w:sz w:val="20"/>
        <w:szCs w:val="20"/>
      </w:rPr>
      <w:t>Judul (3 kata awal)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A40D0" w14:textId="77777777" w:rsidR="00545F82" w:rsidRDefault="00545F82">
    <w:pPr>
      <w:pBdr>
        <w:top w:val="nil"/>
        <w:left w:val="nil"/>
        <w:bottom w:val="nil"/>
        <w:right w:val="nil"/>
        <w:between w:val="nil"/>
      </w:pBdr>
      <w:tabs>
        <w:tab w:val="center" w:pos="4535"/>
        <w:tab w:val="right" w:pos="9071"/>
      </w:tabs>
      <w:jc w:val="center"/>
      <w:rPr>
        <w:i/>
        <w:color w:val="000000"/>
        <w:sz w:val="20"/>
        <w:szCs w:val="20"/>
      </w:rPr>
    </w:pPr>
  </w:p>
  <w:p w14:paraId="267547BA" w14:textId="77777777" w:rsidR="00545F82" w:rsidRDefault="00545F82">
    <w:pPr>
      <w:pBdr>
        <w:top w:val="nil"/>
        <w:left w:val="nil"/>
        <w:bottom w:val="nil"/>
        <w:right w:val="nil"/>
        <w:between w:val="nil"/>
      </w:pBdr>
      <w:tabs>
        <w:tab w:val="center" w:pos="4535"/>
        <w:tab w:val="right" w:pos="9071"/>
      </w:tabs>
      <w:jc w:val="center"/>
      <w:rPr>
        <w:i/>
        <w:color w:val="000000"/>
        <w:sz w:val="20"/>
        <w:szCs w:val="20"/>
      </w:rPr>
    </w:pPr>
  </w:p>
  <w:p w14:paraId="7C4D6E14" w14:textId="77777777" w:rsidR="00545F82" w:rsidRPr="004209CA" w:rsidRDefault="009D0906">
    <w:pPr>
      <w:pBdr>
        <w:top w:val="nil"/>
        <w:left w:val="nil"/>
        <w:bottom w:val="nil"/>
        <w:right w:val="nil"/>
        <w:between w:val="nil"/>
      </w:pBdr>
      <w:tabs>
        <w:tab w:val="center" w:pos="4535"/>
        <w:tab w:val="right" w:pos="9071"/>
      </w:tabs>
      <w:jc w:val="right"/>
      <w:rPr>
        <w:color w:val="FF0000"/>
      </w:rPr>
    </w:pPr>
    <w:r w:rsidRPr="004209CA">
      <w:rPr>
        <w:i/>
        <w:color w:val="FF0000"/>
        <w:sz w:val="20"/>
        <w:szCs w:val="20"/>
      </w:rPr>
      <w:t>Penulis1, Penulis 2, dst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02EDE" w14:textId="77777777" w:rsidR="0011369C" w:rsidRDefault="0011369C" w:rsidP="0011369C">
    <w:pPr>
      <w:pBdr>
        <w:top w:val="nil"/>
        <w:left w:val="nil"/>
        <w:bottom w:val="nil"/>
        <w:right w:val="nil"/>
        <w:between w:val="nil"/>
      </w:pBdr>
      <w:tabs>
        <w:tab w:val="center" w:pos="4320"/>
        <w:tab w:val="right" w:pos="8640"/>
      </w:tabs>
      <w:ind w:right="360"/>
      <w:rPr>
        <w:color w:val="006600"/>
        <w:sz w:val="20"/>
        <w:szCs w:val="20"/>
      </w:rPr>
    </w:pPr>
    <w:r>
      <w:rPr>
        <w:b/>
        <w:noProof/>
        <w:color w:val="FFFFFF"/>
        <w:sz w:val="16"/>
        <w:szCs w:val="16"/>
      </w:rPr>
      <w:drawing>
        <wp:anchor distT="0" distB="0" distL="114300" distR="114300" simplePos="0" relativeHeight="251659264" behindDoc="0" locked="0" layoutInCell="1" hidden="0" allowOverlap="1" wp14:anchorId="46E55C00" wp14:editId="680740F7">
          <wp:simplePos x="0" y="0"/>
          <wp:positionH relativeFrom="margin">
            <wp:posOffset>4440555</wp:posOffset>
          </wp:positionH>
          <wp:positionV relativeFrom="margin">
            <wp:posOffset>-814069</wp:posOffset>
          </wp:positionV>
          <wp:extent cx="851535" cy="509270"/>
          <wp:effectExtent l="0" t="0" r="0" b="0"/>
          <wp:wrapSquare wrapText="bothSides" distT="0" distB="0" distL="114300" distR="114300"/>
          <wp:docPr id="11" name="image1.jp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Chart&#10;&#10;Description automatically generated"/>
                  <pic:cNvPicPr preferRelativeResize="0"/>
                </pic:nvPicPr>
                <pic:blipFill>
                  <a:blip r:embed="rId1"/>
                  <a:srcRect/>
                  <a:stretch>
                    <a:fillRect/>
                  </a:stretch>
                </pic:blipFill>
                <pic:spPr>
                  <a:xfrm>
                    <a:off x="0" y="0"/>
                    <a:ext cx="851535" cy="509270"/>
                  </a:xfrm>
                  <a:prstGeom prst="rect">
                    <a:avLst/>
                  </a:prstGeom>
                  <a:ln/>
                </pic:spPr>
              </pic:pic>
            </a:graphicData>
          </a:graphic>
        </wp:anchor>
      </w:drawing>
    </w:r>
  </w:p>
  <w:p w14:paraId="74F2BED5" w14:textId="6820ED4E" w:rsidR="0011369C" w:rsidRDefault="0011369C" w:rsidP="0011369C">
    <w:pPr>
      <w:pBdr>
        <w:top w:val="nil"/>
        <w:left w:val="nil"/>
        <w:bottom w:val="nil"/>
        <w:right w:val="nil"/>
        <w:between w:val="nil"/>
      </w:pBdr>
      <w:tabs>
        <w:tab w:val="center" w:pos="4320"/>
        <w:tab w:val="right" w:pos="8640"/>
      </w:tabs>
      <w:ind w:right="360"/>
      <w:rPr>
        <w:b/>
        <w:color w:val="000000"/>
      </w:rPr>
    </w:pPr>
    <w:r>
      <w:rPr>
        <w:b/>
        <w:color w:val="000000"/>
      </w:rPr>
      <w:t>Journal of Islamic Management</w:t>
    </w:r>
  </w:p>
  <w:p w14:paraId="1F8FD676" w14:textId="77777777" w:rsidR="0011369C" w:rsidRPr="0011369C" w:rsidRDefault="0011369C" w:rsidP="0011369C">
    <w:pPr>
      <w:pBdr>
        <w:top w:val="nil"/>
        <w:left w:val="nil"/>
        <w:bottom w:val="nil"/>
        <w:right w:val="nil"/>
        <w:between w:val="nil"/>
      </w:pBdr>
      <w:tabs>
        <w:tab w:val="center" w:pos="4320"/>
        <w:tab w:val="right" w:pos="8640"/>
      </w:tabs>
      <w:ind w:right="45"/>
      <w:rPr>
        <w:color w:val="FF0000"/>
      </w:rPr>
    </w:pPr>
    <w:r w:rsidRPr="0011369C">
      <w:rPr>
        <w:color w:val="FF0000"/>
      </w:rPr>
      <w:t>Vol. 3, No. 1, Januari 2023</w:t>
    </w:r>
  </w:p>
  <w:p w14:paraId="6C2321B0" w14:textId="77777777" w:rsidR="0011369C" w:rsidRDefault="0011369C" w:rsidP="0011369C">
    <w:pPr>
      <w:pBdr>
        <w:top w:val="nil"/>
        <w:left w:val="nil"/>
        <w:bottom w:val="nil"/>
        <w:right w:val="nil"/>
        <w:between w:val="nil"/>
      </w:pBdr>
      <w:tabs>
        <w:tab w:val="center" w:pos="4320"/>
        <w:tab w:val="right" w:pos="8640"/>
      </w:tabs>
      <w:rPr>
        <w:color w:val="000000"/>
      </w:rPr>
    </w:pPr>
    <w:r>
      <w:rPr>
        <w:color w:val="000000"/>
      </w:rPr>
      <w:t>E-ISSN:</w:t>
    </w:r>
    <w:r>
      <w:t xml:space="preserve"> </w:t>
    </w:r>
    <w:r>
      <w:rPr>
        <w:color w:val="000000"/>
      </w:rPr>
      <w:t>2774-3365</w:t>
    </w:r>
  </w:p>
  <w:p w14:paraId="1AD05F51" w14:textId="77777777" w:rsidR="0011369C" w:rsidRDefault="0011369C" w:rsidP="0011369C">
    <w:pPr>
      <w:pBdr>
        <w:top w:val="nil"/>
        <w:left w:val="nil"/>
        <w:bottom w:val="single" w:sz="18" w:space="1" w:color="000000"/>
        <w:right w:val="nil"/>
        <w:between w:val="nil"/>
      </w:pBdr>
      <w:tabs>
        <w:tab w:val="center" w:pos="4535"/>
        <w:tab w:val="right" w:pos="9071"/>
      </w:tabs>
      <w:ind w:right="36"/>
      <w:rPr>
        <w:color w:val="000000"/>
        <w:sz w:val="20"/>
        <w:szCs w:val="20"/>
      </w:rPr>
    </w:pPr>
    <w:r>
      <w:rPr>
        <w:color w:val="000000"/>
      </w:rPr>
      <w:t>Journal hompage http://jurnalfdk.uinsby.ac.id/index.php/JIM</w:t>
    </w:r>
  </w:p>
  <w:p w14:paraId="0B7FD6BE" w14:textId="77777777" w:rsidR="0011369C" w:rsidRDefault="00113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676"/>
    <w:multiLevelType w:val="hybridMultilevel"/>
    <w:tmpl w:val="76844202"/>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137B16CC"/>
    <w:multiLevelType w:val="hybridMultilevel"/>
    <w:tmpl w:val="698EF5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876E85"/>
    <w:multiLevelType w:val="hybridMultilevel"/>
    <w:tmpl w:val="B3788B4C"/>
    <w:lvl w:ilvl="0" w:tplc="0421000F">
      <w:start w:val="1"/>
      <w:numFmt w:val="decimal"/>
      <w:lvlText w:val="%1."/>
      <w:lvlJc w:val="left"/>
      <w:pPr>
        <w:ind w:left="1212" w:hanging="360"/>
      </w:pPr>
      <w:rPr>
        <w:rFonts w:hint="default"/>
        <w:b w:val="0"/>
      </w:rPr>
    </w:lvl>
    <w:lvl w:ilvl="1" w:tplc="04210019">
      <w:start w:val="1"/>
      <w:numFmt w:val="lowerLetter"/>
      <w:lvlText w:val="%2."/>
      <w:lvlJc w:val="left"/>
      <w:pPr>
        <w:ind w:left="1800" w:hanging="360"/>
      </w:pPr>
    </w:lvl>
    <w:lvl w:ilvl="2" w:tplc="0421000F">
      <w:start w:val="1"/>
      <w:numFmt w:val="decimal"/>
      <w:lvlText w:val="%3."/>
      <w:lvlJc w:val="lef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ECB07CA"/>
    <w:multiLevelType w:val="hybridMultilevel"/>
    <w:tmpl w:val="0E6221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DD2823"/>
    <w:multiLevelType w:val="hybridMultilevel"/>
    <w:tmpl w:val="F3D02C8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5D427DA5"/>
    <w:multiLevelType w:val="hybridMultilevel"/>
    <w:tmpl w:val="64FCA3A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6C13412"/>
    <w:multiLevelType w:val="hybridMultilevel"/>
    <w:tmpl w:val="4F90D2E2"/>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15D5C4A"/>
    <w:multiLevelType w:val="hybridMultilevel"/>
    <w:tmpl w:val="9704FE9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71B7408E"/>
    <w:multiLevelType w:val="hybridMultilevel"/>
    <w:tmpl w:val="BC3AAE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6605821">
    <w:abstractNumId w:val="2"/>
  </w:num>
  <w:num w:numId="2" w16cid:durableId="308638027">
    <w:abstractNumId w:val="3"/>
  </w:num>
  <w:num w:numId="3" w16cid:durableId="1370953849">
    <w:abstractNumId w:val="0"/>
  </w:num>
  <w:num w:numId="4" w16cid:durableId="949901169">
    <w:abstractNumId w:val="5"/>
  </w:num>
  <w:num w:numId="5" w16cid:durableId="1307588910">
    <w:abstractNumId w:val="8"/>
  </w:num>
  <w:num w:numId="6" w16cid:durableId="448008802">
    <w:abstractNumId w:val="6"/>
  </w:num>
  <w:num w:numId="7" w16cid:durableId="1802307845">
    <w:abstractNumId w:val="4"/>
  </w:num>
  <w:num w:numId="8" w16cid:durableId="483738958">
    <w:abstractNumId w:val="7"/>
  </w:num>
  <w:num w:numId="9" w16cid:durableId="17990584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in Fas BKL">
    <w15:presenceInfo w15:providerId="Windows Live" w15:userId="5f1dc4ff8570f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82"/>
    <w:rsid w:val="0002107E"/>
    <w:rsid w:val="0005620A"/>
    <w:rsid w:val="00084AD3"/>
    <w:rsid w:val="000925BB"/>
    <w:rsid w:val="00094641"/>
    <w:rsid w:val="000A7597"/>
    <w:rsid w:val="000B32B4"/>
    <w:rsid w:val="000D61B8"/>
    <w:rsid w:val="000F5FC3"/>
    <w:rsid w:val="0011369C"/>
    <w:rsid w:val="00122C1A"/>
    <w:rsid w:val="00132D24"/>
    <w:rsid w:val="00136D81"/>
    <w:rsid w:val="00143395"/>
    <w:rsid w:val="00170960"/>
    <w:rsid w:val="00181944"/>
    <w:rsid w:val="00185390"/>
    <w:rsid w:val="001B463C"/>
    <w:rsid w:val="001D1BEB"/>
    <w:rsid w:val="001E5E99"/>
    <w:rsid w:val="001E6FF4"/>
    <w:rsid w:val="002268C5"/>
    <w:rsid w:val="00281613"/>
    <w:rsid w:val="002853EF"/>
    <w:rsid w:val="00290F17"/>
    <w:rsid w:val="002A2724"/>
    <w:rsid w:val="003106BE"/>
    <w:rsid w:val="00326E62"/>
    <w:rsid w:val="00386D1F"/>
    <w:rsid w:val="003A5A65"/>
    <w:rsid w:val="003B0AB2"/>
    <w:rsid w:val="003B2C4F"/>
    <w:rsid w:val="003C4422"/>
    <w:rsid w:val="003C6EBD"/>
    <w:rsid w:val="003D74A9"/>
    <w:rsid w:val="003D753A"/>
    <w:rsid w:val="003E25AB"/>
    <w:rsid w:val="003F2AAE"/>
    <w:rsid w:val="003F42E9"/>
    <w:rsid w:val="0040609E"/>
    <w:rsid w:val="004209CA"/>
    <w:rsid w:val="00422CCB"/>
    <w:rsid w:val="00423F9C"/>
    <w:rsid w:val="00425D55"/>
    <w:rsid w:val="0043567C"/>
    <w:rsid w:val="00463732"/>
    <w:rsid w:val="00465031"/>
    <w:rsid w:val="004819B2"/>
    <w:rsid w:val="004A3403"/>
    <w:rsid w:val="004A4EFF"/>
    <w:rsid w:val="004F00F4"/>
    <w:rsid w:val="005041EA"/>
    <w:rsid w:val="005110AF"/>
    <w:rsid w:val="0054457B"/>
    <w:rsid w:val="00545F82"/>
    <w:rsid w:val="00554EEC"/>
    <w:rsid w:val="0055517C"/>
    <w:rsid w:val="00570C7A"/>
    <w:rsid w:val="00573086"/>
    <w:rsid w:val="005848F3"/>
    <w:rsid w:val="005B74E7"/>
    <w:rsid w:val="005D1CB2"/>
    <w:rsid w:val="005E5480"/>
    <w:rsid w:val="00620767"/>
    <w:rsid w:val="00623FBB"/>
    <w:rsid w:val="00644381"/>
    <w:rsid w:val="00654FFD"/>
    <w:rsid w:val="00661BBF"/>
    <w:rsid w:val="00662D74"/>
    <w:rsid w:val="006832AE"/>
    <w:rsid w:val="006856D5"/>
    <w:rsid w:val="006922A3"/>
    <w:rsid w:val="006B7216"/>
    <w:rsid w:val="006C4491"/>
    <w:rsid w:val="006C6DB4"/>
    <w:rsid w:val="006D1854"/>
    <w:rsid w:val="006D42D2"/>
    <w:rsid w:val="006D5E47"/>
    <w:rsid w:val="006F0EA3"/>
    <w:rsid w:val="006F35BF"/>
    <w:rsid w:val="00701854"/>
    <w:rsid w:val="00707E67"/>
    <w:rsid w:val="007236B2"/>
    <w:rsid w:val="007256FE"/>
    <w:rsid w:val="007327CC"/>
    <w:rsid w:val="007329E7"/>
    <w:rsid w:val="007A5754"/>
    <w:rsid w:val="007E19D7"/>
    <w:rsid w:val="008004E7"/>
    <w:rsid w:val="00821C3F"/>
    <w:rsid w:val="00825BAF"/>
    <w:rsid w:val="00852192"/>
    <w:rsid w:val="00874CA4"/>
    <w:rsid w:val="00887BE2"/>
    <w:rsid w:val="00896D2C"/>
    <w:rsid w:val="008A1D41"/>
    <w:rsid w:val="008A6819"/>
    <w:rsid w:val="008B3AB4"/>
    <w:rsid w:val="008D016D"/>
    <w:rsid w:val="008E1FDA"/>
    <w:rsid w:val="00913C5B"/>
    <w:rsid w:val="00915FFC"/>
    <w:rsid w:val="009255C1"/>
    <w:rsid w:val="009502E8"/>
    <w:rsid w:val="0095124D"/>
    <w:rsid w:val="00960A94"/>
    <w:rsid w:val="00964472"/>
    <w:rsid w:val="0097486D"/>
    <w:rsid w:val="009B58A1"/>
    <w:rsid w:val="009C44B0"/>
    <w:rsid w:val="009D0906"/>
    <w:rsid w:val="009E4E29"/>
    <w:rsid w:val="009E7BF9"/>
    <w:rsid w:val="00A13F15"/>
    <w:rsid w:val="00A37531"/>
    <w:rsid w:val="00A42AF4"/>
    <w:rsid w:val="00A563B3"/>
    <w:rsid w:val="00A7253A"/>
    <w:rsid w:val="00A742AB"/>
    <w:rsid w:val="00A877A0"/>
    <w:rsid w:val="00A97776"/>
    <w:rsid w:val="00AA7423"/>
    <w:rsid w:val="00AB2432"/>
    <w:rsid w:val="00B01D0E"/>
    <w:rsid w:val="00B32B83"/>
    <w:rsid w:val="00B926D1"/>
    <w:rsid w:val="00B9316E"/>
    <w:rsid w:val="00B943FD"/>
    <w:rsid w:val="00BF37BF"/>
    <w:rsid w:val="00C076E3"/>
    <w:rsid w:val="00C46D9A"/>
    <w:rsid w:val="00C52562"/>
    <w:rsid w:val="00C90268"/>
    <w:rsid w:val="00CB31F5"/>
    <w:rsid w:val="00CB479D"/>
    <w:rsid w:val="00CC06EC"/>
    <w:rsid w:val="00CD0F00"/>
    <w:rsid w:val="00CF19DA"/>
    <w:rsid w:val="00D75B70"/>
    <w:rsid w:val="00DB2E7E"/>
    <w:rsid w:val="00DB5E05"/>
    <w:rsid w:val="00DB75DF"/>
    <w:rsid w:val="00DD28A3"/>
    <w:rsid w:val="00DF2B78"/>
    <w:rsid w:val="00DF52BA"/>
    <w:rsid w:val="00DF579E"/>
    <w:rsid w:val="00DF715E"/>
    <w:rsid w:val="00E157A0"/>
    <w:rsid w:val="00E33491"/>
    <w:rsid w:val="00E47C81"/>
    <w:rsid w:val="00E53238"/>
    <w:rsid w:val="00E53770"/>
    <w:rsid w:val="00E86A35"/>
    <w:rsid w:val="00EB3D09"/>
    <w:rsid w:val="00EC11CD"/>
    <w:rsid w:val="00EC3AC8"/>
    <w:rsid w:val="00EC3E46"/>
    <w:rsid w:val="00F037A6"/>
    <w:rsid w:val="00F147FF"/>
    <w:rsid w:val="00F17FAB"/>
    <w:rsid w:val="00F45BD5"/>
    <w:rsid w:val="00F51A8F"/>
    <w:rsid w:val="00F56B0F"/>
    <w:rsid w:val="00F845B1"/>
    <w:rsid w:val="00F86EC2"/>
    <w:rsid w:val="00F94EC3"/>
    <w:rsid w:val="00FA229A"/>
    <w:rsid w:val="00FA3E57"/>
    <w:rsid w:val="00FC0FF5"/>
    <w:rsid w:val="00FD6889"/>
    <w:rsid w:val="00FE32B6"/>
    <w:rsid w:val="00FE3E2E"/>
    <w:rsid w:val="00FE5F13"/>
    <w:rsid w:val="00FF0D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14F61"/>
  <w15:docId w15:val="{0835CDFB-A7D7-4F82-A522-970A77D6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64"/>
    <w:pPr>
      <w:suppressAutoHyphens/>
    </w:pPr>
    <w:rPr>
      <w:rFonts w:eastAsia="DejaVu Sans"/>
      <w:kern w:val="1"/>
    </w:rPr>
  </w:style>
  <w:style w:type="paragraph" w:styleId="Heading1">
    <w:name w:val="heading 1"/>
    <w:basedOn w:val="Normal"/>
    <w:next w:val="Normal"/>
    <w:link w:val="Heading1Char"/>
    <w:uiPriority w:val="9"/>
    <w:qFormat/>
    <w:rsid w:val="00484B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B50C64"/>
    <w:pPr>
      <w:suppressLineNumbers/>
      <w:tabs>
        <w:tab w:val="center" w:pos="4535"/>
        <w:tab w:val="right" w:pos="9071"/>
      </w:tabs>
    </w:pPr>
  </w:style>
  <w:style w:type="character" w:customStyle="1" w:styleId="HeaderChar">
    <w:name w:val="Header Char"/>
    <w:basedOn w:val="DefaultParagraphFont"/>
    <w:link w:val="Header"/>
    <w:uiPriority w:val="99"/>
    <w:rsid w:val="00B50C64"/>
    <w:rPr>
      <w:rFonts w:ascii="Times New Roman" w:eastAsia="DejaVu Sans" w:hAnsi="Times New Roman" w:cs="Times New Roman"/>
      <w:kern w:val="1"/>
      <w:sz w:val="24"/>
      <w:szCs w:val="24"/>
    </w:rPr>
  </w:style>
  <w:style w:type="paragraph" w:styleId="Footer">
    <w:name w:val="footer"/>
    <w:basedOn w:val="Normal"/>
    <w:link w:val="FooterChar"/>
    <w:uiPriority w:val="99"/>
    <w:rsid w:val="00B50C64"/>
    <w:pPr>
      <w:suppressLineNumbers/>
      <w:tabs>
        <w:tab w:val="center" w:pos="4535"/>
        <w:tab w:val="right" w:pos="9071"/>
      </w:tabs>
    </w:pPr>
  </w:style>
  <w:style w:type="character" w:customStyle="1" w:styleId="FooterChar">
    <w:name w:val="Footer Char"/>
    <w:basedOn w:val="DefaultParagraphFont"/>
    <w:link w:val="Footer"/>
    <w:uiPriority w:val="99"/>
    <w:rsid w:val="00B50C64"/>
    <w:rPr>
      <w:rFonts w:ascii="Times New Roman" w:eastAsia="DejaVu Sans" w:hAnsi="Times New Roman" w:cs="Times New Roman"/>
      <w:kern w:val="1"/>
      <w:sz w:val="24"/>
      <w:szCs w:val="24"/>
    </w:rPr>
  </w:style>
  <w:style w:type="paragraph" w:customStyle="1" w:styleId="Headerleft">
    <w:name w:val="Header left"/>
    <w:basedOn w:val="Normal"/>
    <w:rsid w:val="00B50C64"/>
    <w:pPr>
      <w:suppressLineNumbers/>
      <w:tabs>
        <w:tab w:val="center" w:pos="4535"/>
        <w:tab w:val="right" w:pos="9071"/>
      </w:tabs>
    </w:pPr>
  </w:style>
  <w:style w:type="paragraph" w:styleId="ListParagraph">
    <w:name w:val="List Paragraph"/>
    <w:aliases w:val="Body of text,List Paragraph1,Colorful List - Accent 11,Heading 11,Medium Grid 1 - Accent 21,Body of text+1,Body of text+2,Body of text+3,List Paragraph11,soal jawab,Body of textCxSp,rpp3"/>
    <w:basedOn w:val="Normal"/>
    <w:link w:val="ListParagraphChar"/>
    <w:uiPriority w:val="34"/>
    <w:qFormat/>
    <w:rsid w:val="001D5DA4"/>
    <w:pPr>
      <w:ind w:left="720"/>
    </w:pPr>
  </w:style>
  <w:style w:type="character" w:styleId="Hyperlink">
    <w:name w:val="Hyperlink"/>
    <w:basedOn w:val="DefaultParagraphFont"/>
    <w:uiPriority w:val="99"/>
    <w:unhideWhenUsed/>
    <w:rsid w:val="00261545"/>
    <w:rPr>
      <w:color w:val="0000FF" w:themeColor="hyperlink"/>
      <w:u w:val="single"/>
    </w:rPr>
  </w:style>
  <w:style w:type="paragraph" w:styleId="BodyText">
    <w:name w:val="Body Text"/>
    <w:basedOn w:val="Normal"/>
    <w:link w:val="BodyTextChar"/>
    <w:semiHidden/>
    <w:unhideWhenUsed/>
    <w:rsid w:val="009F0B8A"/>
    <w:pPr>
      <w:widowControl/>
      <w:suppressAutoHyphens w:val="0"/>
      <w:spacing w:line="360" w:lineRule="auto"/>
      <w:ind w:firstLine="289"/>
      <w:jc w:val="both"/>
    </w:pPr>
    <w:rPr>
      <w:rFonts w:eastAsia="SimSun"/>
      <w:spacing w:val="-1"/>
      <w:kern w:val="0"/>
      <w:sz w:val="20"/>
      <w:szCs w:val="20"/>
    </w:rPr>
  </w:style>
  <w:style w:type="character" w:customStyle="1" w:styleId="BodyTextChar">
    <w:name w:val="Body Text Char"/>
    <w:basedOn w:val="DefaultParagraphFont"/>
    <w:link w:val="BodyText"/>
    <w:semiHidden/>
    <w:rsid w:val="009F0B8A"/>
    <w:rPr>
      <w:rFonts w:ascii="Times New Roman" w:eastAsia="SimSun" w:hAnsi="Times New Roman"/>
      <w:spacing w:val="-1"/>
    </w:rPr>
  </w:style>
  <w:style w:type="paragraph" w:styleId="NoSpacing">
    <w:name w:val="No Spacing"/>
    <w:uiPriority w:val="1"/>
    <w:qFormat/>
    <w:rsid w:val="0089699B"/>
    <w:rPr>
      <w:rFonts w:asciiTheme="minorHAnsi" w:hAnsiTheme="minorHAnsi" w:cstheme="minorBidi"/>
      <w:sz w:val="22"/>
      <w:szCs w:val="22"/>
    </w:rPr>
  </w:style>
  <w:style w:type="character" w:customStyle="1" w:styleId="hps">
    <w:name w:val="hps"/>
    <w:basedOn w:val="DefaultParagraphFont"/>
    <w:rsid w:val="00EA5B28"/>
  </w:style>
  <w:style w:type="character" w:styleId="Strong">
    <w:name w:val="Strong"/>
    <w:basedOn w:val="DefaultParagraphFont"/>
    <w:uiPriority w:val="22"/>
    <w:qFormat/>
    <w:rsid w:val="00EA5B28"/>
    <w:rPr>
      <w:b/>
      <w:bCs/>
    </w:rPr>
  </w:style>
  <w:style w:type="paragraph" w:styleId="BalloonText">
    <w:name w:val="Balloon Text"/>
    <w:basedOn w:val="Normal"/>
    <w:link w:val="BalloonTextChar"/>
    <w:uiPriority w:val="99"/>
    <w:semiHidden/>
    <w:unhideWhenUsed/>
    <w:rsid w:val="00A16AE1"/>
    <w:rPr>
      <w:rFonts w:ascii="Tahoma" w:hAnsi="Tahoma" w:cs="Tahoma"/>
      <w:sz w:val="16"/>
      <w:szCs w:val="16"/>
    </w:rPr>
  </w:style>
  <w:style w:type="character" w:customStyle="1" w:styleId="BalloonTextChar">
    <w:name w:val="Balloon Text Char"/>
    <w:basedOn w:val="DefaultParagraphFont"/>
    <w:link w:val="BalloonText"/>
    <w:uiPriority w:val="99"/>
    <w:semiHidden/>
    <w:rsid w:val="00A16AE1"/>
    <w:rPr>
      <w:rFonts w:ascii="Tahoma" w:eastAsia="DejaVu Sans" w:hAnsi="Tahoma" w:cs="Tahoma"/>
      <w:kern w:val="1"/>
      <w:sz w:val="16"/>
      <w:szCs w:val="16"/>
    </w:rPr>
  </w:style>
  <w:style w:type="table" w:styleId="TableGrid">
    <w:name w:val="Table Grid"/>
    <w:basedOn w:val="TableNormal"/>
    <w:uiPriority w:val="59"/>
    <w:rsid w:val="001E344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84B69"/>
    <w:rPr>
      <w:rFonts w:asciiTheme="majorHAnsi" w:eastAsiaTheme="majorEastAsia" w:hAnsiTheme="majorHAnsi" w:cstheme="majorBidi"/>
      <w:color w:val="365F91" w:themeColor="accent1" w:themeShade="BF"/>
      <w:kern w:val="1"/>
      <w:sz w:val="32"/>
      <w:szCs w:val="32"/>
    </w:rPr>
  </w:style>
  <w:style w:type="paragraph" w:customStyle="1" w:styleId="Bab">
    <w:name w:val="Bab"/>
    <w:basedOn w:val="Heading1"/>
    <w:link w:val="BabChar"/>
    <w:qFormat/>
    <w:rsid w:val="007332FB"/>
    <w:pPr>
      <w:spacing w:before="0" w:line="360" w:lineRule="auto"/>
    </w:pPr>
    <w:rPr>
      <w:rFonts w:ascii="Garamond" w:hAnsi="Garamond"/>
      <w:b/>
      <w:bCs/>
      <w:color w:val="auto"/>
      <w:sz w:val="24"/>
      <w:szCs w:val="24"/>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soal jawab Char,rpp3 Char"/>
    <w:basedOn w:val="DefaultParagraphFont"/>
    <w:link w:val="ListParagraph"/>
    <w:uiPriority w:val="34"/>
    <w:qFormat/>
    <w:rsid w:val="00692B86"/>
    <w:rPr>
      <w:rFonts w:ascii="Times New Roman" w:eastAsia="DejaVu Sans" w:hAnsi="Times New Roman"/>
      <w:kern w:val="1"/>
      <w:sz w:val="24"/>
      <w:szCs w:val="24"/>
    </w:rPr>
  </w:style>
  <w:style w:type="character" w:customStyle="1" w:styleId="BabChar">
    <w:name w:val="Bab Char"/>
    <w:basedOn w:val="Heading1Char"/>
    <w:link w:val="Bab"/>
    <w:rsid w:val="007332FB"/>
    <w:rPr>
      <w:rFonts w:ascii="Garamond" w:eastAsiaTheme="majorEastAsia" w:hAnsi="Garamond" w:cstheme="majorBidi"/>
      <w:b/>
      <w:bCs/>
      <w:color w:val="365F91" w:themeColor="accent1" w:themeShade="BF"/>
      <w:kern w:val="1"/>
      <w:sz w:val="24"/>
      <w:szCs w:val="24"/>
    </w:rPr>
  </w:style>
  <w:style w:type="character" w:customStyle="1" w:styleId="fontstyle01">
    <w:name w:val="fontstyle01"/>
    <w:basedOn w:val="DefaultParagraphFont"/>
    <w:rsid w:val="00692B86"/>
    <w:rPr>
      <w:rFonts w:ascii="Times New Roman" w:hAnsi="Times New Roman" w:cs="Times New Roman" w:hint="default"/>
      <w:b w:val="0"/>
      <w:bCs w:val="0"/>
      <w:i w:val="0"/>
      <w:iCs w:val="0"/>
      <w:color w:val="000000"/>
      <w:sz w:val="24"/>
      <w:szCs w:val="24"/>
    </w:rPr>
  </w:style>
  <w:style w:type="character" w:customStyle="1" w:styleId="tlid-translation">
    <w:name w:val="tlid-translation"/>
    <w:basedOn w:val="DefaultParagraphFont"/>
    <w:rsid w:val="002F2A8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rPr>
      <w:rFonts w:ascii="Calibri" w:eastAsia="Calibri" w:hAnsi="Calibri" w:cs="Calibri"/>
      <w:sz w:val="22"/>
      <w:szCs w:val="22"/>
    </w:rPr>
    <w:tblPr>
      <w:tblStyleRowBandSize w:val="1"/>
      <w:tblStyleColBandSize w:val="1"/>
    </w:tblPr>
  </w:style>
  <w:style w:type="table" w:customStyle="1" w:styleId="2">
    <w:name w:val="2"/>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paragraph" w:styleId="FootnoteText">
    <w:name w:val="footnote text"/>
    <w:basedOn w:val="Normal"/>
    <w:link w:val="FootnoteTextChar"/>
    <w:uiPriority w:val="99"/>
    <w:rsid w:val="005041EA"/>
    <w:pPr>
      <w:widowControl/>
      <w:suppressAutoHyphens w:val="0"/>
    </w:pPr>
    <w:rPr>
      <w:rFonts w:eastAsia="Calibri" w:cs="Arial"/>
      <w:kern w:val="0"/>
      <w:sz w:val="20"/>
      <w:szCs w:val="20"/>
      <w:lang w:eastAsia="en-US"/>
    </w:rPr>
  </w:style>
  <w:style w:type="character" w:customStyle="1" w:styleId="FootnoteTextChar">
    <w:name w:val="Footnote Text Char"/>
    <w:basedOn w:val="DefaultParagraphFont"/>
    <w:link w:val="FootnoteText"/>
    <w:uiPriority w:val="99"/>
    <w:rsid w:val="005041EA"/>
    <w:rPr>
      <w:rFonts w:eastAsia="Calibri" w:cs="Arial"/>
      <w:sz w:val="20"/>
      <w:szCs w:val="20"/>
      <w:lang w:eastAsia="en-US"/>
    </w:rPr>
  </w:style>
  <w:style w:type="character" w:styleId="FootnoteReference">
    <w:name w:val="footnote reference"/>
    <w:basedOn w:val="DefaultParagraphFont"/>
    <w:uiPriority w:val="99"/>
    <w:rsid w:val="005041EA"/>
    <w:rPr>
      <w:vertAlign w:val="superscript"/>
    </w:rPr>
  </w:style>
  <w:style w:type="character" w:styleId="Emphasis">
    <w:name w:val="Emphasis"/>
    <w:basedOn w:val="DefaultParagraphFont"/>
    <w:uiPriority w:val="20"/>
    <w:qFormat/>
    <w:rsid w:val="003C6EBD"/>
    <w:rPr>
      <w:i/>
      <w:iCs/>
    </w:rPr>
  </w:style>
  <w:style w:type="character" w:customStyle="1" w:styleId="personname">
    <w:name w:val="person_name"/>
    <w:basedOn w:val="DefaultParagraphFont"/>
    <w:rsid w:val="003C6EBD"/>
  </w:style>
  <w:style w:type="character" w:styleId="UnresolvedMention">
    <w:name w:val="Unresolved Mention"/>
    <w:basedOn w:val="DefaultParagraphFont"/>
    <w:uiPriority w:val="99"/>
    <w:semiHidden/>
    <w:unhideWhenUsed/>
    <w:rsid w:val="00B926D1"/>
    <w:rPr>
      <w:color w:val="605E5C"/>
      <w:shd w:val="clear" w:color="auto" w:fill="E1DFDD"/>
    </w:rPr>
  </w:style>
  <w:style w:type="character" w:styleId="CommentReference">
    <w:name w:val="annotation reference"/>
    <w:basedOn w:val="DefaultParagraphFont"/>
    <w:uiPriority w:val="99"/>
    <w:semiHidden/>
    <w:unhideWhenUsed/>
    <w:rsid w:val="006922A3"/>
    <w:rPr>
      <w:sz w:val="16"/>
      <w:szCs w:val="16"/>
    </w:rPr>
  </w:style>
  <w:style w:type="paragraph" w:styleId="CommentText">
    <w:name w:val="annotation text"/>
    <w:basedOn w:val="Normal"/>
    <w:link w:val="CommentTextChar"/>
    <w:uiPriority w:val="99"/>
    <w:semiHidden/>
    <w:unhideWhenUsed/>
    <w:rsid w:val="006922A3"/>
    <w:rPr>
      <w:sz w:val="20"/>
      <w:szCs w:val="20"/>
    </w:rPr>
  </w:style>
  <w:style w:type="character" w:customStyle="1" w:styleId="CommentTextChar">
    <w:name w:val="Comment Text Char"/>
    <w:basedOn w:val="DefaultParagraphFont"/>
    <w:link w:val="CommentText"/>
    <w:uiPriority w:val="99"/>
    <w:semiHidden/>
    <w:rsid w:val="006922A3"/>
    <w:rPr>
      <w:rFonts w:eastAsia="DejaVu Sans"/>
      <w:kern w:val="1"/>
      <w:sz w:val="20"/>
      <w:szCs w:val="20"/>
    </w:rPr>
  </w:style>
  <w:style w:type="paragraph" w:styleId="CommentSubject">
    <w:name w:val="annotation subject"/>
    <w:basedOn w:val="CommentText"/>
    <w:next w:val="CommentText"/>
    <w:link w:val="CommentSubjectChar"/>
    <w:uiPriority w:val="99"/>
    <w:semiHidden/>
    <w:unhideWhenUsed/>
    <w:rsid w:val="006922A3"/>
    <w:rPr>
      <w:b/>
      <w:bCs/>
    </w:rPr>
  </w:style>
  <w:style w:type="character" w:customStyle="1" w:styleId="CommentSubjectChar">
    <w:name w:val="Comment Subject Char"/>
    <w:basedOn w:val="CommentTextChar"/>
    <w:link w:val="CommentSubject"/>
    <w:uiPriority w:val="99"/>
    <w:semiHidden/>
    <w:rsid w:val="006922A3"/>
    <w:rPr>
      <w:rFonts w:eastAsia="DejaVu Sans"/>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545559">
      <w:bodyDiv w:val="1"/>
      <w:marLeft w:val="0"/>
      <w:marRight w:val="0"/>
      <w:marTop w:val="0"/>
      <w:marBottom w:val="0"/>
      <w:divBdr>
        <w:top w:val="none" w:sz="0" w:space="0" w:color="auto"/>
        <w:left w:val="none" w:sz="0" w:space="0" w:color="auto"/>
        <w:bottom w:val="none" w:sz="0" w:space="0" w:color="auto"/>
        <w:right w:val="none" w:sz="0" w:space="0" w:color="auto"/>
      </w:divBdr>
      <w:divsChild>
        <w:div w:id="22947346">
          <w:marLeft w:val="0"/>
          <w:marRight w:val="0"/>
          <w:marTop w:val="0"/>
          <w:marBottom w:val="0"/>
          <w:divBdr>
            <w:top w:val="none" w:sz="0" w:space="0" w:color="auto"/>
            <w:left w:val="none" w:sz="0" w:space="0" w:color="auto"/>
            <w:bottom w:val="none" w:sz="0" w:space="0" w:color="auto"/>
            <w:right w:val="none" w:sz="0" w:space="0" w:color="auto"/>
          </w:divBdr>
        </w:div>
        <w:div w:id="80833955">
          <w:marLeft w:val="0"/>
          <w:marRight w:val="0"/>
          <w:marTop w:val="0"/>
          <w:marBottom w:val="0"/>
          <w:divBdr>
            <w:top w:val="none" w:sz="0" w:space="0" w:color="auto"/>
            <w:left w:val="none" w:sz="0" w:space="0" w:color="auto"/>
            <w:bottom w:val="none" w:sz="0" w:space="0" w:color="auto"/>
            <w:right w:val="none" w:sz="0" w:space="0" w:color="auto"/>
          </w:divBdr>
        </w:div>
        <w:div w:id="297342352">
          <w:marLeft w:val="0"/>
          <w:marRight w:val="0"/>
          <w:marTop w:val="0"/>
          <w:marBottom w:val="0"/>
          <w:divBdr>
            <w:top w:val="none" w:sz="0" w:space="0" w:color="auto"/>
            <w:left w:val="none" w:sz="0" w:space="0" w:color="auto"/>
            <w:bottom w:val="none" w:sz="0" w:space="0" w:color="auto"/>
            <w:right w:val="none" w:sz="0" w:space="0" w:color="auto"/>
          </w:divBdr>
        </w:div>
        <w:div w:id="441343682">
          <w:marLeft w:val="0"/>
          <w:marRight w:val="0"/>
          <w:marTop w:val="0"/>
          <w:marBottom w:val="0"/>
          <w:divBdr>
            <w:top w:val="none" w:sz="0" w:space="0" w:color="auto"/>
            <w:left w:val="none" w:sz="0" w:space="0" w:color="auto"/>
            <w:bottom w:val="none" w:sz="0" w:space="0" w:color="auto"/>
            <w:right w:val="none" w:sz="0" w:space="0" w:color="auto"/>
          </w:divBdr>
        </w:div>
        <w:div w:id="612708753">
          <w:marLeft w:val="0"/>
          <w:marRight w:val="0"/>
          <w:marTop w:val="0"/>
          <w:marBottom w:val="0"/>
          <w:divBdr>
            <w:top w:val="none" w:sz="0" w:space="0" w:color="auto"/>
            <w:left w:val="none" w:sz="0" w:space="0" w:color="auto"/>
            <w:bottom w:val="none" w:sz="0" w:space="0" w:color="auto"/>
            <w:right w:val="none" w:sz="0" w:space="0" w:color="auto"/>
          </w:divBdr>
        </w:div>
        <w:div w:id="622856433">
          <w:marLeft w:val="0"/>
          <w:marRight w:val="0"/>
          <w:marTop w:val="0"/>
          <w:marBottom w:val="0"/>
          <w:divBdr>
            <w:top w:val="none" w:sz="0" w:space="0" w:color="auto"/>
            <w:left w:val="none" w:sz="0" w:space="0" w:color="auto"/>
            <w:bottom w:val="none" w:sz="0" w:space="0" w:color="auto"/>
            <w:right w:val="none" w:sz="0" w:space="0" w:color="auto"/>
          </w:divBdr>
        </w:div>
        <w:div w:id="763499565">
          <w:marLeft w:val="0"/>
          <w:marRight w:val="0"/>
          <w:marTop w:val="0"/>
          <w:marBottom w:val="0"/>
          <w:divBdr>
            <w:top w:val="none" w:sz="0" w:space="0" w:color="auto"/>
            <w:left w:val="none" w:sz="0" w:space="0" w:color="auto"/>
            <w:bottom w:val="none" w:sz="0" w:space="0" w:color="auto"/>
            <w:right w:val="none" w:sz="0" w:space="0" w:color="auto"/>
          </w:divBdr>
        </w:div>
        <w:div w:id="807016061">
          <w:marLeft w:val="0"/>
          <w:marRight w:val="0"/>
          <w:marTop w:val="0"/>
          <w:marBottom w:val="0"/>
          <w:divBdr>
            <w:top w:val="none" w:sz="0" w:space="0" w:color="auto"/>
            <w:left w:val="none" w:sz="0" w:space="0" w:color="auto"/>
            <w:bottom w:val="none" w:sz="0" w:space="0" w:color="auto"/>
            <w:right w:val="none" w:sz="0" w:space="0" w:color="auto"/>
          </w:divBdr>
        </w:div>
        <w:div w:id="856503868">
          <w:marLeft w:val="0"/>
          <w:marRight w:val="0"/>
          <w:marTop w:val="0"/>
          <w:marBottom w:val="0"/>
          <w:divBdr>
            <w:top w:val="none" w:sz="0" w:space="0" w:color="auto"/>
            <w:left w:val="none" w:sz="0" w:space="0" w:color="auto"/>
            <w:bottom w:val="none" w:sz="0" w:space="0" w:color="auto"/>
            <w:right w:val="none" w:sz="0" w:space="0" w:color="auto"/>
          </w:divBdr>
        </w:div>
        <w:div w:id="890075230">
          <w:marLeft w:val="0"/>
          <w:marRight w:val="0"/>
          <w:marTop w:val="0"/>
          <w:marBottom w:val="0"/>
          <w:divBdr>
            <w:top w:val="none" w:sz="0" w:space="0" w:color="auto"/>
            <w:left w:val="none" w:sz="0" w:space="0" w:color="auto"/>
            <w:bottom w:val="none" w:sz="0" w:space="0" w:color="auto"/>
            <w:right w:val="none" w:sz="0" w:space="0" w:color="auto"/>
          </w:divBdr>
        </w:div>
        <w:div w:id="890969074">
          <w:marLeft w:val="0"/>
          <w:marRight w:val="0"/>
          <w:marTop w:val="0"/>
          <w:marBottom w:val="0"/>
          <w:divBdr>
            <w:top w:val="none" w:sz="0" w:space="0" w:color="auto"/>
            <w:left w:val="none" w:sz="0" w:space="0" w:color="auto"/>
            <w:bottom w:val="none" w:sz="0" w:space="0" w:color="auto"/>
            <w:right w:val="none" w:sz="0" w:space="0" w:color="auto"/>
          </w:divBdr>
        </w:div>
        <w:div w:id="993799412">
          <w:marLeft w:val="0"/>
          <w:marRight w:val="0"/>
          <w:marTop w:val="0"/>
          <w:marBottom w:val="0"/>
          <w:divBdr>
            <w:top w:val="none" w:sz="0" w:space="0" w:color="auto"/>
            <w:left w:val="none" w:sz="0" w:space="0" w:color="auto"/>
            <w:bottom w:val="none" w:sz="0" w:space="0" w:color="auto"/>
            <w:right w:val="none" w:sz="0" w:space="0" w:color="auto"/>
          </w:divBdr>
        </w:div>
        <w:div w:id="1017806238">
          <w:marLeft w:val="0"/>
          <w:marRight w:val="0"/>
          <w:marTop w:val="0"/>
          <w:marBottom w:val="0"/>
          <w:divBdr>
            <w:top w:val="none" w:sz="0" w:space="0" w:color="auto"/>
            <w:left w:val="none" w:sz="0" w:space="0" w:color="auto"/>
            <w:bottom w:val="none" w:sz="0" w:space="0" w:color="auto"/>
            <w:right w:val="none" w:sz="0" w:space="0" w:color="auto"/>
          </w:divBdr>
        </w:div>
        <w:div w:id="1073237730">
          <w:marLeft w:val="0"/>
          <w:marRight w:val="0"/>
          <w:marTop w:val="0"/>
          <w:marBottom w:val="0"/>
          <w:divBdr>
            <w:top w:val="none" w:sz="0" w:space="0" w:color="auto"/>
            <w:left w:val="none" w:sz="0" w:space="0" w:color="auto"/>
            <w:bottom w:val="none" w:sz="0" w:space="0" w:color="auto"/>
            <w:right w:val="none" w:sz="0" w:space="0" w:color="auto"/>
          </w:divBdr>
        </w:div>
        <w:div w:id="1123811381">
          <w:marLeft w:val="0"/>
          <w:marRight w:val="0"/>
          <w:marTop w:val="0"/>
          <w:marBottom w:val="0"/>
          <w:divBdr>
            <w:top w:val="none" w:sz="0" w:space="0" w:color="auto"/>
            <w:left w:val="none" w:sz="0" w:space="0" w:color="auto"/>
            <w:bottom w:val="none" w:sz="0" w:space="0" w:color="auto"/>
            <w:right w:val="none" w:sz="0" w:space="0" w:color="auto"/>
          </w:divBdr>
        </w:div>
        <w:div w:id="1389959298">
          <w:marLeft w:val="0"/>
          <w:marRight w:val="0"/>
          <w:marTop w:val="0"/>
          <w:marBottom w:val="0"/>
          <w:divBdr>
            <w:top w:val="none" w:sz="0" w:space="0" w:color="auto"/>
            <w:left w:val="none" w:sz="0" w:space="0" w:color="auto"/>
            <w:bottom w:val="none" w:sz="0" w:space="0" w:color="auto"/>
            <w:right w:val="none" w:sz="0" w:space="0" w:color="auto"/>
          </w:divBdr>
        </w:div>
        <w:div w:id="1397238119">
          <w:marLeft w:val="0"/>
          <w:marRight w:val="0"/>
          <w:marTop w:val="0"/>
          <w:marBottom w:val="0"/>
          <w:divBdr>
            <w:top w:val="none" w:sz="0" w:space="0" w:color="auto"/>
            <w:left w:val="none" w:sz="0" w:space="0" w:color="auto"/>
            <w:bottom w:val="none" w:sz="0" w:space="0" w:color="auto"/>
            <w:right w:val="none" w:sz="0" w:space="0" w:color="auto"/>
          </w:divBdr>
        </w:div>
        <w:div w:id="1438671924">
          <w:marLeft w:val="0"/>
          <w:marRight w:val="0"/>
          <w:marTop w:val="0"/>
          <w:marBottom w:val="0"/>
          <w:divBdr>
            <w:top w:val="none" w:sz="0" w:space="0" w:color="auto"/>
            <w:left w:val="none" w:sz="0" w:space="0" w:color="auto"/>
            <w:bottom w:val="none" w:sz="0" w:space="0" w:color="auto"/>
            <w:right w:val="none" w:sz="0" w:space="0" w:color="auto"/>
          </w:divBdr>
        </w:div>
        <w:div w:id="1454330180">
          <w:marLeft w:val="0"/>
          <w:marRight w:val="0"/>
          <w:marTop w:val="0"/>
          <w:marBottom w:val="0"/>
          <w:divBdr>
            <w:top w:val="none" w:sz="0" w:space="0" w:color="auto"/>
            <w:left w:val="none" w:sz="0" w:space="0" w:color="auto"/>
            <w:bottom w:val="none" w:sz="0" w:space="0" w:color="auto"/>
            <w:right w:val="none" w:sz="0" w:space="0" w:color="auto"/>
          </w:divBdr>
        </w:div>
        <w:div w:id="1494222007">
          <w:marLeft w:val="0"/>
          <w:marRight w:val="0"/>
          <w:marTop w:val="0"/>
          <w:marBottom w:val="0"/>
          <w:divBdr>
            <w:top w:val="none" w:sz="0" w:space="0" w:color="auto"/>
            <w:left w:val="none" w:sz="0" w:space="0" w:color="auto"/>
            <w:bottom w:val="none" w:sz="0" w:space="0" w:color="auto"/>
            <w:right w:val="none" w:sz="0" w:space="0" w:color="auto"/>
          </w:divBdr>
        </w:div>
        <w:div w:id="1636567809">
          <w:marLeft w:val="0"/>
          <w:marRight w:val="0"/>
          <w:marTop w:val="0"/>
          <w:marBottom w:val="0"/>
          <w:divBdr>
            <w:top w:val="none" w:sz="0" w:space="0" w:color="auto"/>
            <w:left w:val="none" w:sz="0" w:space="0" w:color="auto"/>
            <w:bottom w:val="none" w:sz="0" w:space="0" w:color="auto"/>
            <w:right w:val="none" w:sz="0" w:space="0" w:color="auto"/>
          </w:divBdr>
        </w:div>
        <w:div w:id="1783038245">
          <w:marLeft w:val="0"/>
          <w:marRight w:val="0"/>
          <w:marTop w:val="0"/>
          <w:marBottom w:val="0"/>
          <w:divBdr>
            <w:top w:val="none" w:sz="0" w:space="0" w:color="auto"/>
            <w:left w:val="none" w:sz="0" w:space="0" w:color="auto"/>
            <w:bottom w:val="none" w:sz="0" w:space="0" w:color="auto"/>
            <w:right w:val="none" w:sz="0" w:space="0" w:color="auto"/>
          </w:divBdr>
        </w:div>
        <w:div w:id="1873836612">
          <w:marLeft w:val="0"/>
          <w:marRight w:val="0"/>
          <w:marTop w:val="0"/>
          <w:marBottom w:val="0"/>
          <w:divBdr>
            <w:top w:val="none" w:sz="0" w:space="0" w:color="auto"/>
            <w:left w:val="none" w:sz="0" w:space="0" w:color="auto"/>
            <w:bottom w:val="none" w:sz="0" w:space="0" w:color="auto"/>
            <w:right w:val="none" w:sz="0" w:space="0" w:color="auto"/>
          </w:divBdr>
        </w:div>
        <w:div w:id="1954365294">
          <w:marLeft w:val="0"/>
          <w:marRight w:val="0"/>
          <w:marTop w:val="0"/>
          <w:marBottom w:val="0"/>
          <w:divBdr>
            <w:top w:val="none" w:sz="0" w:space="0" w:color="auto"/>
            <w:left w:val="none" w:sz="0" w:space="0" w:color="auto"/>
            <w:bottom w:val="none" w:sz="0" w:space="0" w:color="auto"/>
            <w:right w:val="none" w:sz="0" w:space="0" w:color="auto"/>
          </w:divBdr>
        </w:div>
        <w:div w:id="2091656720">
          <w:marLeft w:val="0"/>
          <w:marRight w:val="0"/>
          <w:marTop w:val="0"/>
          <w:marBottom w:val="0"/>
          <w:divBdr>
            <w:top w:val="none" w:sz="0" w:space="0" w:color="auto"/>
            <w:left w:val="none" w:sz="0" w:space="0" w:color="auto"/>
            <w:bottom w:val="none" w:sz="0" w:space="0" w:color="auto"/>
            <w:right w:val="none" w:sz="0" w:space="0" w:color="auto"/>
          </w:divBdr>
        </w:div>
      </w:divsChild>
    </w:div>
    <w:div w:id="1751072561">
      <w:bodyDiv w:val="1"/>
      <w:marLeft w:val="0"/>
      <w:marRight w:val="0"/>
      <w:marTop w:val="0"/>
      <w:marBottom w:val="0"/>
      <w:divBdr>
        <w:top w:val="none" w:sz="0" w:space="0" w:color="auto"/>
        <w:left w:val="none" w:sz="0" w:space="0" w:color="auto"/>
        <w:bottom w:val="none" w:sz="0" w:space="0" w:color="auto"/>
        <w:right w:val="none" w:sz="0" w:space="0" w:color="auto"/>
      </w:divBdr>
      <w:divsChild>
        <w:div w:id="82849012">
          <w:marLeft w:val="0"/>
          <w:marRight w:val="0"/>
          <w:marTop w:val="0"/>
          <w:marBottom w:val="0"/>
          <w:divBdr>
            <w:top w:val="none" w:sz="0" w:space="0" w:color="auto"/>
            <w:left w:val="none" w:sz="0" w:space="0" w:color="auto"/>
            <w:bottom w:val="none" w:sz="0" w:space="0" w:color="auto"/>
            <w:right w:val="none" w:sz="0" w:space="0" w:color="auto"/>
          </w:divBdr>
        </w:div>
        <w:div w:id="168519458">
          <w:marLeft w:val="0"/>
          <w:marRight w:val="0"/>
          <w:marTop w:val="0"/>
          <w:marBottom w:val="0"/>
          <w:divBdr>
            <w:top w:val="none" w:sz="0" w:space="0" w:color="auto"/>
            <w:left w:val="none" w:sz="0" w:space="0" w:color="auto"/>
            <w:bottom w:val="none" w:sz="0" w:space="0" w:color="auto"/>
            <w:right w:val="none" w:sz="0" w:space="0" w:color="auto"/>
          </w:divBdr>
        </w:div>
        <w:div w:id="387075826">
          <w:marLeft w:val="0"/>
          <w:marRight w:val="0"/>
          <w:marTop w:val="0"/>
          <w:marBottom w:val="0"/>
          <w:divBdr>
            <w:top w:val="none" w:sz="0" w:space="0" w:color="auto"/>
            <w:left w:val="none" w:sz="0" w:space="0" w:color="auto"/>
            <w:bottom w:val="none" w:sz="0" w:space="0" w:color="auto"/>
            <w:right w:val="none" w:sz="0" w:space="0" w:color="auto"/>
          </w:divBdr>
        </w:div>
        <w:div w:id="461582320">
          <w:marLeft w:val="0"/>
          <w:marRight w:val="0"/>
          <w:marTop w:val="0"/>
          <w:marBottom w:val="0"/>
          <w:divBdr>
            <w:top w:val="none" w:sz="0" w:space="0" w:color="auto"/>
            <w:left w:val="none" w:sz="0" w:space="0" w:color="auto"/>
            <w:bottom w:val="none" w:sz="0" w:space="0" w:color="auto"/>
            <w:right w:val="none" w:sz="0" w:space="0" w:color="auto"/>
          </w:divBdr>
        </w:div>
        <w:div w:id="468135549">
          <w:marLeft w:val="0"/>
          <w:marRight w:val="0"/>
          <w:marTop w:val="0"/>
          <w:marBottom w:val="0"/>
          <w:divBdr>
            <w:top w:val="none" w:sz="0" w:space="0" w:color="auto"/>
            <w:left w:val="none" w:sz="0" w:space="0" w:color="auto"/>
            <w:bottom w:val="none" w:sz="0" w:space="0" w:color="auto"/>
            <w:right w:val="none" w:sz="0" w:space="0" w:color="auto"/>
          </w:divBdr>
        </w:div>
        <w:div w:id="549612019">
          <w:marLeft w:val="0"/>
          <w:marRight w:val="0"/>
          <w:marTop w:val="0"/>
          <w:marBottom w:val="0"/>
          <w:divBdr>
            <w:top w:val="none" w:sz="0" w:space="0" w:color="auto"/>
            <w:left w:val="none" w:sz="0" w:space="0" w:color="auto"/>
            <w:bottom w:val="none" w:sz="0" w:space="0" w:color="auto"/>
            <w:right w:val="none" w:sz="0" w:space="0" w:color="auto"/>
          </w:divBdr>
        </w:div>
        <w:div w:id="681902374">
          <w:marLeft w:val="0"/>
          <w:marRight w:val="0"/>
          <w:marTop w:val="0"/>
          <w:marBottom w:val="0"/>
          <w:divBdr>
            <w:top w:val="none" w:sz="0" w:space="0" w:color="auto"/>
            <w:left w:val="none" w:sz="0" w:space="0" w:color="auto"/>
            <w:bottom w:val="none" w:sz="0" w:space="0" w:color="auto"/>
            <w:right w:val="none" w:sz="0" w:space="0" w:color="auto"/>
          </w:divBdr>
        </w:div>
        <w:div w:id="742798206">
          <w:marLeft w:val="0"/>
          <w:marRight w:val="0"/>
          <w:marTop w:val="0"/>
          <w:marBottom w:val="0"/>
          <w:divBdr>
            <w:top w:val="none" w:sz="0" w:space="0" w:color="auto"/>
            <w:left w:val="none" w:sz="0" w:space="0" w:color="auto"/>
            <w:bottom w:val="none" w:sz="0" w:space="0" w:color="auto"/>
            <w:right w:val="none" w:sz="0" w:space="0" w:color="auto"/>
          </w:divBdr>
        </w:div>
        <w:div w:id="904796806">
          <w:marLeft w:val="0"/>
          <w:marRight w:val="0"/>
          <w:marTop w:val="0"/>
          <w:marBottom w:val="0"/>
          <w:divBdr>
            <w:top w:val="none" w:sz="0" w:space="0" w:color="auto"/>
            <w:left w:val="none" w:sz="0" w:space="0" w:color="auto"/>
            <w:bottom w:val="none" w:sz="0" w:space="0" w:color="auto"/>
            <w:right w:val="none" w:sz="0" w:space="0" w:color="auto"/>
          </w:divBdr>
        </w:div>
        <w:div w:id="1120801596">
          <w:marLeft w:val="0"/>
          <w:marRight w:val="0"/>
          <w:marTop w:val="0"/>
          <w:marBottom w:val="0"/>
          <w:divBdr>
            <w:top w:val="none" w:sz="0" w:space="0" w:color="auto"/>
            <w:left w:val="none" w:sz="0" w:space="0" w:color="auto"/>
            <w:bottom w:val="none" w:sz="0" w:space="0" w:color="auto"/>
            <w:right w:val="none" w:sz="0" w:space="0" w:color="auto"/>
          </w:divBdr>
        </w:div>
        <w:div w:id="1213885091">
          <w:marLeft w:val="0"/>
          <w:marRight w:val="0"/>
          <w:marTop w:val="0"/>
          <w:marBottom w:val="0"/>
          <w:divBdr>
            <w:top w:val="none" w:sz="0" w:space="0" w:color="auto"/>
            <w:left w:val="none" w:sz="0" w:space="0" w:color="auto"/>
            <w:bottom w:val="none" w:sz="0" w:space="0" w:color="auto"/>
            <w:right w:val="none" w:sz="0" w:space="0" w:color="auto"/>
          </w:divBdr>
        </w:div>
        <w:div w:id="1565025293">
          <w:marLeft w:val="0"/>
          <w:marRight w:val="0"/>
          <w:marTop w:val="0"/>
          <w:marBottom w:val="0"/>
          <w:divBdr>
            <w:top w:val="none" w:sz="0" w:space="0" w:color="auto"/>
            <w:left w:val="none" w:sz="0" w:space="0" w:color="auto"/>
            <w:bottom w:val="none" w:sz="0" w:space="0" w:color="auto"/>
            <w:right w:val="none" w:sz="0" w:space="0" w:color="auto"/>
          </w:divBdr>
        </w:div>
        <w:div w:id="1648581975">
          <w:marLeft w:val="0"/>
          <w:marRight w:val="0"/>
          <w:marTop w:val="0"/>
          <w:marBottom w:val="0"/>
          <w:divBdr>
            <w:top w:val="none" w:sz="0" w:space="0" w:color="auto"/>
            <w:left w:val="none" w:sz="0" w:space="0" w:color="auto"/>
            <w:bottom w:val="none" w:sz="0" w:space="0" w:color="auto"/>
            <w:right w:val="none" w:sz="0" w:space="0" w:color="auto"/>
          </w:divBdr>
        </w:div>
        <w:div w:id="1720931756">
          <w:marLeft w:val="0"/>
          <w:marRight w:val="0"/>
          <w:marTop w:val="0"/>
          <w:marBottom w:val="0"/>
          <w:divBdr>
            <w:top w:val="none" w:sz="0" w:space="0" w:color="auto"/>
            <w:left w:val="none" w:sz="0" w:space="0" w:color="auto"/>
            <w:bottom w:val="none" w:sz="0" w:space="0" w:color="auto"/>
            <w:right w:val="none" w:sz="0" w:space="0" w:color="auto"/>
          </w:divBdr>
        </w:div>
        <w:div w:id="1732725567">
          <w:marLeft w:val="0"/>
          <w:marRight w:val="0"/>
          <w:marTop w:val="0"/>
          <w:marBottom w:val="0"/>
          <w:divBdr>
            <w:top w:val="none" w:sz="0" w:space="0" w:color="auto"/>
            <w:left w:val="none" w:sz="0" w:space="0" w:color="auto"/>
            <w:bottom w:val="none" w:sz="0" w:space="0" w:color="auto"/>
            <w:right w:val="none" w:sz="0" w:space="0" w:color="auto"/>
          </w:divBdr>
        </w:div>
        <w:div w:id="1792673752">
          <w:marLeft w:val="0"/>
          <w:marRight w:val="0"/>
          <w:marTop w:val="0"/>
          <w:marBottom w:val="0"/>
          <w:divBdr>
            <w:top w:val="none" w:sz="0" w:space="0" w:color="auto"/>
            <w:left w:val="none" w:sz="0" w:space="0" w:color="auto"/>
            <w:bottom w:val="none" w:sz="0" w:space="0" w:color="auto"/>
            <w:right w:val="none" w:sz="0" w:space="0" w:color="auto"/>
          </w:divBdr>
        </w:div>
        <w:div w:id="1823813588">
          <w:marLeft w:val="0"/>
          <w:marRight w:val="0"/>
          <w:marTop w:val="0"/>
          <w:marBottom w:val="0"/>
          <w:divBdr>
            <w:top w:val="none" w:sz="0" w:space="0" w:color="auto"/>
            <w:left w:val="none" w:sz="0" w:space="0" w:color="auto"/>
            <w:bottom w:val="none" w:sz="0" w:space="0" w:color="auto"/>
            <w:right w:val="none" w:sz="0" w:space="0" w:color="auto"/>
          </w:divBdr>
        </w:div>
        <w:div w:id="1839613582">
          <w:marLeft w:val="0"/>
          <w:marRight w:val="0"/>
          <w:marTop w:val="0"/>
          <w:marBottom w:val="0"/>
          <w:divBdr>
            <w:top w:val="none" w:sz="0" w:space="0" w:color="auto"/>
            <w:left w:val="none" w:sz="0" w:space="0" w:color="auto"/>
            <w:bottom w:val="none" w:sz="0" w:space="0" w:color="auto"/>
            <w:right w:val="none" w:sz="0" w:space="0" w:color="auto"/>
          </w:divBdr>
        </w:div>
        <w:div w:id="2085907096">
          <w:marLeft w:val="0"/>
          <w:marRight w:val="0"/>
          <w:marTop w:val="0"/>
          <w:marBottom w:val="0"/>
          <w:divBdr>
            <w:top w:val="none" w:sz="0" w:space="0" w:color="auto"/>
            <w:left w:val="none" w:sz="0" w:space="0" w:color="auto"/>
            <w:bottom w:val="none" w:sz="0" w:space="0" w:color="auto"/>
            <w:right w:val="none" w:sz="0" w:space="0" w:color="auto"/>
          </w:divBdr>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3428240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
        <w:div w:id="89665402">
          <w:marLeft w:val="0"/>
          <w:marRight w:val="0"/>
          <w:marTop w:val="0"/>
          <w:marBottom w:val="0"/>
          <w:divBdr>
            <w:top w:val="none" w:sz="0" w:space="0" w:color="auto"/>
            <w:left w:val="none" w:sz="0" w:space="0" w:color="auto"/>
            <w:bottom w:val="none" w:sz="0" w:space="0" w:color="auto"/>
            <w:right w:val="none" w:sz="0" w:space="0" w:color="auto"/>
          </w:divBdr>
        </w:div>
        <w:div w:id="95179965">
          <w:marLeft w:val="0"/>
          <w:marRight w:val="0"/>
          <w:marTop w:val="0"/>
          <w:marBottom w:val="0"/>
          <w:divBdr>
            <w:top w:val="none" w:sz="0" w:space="0" w:color="auto"/>
            <w:left w:val="none" w:sz="0" w:space="0" w:color="auto"/>
            <w:bottom w:val="none" w:sz="0" w:space="0" w:color="auto"/>
            <w:right w:val="none" w:sz="0" w:space="0" w:color="auto"/>
          </w:divBdr>
        </w:div>
        <w:div w:id="96487963">
          <w:marLeft w:val="0"/>
          <w:marRight w:val="0"/>
          <w:marTop w:val="0"/>
          <w:marBottom w:val="0"/>
          <w:divBdr>
            <w:top w:val="none" w:sz="0" w:space="0" w:color="auto"/>
            <w:left w:val="none" w:sz="0" w:space="0" w:color="auto"/>
            <w:bottom w:val="none" w:sz="0" w:space="0" w:color="auto"/>
            <w:right w:val="none" w:sz="0" w:space="0" w:color="auto"/>
          </w:divBdr>
        </w:div>
        <w:div w:id="117845389">
          <w:marLeft w:val="0"/>
          <w:marRight w:val="0"/>
          <w:marTop w:val="0"/>
          <w:marBottom w:val="0"/>
          <w:divBdr>
            <w:top w:val="none" w:sz="0" w:space="0" w:color="auto"/>
            <w:left w:val="none" w:sz="0" w:space="0" w:color="auto"/>
            <w:bottom w:val="none" w:sz="0" w:space="0" w:color="auto"/>
            <w:right w:val="none" w:sz="0" w:space="0" w:color="auto"/>
          </w:divBdr>
        </w:div>
        <w:div w:id="147137333">
          <w:marLeft w:val="0"/>
          <w:marRight w:val="0"/>
          <w:marTop w:val="0"/>
          <w:marBottom w:val="0"/>
          <w:divBdr>
            <w:top w:val="none" w:sz="0" w:space="0" w:color="auto"/>
            <w:left w:val="none" w:sz="0" w:space="0" w:color="auto"/>
            <w:bottom w:val="none" w:sz="0" w:space="0" w:color="auto"/>
            <w:right w:val="none" w:sz="0" w:space="0" w:color="auto"/>
          </w:divBdr>
        </w:div>
        <w:div w:id="156925568">
          <w:marLeft w:val="0"/>
          <w:marRight w:val="0"/>
          <w:marTop w:val="0"/>
          <w:marBottom w:val="0"/>
          <w:divBdr>
            <w:top w:val="none" w:sz="0" w:space="0" w:color="auto"/>
            <w:left w:val="none" w:sz="0" w:space="0" w:color="auto"/>
            <w:bottom w:val="none" w:sz="0" w:space="0" w:color="auto"/>
            <w:right w:val="none" w:sz="0" w:space="0" w:color="auto"/>
          </w:divBdr>
        </w:div>
        <w:div w:id="20934300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
        <w:div w:id="328795268">
          <w:marLeft w:val="0"/>
          <w:marRight w:val="0"/>
          <w:marTop w:val="0"/>
          <w:marBottom w:val="0"/>
          <w:divBdr>
            <w:top w:val="none" w:sz="0" w:space="0" w:color="auto"/>
            <w:left w:val="none" w:sz="0" w:space="0" w:color="auto"/>
            <w:bottom w:val="none" w:sz="0" w:space="0" w:color="auto"/>
            <w:right w:val="none" w:sz="0" w:space="0" w:color="auto"/>
          </w:divBdr>
        </w:div>
        <w:div w:id="414056535">
          <w:marLeft w:val="0"/>
          <w:marRight w:val="0"/>
          <w:marTop w:val="0"/>
          <w:marBottom w:val="0"/>
          <w:divBdr>
            <w:top w:val="none" w:sz="0" w:space="0" w:color="auto"/>
            <w:left w:val="none" w:sz="0" w:space="0" w:color="auto"/>
            <w:bottom w:val="none" w:sz="0" w:space="0" w:color="auto"/>
            <w:right w:val="none" w:sz="0" w:space="0" w:color="auto"/>
          </w:divBdr>
        </w:div>
        <w:div w:id="460684624">
          <w:marLeft w:val="0"/>
          <w:marRight w:val="0"/>
          <w:marTop w:val="0"/>
          <w:marBottom w:val="0"/>
          <w:divBdr>
            <w:top w:val="none" w:sz="0" w:space="0" w:color="auto"/>
            <w:left w:val="none" w:sz="0" w:space="0" w:color="auto"/>
            <w:bottom w:val="none" w:sz="0" w:space="0" w:color="auto"/>
            <w:right w:val="none" w:sz="0" w:space="0" w:color="auto"/>
          </w:divBdr>
        </w:div>
        <w:div w:id="480269069">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
        <w:div w:id="589461799">
          <w:marLeft w:val="0"/>
          <w:marRight w:val="0"/>
          <w:marTop w:val="0"/>
          <w:marBottom w:val="0"/>
          <w:divBdr>
            <w:top w:val="none" w:sz="0" w:space="0" w:color="auto"/>
            <w:left w:val="none" w:sz="0" w:space="0" w:color="auto"/>
            <w:bottom w:val="none" w:sz="0" w:space="0" w:color="auto"/>
            <w:right w:val="none" w:sz="0" w:space="0" w:color="auto"/>
          </w:divBdr>
        </w:div>
        <w:div w:id="698160933">
          <w:marLeft w:val="0"/>
          <w:marRight w:val="0"/>
          <w:marTop w:val="0"/>
          <w:marBottom w:val="0"/>
          <w:divBdr>
            <w:top w:val="none" w:sz="0" w:space="0" w:color="auto"/>
            <w:left w:val="none" w:sz="0" w:space="0" w:color="auto"/>
            <w:bottom w:val="none" w:sz="0" w:space="0" w:color="auto"/>
            <w:right w:val="none" w:sz="0" w:space="0" w:color="auto"/>
          </w:divBdr>
        </w:div>
        <w:div w:id="714697242">
          <w:marLeft w:val="0"/>
          <w:marRight w:val="0"/>
          <w:marTop w:val="0"/>
          <w:marBottom w:val="0"/>
          <w:divBdr>
            <w:top w:val="none" w:sz="0" w:space="0" w:color="auto"/>
            <w:left w:val="none" w:sz="0" w:space="0" w:color="auto"/>
            <w:bottom w:val="none" w:sz="0" w:space="0" w:color="auto"/>
            <w:right w:val="none" w:sz="0" w:space="0" w:color="auto"/>
          </w:divBdr>
        </w:div>
        <w:div w:id="805270369">
          <w:marLeft w:val="0"/>
          <w:marRight w:val="0"/>
          <w:marTop w:val="0"/>
          <w:marBottom w:val="0"/>
          <w:divBdr>
            <w:top w:val="none" w:sz="0" w:space="0" w:color="auto"/>
            <w:left w:val="none" w:sz="0" w:space="0" w:color="auto"/>
            <w:bottom w:val="none" w:sz="0" w:space="0" w:color="auto"/>
            <w:right w:val="none" w:sz="0" w:space="0" w:color="auto"/>
          </w:divBdr>
        </w:div>
        <w:div w:id="814221863">
          <w:marLeft w:val="0"/>
          <w:marRight w:val="0"/>
          <w:marTop w:val="0"/>
          <w:marBottom w:val="0"/>
          <w:divBdr>
            <w:top w:val="none" w:sz="0" w:space="0" w:color="auto"/>
            <w:left w:val="none" w:sz="0" w:space="0" w:color="auto"/>
            <w:bottom w:val="none" w:sz="0" w:space="0" w:color="auto"/>
            <w:right w:val="none" w:sz="0" w:space="0" w:color="auto"/>
          </w:divBdr>
        </w:div>
        <w:div w:id="1118451322">
          <w:marLeft w:val="0"/>
          <w:marRight w:val="0"/>
          <w:marTop w:val="0"/>
          <w:marBottom w:val="0"/>
          <w:divBdr>
            <w:top w:val="none" w:sz="0" w:space="0" w:color="auto"/>
            <w:left w:val="none" w:sz="0" w:space="0" w:color="auto"/>
            <w:bottom w:val="none" w:sz="0" w:space="0" w:color="auto"/>
            <w:right w:val="none" w:sz="0" w:space="0" w:color="auto"/>
          </w:divBdr>
        </w:div>
        <w:div w:id="1305887271">
          <w:marLeft w:val="0"/>
          <w:marRight w:val="0"/>
          <w:marTop w:val="0"/>
          <w:marBottom w:val="0"/>
          <w:divBdr>
            <w:top w:val="none" w:sz="0" w:space="0" w:color="auto"/>
            <w:left w:val="none" w:sz="0" w:space="0" w:color="auto"/>
            <w:bottom w:val="none" w:sz="0" w:space="0" w:color="auto"/>
            <w:right w:val="none" w:sz="0" w:space="0" w:color="auto"/>
          </w:divBdr>
        </w:div>
        <w:div w:id="1310358183">
          <w:marLeft w:val="0"/>
          <w:marRight w:val="0"/>
          <w:marTop w:val="0"/>
          <w:marBottom w:val="0"/>
          <w:divBdr>
            <w:top w:val="none" w:sz="0" w:space="0" w:color="auto"/>
            <w:left w:val="none" w:sz="0" w:space="0" w:color="auto"/>
            <w:bottom w:val="none" w:sz="0" w:space="0" w:color="auto"/>
            <w:right w:val="none" w:sz="0" w:space="0" w:color="auto"/>
          </w:divBdr>
        </w:div>
        <w:div w:id="1391466997">
          <w:marLeft w:val="0"/>
          <w:marRight w:val="0"/>
          <w:marTop w:val="0"/>
          <w:marBottom w:val="0"/>
          <w:divBdr>
            <w:top w:val="none" w:sz="0" w:space="0" w:color="auto"/>
            <w:left w:val="none" w:sz="0" w:space="0" w:color="auto"/>
            <w:bottom w:val="none" w:sz="0" w:space="0" w:color="auto"/>
            <w:right w:val="none" w:sz="0" w:space="0" w:color="auto"/>
          </w:divBdr>
        </w:div>
        <w:div w:id="1434785243">
          <w:marLeft w:val="0"/>
          <w:marRight w:val="0"/>
          <w:marTop w:val="0"/>
          <w:marBottom w:val="0"/>
          <w:divBdr>
            <w:top w:val="none" w:sz="0" w:space="0" w:color="auto"/>
            <w:left w:val="none" w:sz="0" w:space="0" w:color="auto"/>
            <w:bottom w:val="none" w:sz="0" w:space="0" w:color="auto"/>
            <w:right w:val="none" w:sz="0" w:space="0" w:color="auto"/>
          </w:divBdr>
        </w:div>
        <w:div w:id="1498572067">
          <w:marLeft w:val="0"/>
          <w:marRight w:val="0"/>
          <w:marTop w:val="0"/>
          <w:marBottom w:val="0"/>
          <w:divBdr>
            <w:top w:val="none" w:sz="0" w:space="0" w:color="auto"/>
            <w:left w:val="none" w:sz="0" w:space="0" w:color="auto"/>
            <w:bottom w:val="none" w:sz="0" w:space="0" w:color="auto"/>
            <w:right w:val="none" w:sz="0" w:space="0" w:color="auto"/>
          </w:divBdr>
        </w:div>
        <w:div w:id="1573852335">
          <w:marLeft w:val="0"/>
          <w:marRight w:val="0"/>
          <w:marTop w:val="0"/>
          <w:marBottom w:val="0"/>
          <w:divBdr>
            <w:top w:val="none" w:sz="0" w:space="0" w:color="auto"/>
            <w:left w:val="none" w:sz="0" w:space="0" w:color="auto"/>
            <w:bottom w:val="none" w:sz="0" w:space="0" w:color="auto"/>
            <w:right w:val="none" w:sz="0" w:space="0" w:color="auto"/>
          </w:divBdr>
        </w:div>
        <w:div w:id="1576209074">
          <w:marLeft w:val="0"/>
          <w:marRight w:val="0"/>
          <w:marTop w:val="0"/>
          <w:marBottom w:val="0"/>
          <w:divBdr>
            <w:top w:val="none" w:sz="0" w:space="0" w:color="auto"/>
            <w:left w:val="none" w:sz="0" w:space="0" w:color="auto"/>
            <w:bottom w:val="none" w:sz="0" w:space="0" w:color="auto"/>
            <w:right w:val="none" w:sz="0" w:space="0" w:color="auto"/>
          </w:divBdr>
        </w:div>
        <w:div w:id="1665432576">
          <w:marLeft w:val="0"/>
          <w:marRight w:val="0"/>
          <w:marTop w:val="0"/>
          <w:marBottom w:val="0"/>
          <w:divBdr>
            <w:top w:val="none" w:sz="0" w:space="0" w:color="auto"/>
            <w:left w:val="none" w:sz="0" w:space="0" w:color="auto"/>
            <w:bottom w:val="none" w:sz="0" w:space="0" w:color="auto"/>
            <w:right w:val="none" w:sz="0" w:space="0" w:color="auto"/>
          </w:divBdr>
        </w:div>
        <w:div w:id="1802383883">
          <w:marLeft w:val="0"/>
          <w:marRight w:val="0"/>
          <w:marTop w:val="0"/>
          <w:marBottom w:val="0"/>
          <w:divBdr>
            <w:top w:val="none" w:sz="0" w:space="0" w:color="auto"/>
            <w:left w:val="none" w:sz="0" w:space="0" w:color="auto"/>
            <w:bottom w:val="none" w:sz="0" w:space="0" w:color="auto"/>
            <w:right w:val="none" w:sz="0" w:space="0" w:color="auto"/>
          </w:divBdr>
        </w:div>
        <w:div w:id="1803307936">
          <w:marLeft w:val="0"/>
          <w:marRight w:val="0"/>
          <w:marTop w:val="0"/>
          <w:marBottom w:val="0"/>
          <w:divBdr>
            <w:top w:val="none" w:sz="0" w:space="0" w:color="auto"/>
            <w:left w:val="none" w:sz="0" w:space="0" w:color="auto"/>
            <w:bottom w:val="none" w:sz="0" w:space="0" w:color="auto"/>
            <w:right w:val="none" w:sz="0" w:space="0" w:color="auto"/>
          </w:divBdr>
        </w:div>
        <w:div w:id="1915317197">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
        <w:div w:id="2028170337">
          <w:marLeft w:val="0"/>
          <w:marRight w:val="0"/>
          <w:marTop w:val="0"/>
          <w:marBottom w:val="0"/>
          <w:divBdr>
            <w:top w:val="none" w:sz="0" w:space="0" w:color="auto"/>
            <w:left w:val="none" w:sz="0" w:space="0" w:color="auto"/>
            <w:bottom w:val="none" w:sz="0" w:space="0" w:color="auto"/>
            <w:right w:val="none" w:sz="0" w:space="0" w:color="auto"/>
          </w:divBdr>
        </w:div>
        <w:div w:id="2096702202">
          <w:marLeft w:val="0"/>
          <w:marRight w:val="0"/>
          <w:marTop w:val="0"/>
          <w:marBottom w:val="0"/>
          <w:divBdr>
            <w:top w:val="none" w:sz="0" w:space="0" w:color="auto"/>
            <w:left w:val="none" w:sz="0" w:space="0" w:color="auto"/>
            <w:bottom w:val="none" w:sz="0" w:space="0" w:color="auto"/>
            <w:right w:val="none" w:sz="0" w:space="0" w:color="auto"/>
          </w:divBdr>
        </w:div>
        <w:div w:id="2099477503">
          <w:marLeft w:val="0"/>
          <w:marRight w:val="0"/>
          <w:marTop w:val="0"/>
          <w:marBottom w:val="0"/>
          <w:divBdr>
            <w:top w:val="none" w:sz="0" w:space="0" w:color="auto"/>
            <w:left w:val="none" w:sz="0" w:space="0" w:color="auto"/>
            <w:bottom w:val="none" w:sz="0" w:space="0" w:color="auto"/>
            <w:right w:val="none" w:sz="0" w:space="0" w:color="auto"/>
          </w:divBdr>
        </w:div>
        <w:div w:id="2134060156">
          <w:marLeft w:val="0"/>
          <w:marRight w:val="0"/>
          <w:marTop w:val="0"/>
          <w:marBottom w:val="0"/>
          <w:divBdr>
            <w:top w:val="none" w:sz="0" w:space="0" w:color="auto"/>
            <w:left w:val="none" w:sz="0" w:space="0" w:color="auto"/>
            <w:bottom w:val="none" w:sz="0" w:space="0" w:color="auto"/>
            <w:right w:val="none" w:sz="0" w:space="0" w:color="auto"/>
          </w:divBdr>
        </w:div>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 w:id="1963726527">
      <w:bodyDiv w:val="1"/>
      <w:marLeft w:val="0"/>
      <w:marRight w:val="0"/>
      <w:marTop w:val="0"/>
      <w:marBottom w:val="0"/>
      <w:divBdr>
        <w:top w:val="none" w:sz="0" w:space="0" w:color="auto"/>
        <w:left w:val="none" w:sz="0" w:space="0" w:color="auto"/>
        <w:bottom w:val="none" w:sz="0" w:space="0" w:color="auto"/>
        <w:right w:val="none" w:sz="0" w:space="0" w:color="auto"/>
      </w:divBdr>
    </w:div>
    <w:div w:id="2062170944">
      <w:bodyDiv w:val="1"/>
      <w:marLeft w:val="0"/>
      <w:marRight w:val="0"/>
      <w:marTop w:val="0"/>
      <w:marBottom w:val="0"/>
      <w:divBdr>
        <w:top w:val="none" w:sz="0" w:space="0" w:color="auto"/>
        <w:left w:val="none" w:sz="0" w:space="0" w:color="auto"/>
        <w:bottom w:val="none" w:sz="0" w:space="0" w:color="auto"/>
        <w:right w:val="none" w:sz="0" w:space="0" w:color="auto"/>
      </w:divBdr>
      <w:divsChild>
        <w:div w:id="517432771">
          <w:marLeft w:val="0"/>
          <w:marRight w:val="0"/>
          <w:marTop w:val="0"/>
          <w:marBottom w:val="0"/>
          <w:divBdr>
            <w:top w:val="none" w:sz="0" w:space="0" w:color="auto"/>
            <w:left w:val="none" w:sz="0" w:space="0" w:color="auto"/>
            <w:bottom w:val="none" w:sz="0" w:space="0" w:color="auto"/>
            <w:right w:val="none" w:sz="0" w:space="0" w:color="auto"/>
          </w:divBdr>
          <w:divsChild>
            <w:div w:id="123086517">
              <w:marLeft w:val="0"/>
              <w:marRight w:val="0"/>
              <w:marTop w:val="0"/>
              <w:marBottom w:val="0"/>
              <w:divBdr>
                <w:top w:val="none" w:sz="0" w:space="0" w:color="auto"/>
                <w:left w:val="none" w:sz="0" w:space="0" w:color="auto"/>
                <w:bottom w:val="none" w:sz="0" w:space="0" w:color="auto"/>
                <w:right w:val="none" w:sz="0" w:space="0" w:color="auto"/>
              </w:divBdr>
            </w:div>
            <w:div w:id="159931631">
              <w:marLeft w:val="0"/>
              <w:marRight w:val="0"/>
              <w:marTop w:val="0"/>
              <w:marBottom w:val="0"/>
              <w:divBdr>
                <w:top w:val="none" w:sz="0" w:space="0" w:color="auto"/>
                <w:left w:val="none" w:sz="0" w:space="0" w:color="auto"/>
                <w:bottom w:val="none" w:sz="0" w:space="0" w:color="auto"/>
                <w:right w:val="none" w:sz="0" w:space="0" w:color="auto"/>
              </w:divBdr>
            </w:div>
            <w:div w:id="162013074">
              <w:marLeft w:val="0"/>
              <w:marRight w:val="0"/>
              <w:marTop w:val="0"/>
              <w:marBottom w:val="0"/>
              <w:divBdr>
                <w:top w:val="none" w:sz="0" w:space="0" w:color="auto"/>
                <w:left w:val="none" w:sz="0" w:space="0" w:color="auto"/>
                <w:bottom w:val="none" w:sz="0" w:space="0" w:color="auto"/>
                <w:right w:val="none" w:sz="0" w:space="0" w:color="auto"/>
              </w:divBdr>
            </w:div>
            <w:div w:id="192428338">
              <w:marLeft w:val="0"/>
              <w:marRight w:val="0"/>
              <w:marTop w:val="0"/>
              <w:marBottom w:val="0"/>
              <w:divBdr>
                <w:top w:val="none" w:sz="0" w:space="0" w:color="auto"/>
                <w:left w:val="none" w:sz="0" w:space="0" w:color="auto"/>
                <w:bottom w:val="none" w:sz="0" w:space="0" w:color="auto"/>
                <w:right w:val="none" w:sz="0" w:space="0" w:color="auto"/>
              </w:divBdr>
            </w:div>
            <w:div w:id="398405791">
              <w:marLeft w:val="0"/>
              <w:marRight w:val="0"/>
              <w:marTop w:val="0"/>
              <w:marBottom w:val="0"/>
              <w:divBdr>
                <w:top w:val="none" w:sz="0" w:space="0" w:color="auto"/>
                <w:left w:val="none" w:sz="0" w:space="0" w:color="auto"/>
                <w:bottom w:val="none" w:sz="0" w:space="0" w:color="auto"/>
                <w:right w:val="none" w:sz="0" w:space="0" w:color="auto"/>
              </w:divBdr>
            </w:div>
            <w:div w:id="490489932">
              <w:marLeft w:val="0"/>
              <w:marRight w:val="0"/>
              <w:marTop w:val="0"/>
              <w:marBottom w:val="0"/>
              <w:divBdr>
                <w:top w:val="none" w:sz="0" w:space="0" w:color="auto"/>
                <w:left w:val="none" w:sz="0" w:space="0" w:color="auto"/>
                <w:bottom w:val="none" w:sz="0" w:space="0" w:color="auto"/>
                <w:right w:val="none" w:sz="0" w:space="0" w:color="auto"/>
              </w:divBdr>
            </w:div>
            <w:div w:id="509098801">
              <w:marLeft w:val="0"/>
              <w:marRight w:val="0"/>
              <w:marTop w:val="0"/>
              <w:marBottom w:val="0"/>
              <w:divBdr>
                <w:top w:val="none" w:sz="0" w:space="0" w:color="auto"/>
                <w:left w:val="none" w:sz="0" w:space="0" w:color="auto"/>
                <w:bottom w:val="none" w:sz="0" w:space="0" w:color="auto"/>
                <w:right w:val="none" w:sz="0" w:space="0" w:color="auto"/>
              </w:divBdr>
            </w:div>
            <w:div w:id="560484440">
              <w:marLeft w:val="0"/>
              <w:marRight w:val="0"/>
              <w:marTop w:val="0"/>
              <w:marBottom w:val="0"/>
              <w:divBdr>
                <w:top w:val="none" w:sz="0" w:space="0" w:color="auto"/>
                <w:left w:val="none" w:sz="0" w:space="0" w:color="auto"/>
                <w:bottom w:val="none" w:sz="0" w:space="0" w:color="auto"/>
                <w:right w:val="none" w:sz="0" w:space="0" w:color="auto"/>
              </w:divBdr>
            </w:div>
            <w:div w:id="613095367">
              <w:marLeft w:val="0"/>
              <w:marRight w:val="0"/>
              <w:marTop w:val="0"/>
              <w:marBottom w:val="0"/>
              <w:divBdr>
                <w:top w:val="none" w:sz="0" w:space="0" w:color="auto"/>
                <w:left w:val="none" w:sz="0" w:space="0" w:color="auto"/>
                <w:bottom w:val="none" w:sz="0" w:space="0" w:color="auto"/>
                <w:right w:val="none" w:sz="0" w:space="0" w:color="auto"/>
              </w:divBdr>
            </w:div>
            <w:div w:id="622149363">
              <w:marLeft w:val="0"/>
              <w:marRight w:val="0"/>
              <w:marTop w:val="0"/>
              <w:marBottom w:val="0"/>
              <w:divBdr>
                <w:top w:val="none" w:sz="0" w:space="0" w:color="auto"/>
                <w:left w:val="none" w:sz="0" w:space="0" w:color="auto"/>
                <w:bottom w:val="none" w:sz="0" w:space="0" w:color="auto"/>
                <w:right w:val="none" w:sz="0" w:space="0" w:color="auto"/>
              </w:divBdr>
            </w:div>
            <w:div w:id="670331018">
              <w:marLeft w:val="0"/>
              <w:marRight w:val="0"/>
              <w:marTop w:val="0"/>
              <w:marBottom w:val="0"/>
              <w:divBdr>
                <w:top w:val="none" w:sz="0" w:space="0" w:color="auto"/>
                <w:left w:val="none" w:sz="0" w:space="0" w:color="auto"/>
                <w:bottom w:val="none" w:sz="0" w:space="0" w:color="auto"/>
                <w:right w:val="none" w:sz="0" w:space="0" w:color="auto"/>
              </w:divBdr>
            </w:div>
            <w:div w:id="754983552">
              <w:marLeft w:val="0"/>
              <w:marRight w:val="0"/>
              <w:marTop w:val="0"/>
              <w:marBottom w:val="0"/>
              <w:divBdr>
                <w:top w:val="none" w:sz="0" w:space="0" w:color="auto"/>
                <w:left w:val="none" w:sz="0" w:space="0" w:color="auto"/>
                <w:bottom w:val="none" w:sz="0" w:space="0" w:color="auto"/>
                <w:right w:val="none" w:sz="0" w:space="0" w:color="auto"/>
              </w:divBdr>
            </w:div>
            <w:div w:id="842664792">
              <w:marLeft w:val="0"/>
              <w:marRight w:val="0"/>
              <w:marTop w:val="0"/>
              <w:marBottom w:val="0"/>
              <w:divBdr>
                <w:top w:val="none" w:sz="0" w:space="0" w:color="auto"/>
                <w:left w:val="none" w:sz="0" w:space="0" w:color="auto"/>
                <w:bottom w:val="none" w:sz="0" w:space="0" w:color="auto"/>
                <w:right w:val="none" w:sz="0" w:space="0" w:color="auto"/>
              </w:divBdr>
            </w:div>
            <w:div w:id="968626483">
              <w:marLeft w:val="0"/>
              <w:marRight w:val="0"/>
              <w:marTop w:val="0"/>
              <w:marBottom w:val="0"/>
              <w:divBdr>
                <w:top w:val="none" w:sz="0" w:space="0" w:color="auto"/>
                <w:left w:val="none" w:sz="0" w:space="0" w:color="auto"/>
                <w:bottom w:val="none" w:sz="0" w:space="0" w:color="auto"/>
                <w:right w:val="none" w:sz="0" w:space="0" w:color="auto"/>
              </w:divBdr>
            </w:div>
            <w:div w:id="1058211117">
              <w:marLeft w:val="0"/>
              <w:marRight w:val="0"/>
              <w:marTop w:val="0"/>
              <w:marBottom w:val="0"/>
              <w:divBdr>
                <w:top w:val="none" w:sz="0" w:space="0" w:color="auto"/>
                <w:left w:val="none" w:sz="0" w:space="0" w:color="auto"/>
                <w:bottom w:val="none" w:sz="0" w:space="0" w:color="auto"/>
                <w:right w:val="none" w:sz="0" w:space="0" w:color="auto"/>
              </w:divBdr>
            </w:div>
            <w:div w:id="1078939731">
              <w:marLeft w:val="0"/>
              <w:marRight w:val="0"/>
              <w:marTop w:val="0"/>
              <w:marBottom w:val="0"/>
              <w:divBdr>
                <w:top w:val="none" w:sz="0" w:space="0" w:color="auto"/>
                <w:left w:val="none" w:sz="0" w:space="0" w:color="auto"/>
                <w:bottom w:val="none" w:sz="0" w:space="0" w:color="auto"/>
                <w:right w:val="none" w:sz="0" w:space="0" w:color="auto"/>
              </w:divBdr>
            </w:div>
            <w:div w:id="1088774400">
              <w:marLeft w:val="0"/>
              <w:marRight w:val="0"/>
              <w:marTop w:val="0"/>
              <w:marBottom w:val="0"/>
              <w:divBdr>
                <w:top w:val="none" w:sz="0" w:space="0" w:color="auto"/>
                <w:left w:val="none" w:sz="0" w:space="0" w:color="auto"/>
                <w:bottom w:val="none" w:sz="0" w:space="0" w:color="auto"/>
                <w:right w:val="none" w:sz="0" w:space="0" w:color="auto"/>
              </w:divBdr>
            </w:div>
            <w:div w:id="1143426444">
              <w:marLeft w:val="0"/>
              <w:marRight w:val="0"/>
              <w:marTop w:val="0"/>
              <w:marBottom w:val="0"/>
              <w:divBdr>
                <w:top w:val="none" w:sz="0" w:space="0" w:color="auto"/>
                <w:left w:val="none" w:sz="0" w:space="0" w:color="auto"/>
                <w:bottom w:val="none" w:sz="0" w:space="0" w:color="auto"/>
                <w:right w:val="none" w:sz="0" w:space="0" w:color="auto"/>
              </w:divBdr>
            </w:div>
            <w:div w:id="1363559451">
              <w:marLeft w:val="0"/>
              <w:marRight w:val="0"/>
              <w:marTop w:val="0"/>
              <w:marBottom w:val="0"/>
              <w:divBdr>
                <w:top w:val="none" w:sz="0" w:space="0" w:color="auto"/>
                <w:left w:val="none" w:sz="0" w:space="0" w:color="auto"/>
                <w:bottom w:val="none" w:sz="0" w:space="0" w:color="auto"/>
                <w:right w:val="none" w:sz="0" w:space="0" w:color="auto"/>
              </w:divBdr>
            </w:div>
            <w:div w:id="1432041810">
              <w:marLeft w:val="0"/>
              <w:marRight w:val="0"/>
              <w:marTop w:val="0"/>
              <w:marBottom w:val="0"/>
              <w:divBdr>
                <w:top w:val="none" w:sz="0" w:space="0" w:color="auto"/>
                <w:left w:val="none" w:sz="0" w:space="0" w:color="auto"/>
                <w:bottom w:val="none" w:sz="0" w:space="0" w:color="auto"/>
                <w:right w:val="none" w:sz="0" w:space="0" w:color="auto"/>
              </w:divBdr>
            </w:div>
            <w:div w:id="1437215317">
              <w:marLeft w:val="0"/>
              <w:marRight w:val="0"/>
              <w:marTop w:val="0"/>
              <w:marBottom w:val="0"/>
              <w:divBdr>
                <w:top w:val="none" w:sz="0" w:space="0" w:color="auto"/>
                <w:left w:val="none" w:sz="0" w:space="0" w:color="auto"/>
                <w:bottom w:val="none" w:sz="0" w:space="0" w:color="auto"/>
                <w:right w:val="none" w:sz="0" w:space="0" w:color="auto"/>
              </w:divBdr>
            </w:div>
            <w:div w:id="1492671438">
              <w:marLeft w:val="0"/>
              <w:marRight w:val="0"/>
              <w:marTop w:val="0"/>
              <w:marBottom w:val="0"/>
              <w:divBdr>
                <w:top w:val="none" w:sz="0" w:space="0" w:color="auto"/>
                <w:left w:val="none" w:sz="0" w:space="0" w:color="auto"/>
                <w:bottom w:val="none" w:sz="0" w:space="0" w:color="auto"/>
                <w:right w:val="none" w:sz="0" w:space="0" w:color="auto"/>
              </w:divBdr>
            </w:div>
            <w:div w:id="1608152877">
              <w:marLeft w:val="0"/>
              <w:marRight w:val="0"/>
              <w:marTop w:val="0"/>
              <w:marBottom w:val="0"/>
              <w:divBdr>
                <w:top w:val="none" w:sz="0" w:space="0" w:color="auto"/>
                <w:left w:val="none" w:sz="0" w:space="0" w:color="auto"/>
                <w:bottom w:val="none" w:sz="0" w:space="0" w:color="auto"/>
                <w:right w:val="none" w:sz="0" w:space="0" w:color="auto"/>
              </w:divBdr>
            </w:div>
            <w:div w:id="1771050053">
              <w:marLeft w:val="0"/>
              <w:marRight w:val="0"/>
              <w:marTop w:val="0"/>
              <w:marBottom w:val="0"/>
              <w:divBdr>
                <w:top w:val="none" w:sz="0" w:space="0" w:color="auto"/>
                <w:left w:val="none" w:sz="0" w:space="0" w:color="auto"/>
                <w:bottom w:val="none" w:sz="0" w:space="0" w:color="auto"/>
                <w:right w:val="none" w:sz="0" w:space="0" w:color="auto"/>
              </w:divBdr>
            </w:div>
            <w:div w:id="1864511089">
              <w:marLeft w:val="0"/>
              <w:marRight w:val="0"/>
              <w:marTop w:val="0"/>
              <w:marBottom w:val="0"/>
              <w:divBdr>
                <w:top w:val="none" w:sz="0" w:space="0" w:color="auto"/>
                <w:left w:val="none" w:sz="0" w:space="0" w:color="auto"/>
                <w:bottom w:val="none" w:sz="0" w:space="0" w:color="auto"/>
                <w:right w:val="none" w:sz="0" w:space="0" w:color="auto"/>
              </w:divBdr>
            </w:div>
            <w:div w:id="1871144949">
              <w:marLeft w:val="0"/>
              <w:marRight w:val="0"/>
              <w:marTop w:val="0"/>
              <w:marBottom w:val="0"/>
              <w:divBdr>
                <w:top w:val="none" w:sz="0" w:space="0" w:color="auto"/>
                <w:left w:val="none" w:sz="0" w:space="0" w:color="auto"/>
                <w:bottom w:val="none" w:sz="0" w:space="0" w:color="auto"/>
                <w:right w:val="none" w:sz="0" w:space="0" w:color="auto"/>
              </w:divBdr>
            </w:div>
            <w:div w:id="21048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twamui.com/data-fatwa"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jpeg"/><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wDJ02ijs91G2PYpcEpFd7//iSw==">AMUW2mX3jWSZGNFnzRJjEQuNnDNmFuGFKDKPswORxpK7Cat7bNF6sTLGlJDdyu13fuY4hDZ+G4eThoBC9hXn3E/glBjofObTSUd/shBtoVWSWml3B1lXlp5eXA5hG+fd27Fq8mTsz5vD4bUNHpYG5aG1U3Erb2K73g==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98DDB3-D810-4C6B-8806-B19AE74D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19515</Words>
  <Characters>111237</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 Ningrum</dc:creator>
  <cp:keywords/>
  <dc:description/>
  <cp:lastModifiedBy>Uin Fas BKL</cp:lastModifiedBy>
  <cp:revision>8</cp:revision>
  <dcterms:created xsi:type="dcterms:W3CDTF">2024-06-01T03:26:00Z</dcterms:created>
  <dcterms:modified xsi:type="dcterms:W3CDTF">2024-06-01T04:34:00Z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ihsanrahmat@iainbengkulu.ac.id@www.mendeley.com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http://www.zotero.org/styles/cardiff-university-harvard</vt:lpwstr>
  </property>
  <property fmtid="{D5CDD505-2E9C-101B-9397-08002B2CF9AE}" pid="12" name="Mendeley Recent Style Name 3_1">
    <vt:lpwstr>Cardiff University - Harvard</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