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4262"/>
        <w:gridCol w:w="3093"/>
        <w:tblGridChange w:id="0">
          <w:tblGrid>
            <w:gridCol w:w="1995"/>
            <w:gridCol w:w="4262"/>
            <w:gridCol w:w="3093"/>
          </w:tblGrid>
        </w:tblGridChange>
      </w:tblGrid>
      <w:tr>
        <w:trPr>
          <w:cantSplit w:val="0"/>
          <w:tblHeader w:val="0"/>
        </w:trPr>
        <w:tc>
          <w:tcPr>
            <w:vMerge w:val="restart"/>
            <w:vAlign w:val="center"/>
          </w:tcPr>
          <w:p w:rsidR="00000000" w:rsidDel="00000000" w:rsidP="00000000" w:rsidRDefault="00000000" w:rsidRPr="00000000" w14:paraId="00000002">
            <w:pPr>
              <w:spacing w:after="0" w:line="360" w:lineRule="auto"/>
              <w:jc w:val="center"/>
              <w:rPr>
                <w:rFonts w:ascii="Arial" w:cs="Arial" w:eastAsia="Arial" w:hAnsi="Arial"/>
                <w:b w:val="1"/>
                <w:color w:val="1f497d"/>
              </w:rPr>
            </w:pPr>
            <w:r w:rsidDel="00000000" w:rsidR="00000000" w:rsidRPr="00000000">
              <w:rPr>
                <w:rFonts w:ascii="Arial" w:cs="Arial" w:eastAsia="Arial" w:hAnsi="Arial"/>
                <w:b w:val="1"/>
                <w:color w:val="1f497d"/>
              </w:rPr>
              <w:drawing>
                <wp:inline distB="0" distT="0" distL="0" distR="0">
                  <wp:extent cx="1093951" cy="1009333"/>
                  <wp:effectExtent b="0" l="0" r="0" t="0"/>
                  <wp:docPr id="84240920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3951" cy="1009333"/>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03">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UNIVERSITAS ISLAM NEGERI FATMAWATI SUKARNO BENGKULU</w:t>
            </w:r>
          </w:p>
        </w:tc>
        <w:tc>
          <w:tcPr/>
          <w:p w:rsidR="00000000" w:rsidDel="00000000" w:rsidP="00000000" w:rsidRDefault="00000000" w:rsidRPr="00000000" w14:paraId="00000004">
            <w:pPr>
              <w:spacing w:after="0" w:line="360" w:lineRule="auto"/>
              <w:rPr>
                <w:rFonts w:ascii="Arial" w:cs="Arial" w:eastAsia="Arial" w:hAnsi="Arial"/>
              </w:rPr>
            </w:pPr>
            <w:r w:rsidDel="00000000" w:rsidR="00000000" w:rsidRPr="00000000">
              <w:rPr>
                <w:rFonts w:ascii="Arial" w:cs="Arial" w:eastAsia="Arial" w:hAnsi="Arial"/>
                <w:rtl w:val="0"/>
              </w:rPr>
              <w:t xml:space="preserve">No. Dokumen :</w:t>
            </w:r>
          </w:p>
        </w:tc>
      </w:tr>
      <w:tr>
        <w:trPr>
          <w:cantSplit w:val="0"/>
          <w:tblHeader w:val="0"/>
        </w:trPr>
        <w:tc>
          <w:tcPr>
            <w:vMerge w:val="continue"/>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07">
            <w:pPr>
              <w:spacing w:after="0" w:line="360" w:lineRule="auto"/>
              <w:rPr>
                <w:rFonts w:ascii="Arial" w:cs="Arial" w:eastAsia="Arial" w:hAnsi="Arial"/>
              </w:rPr>
            </w:pPr>
            <w:r w:rsidDel="00000000" w:rsidR="00000000" w:rsidRPr="00000000">
              <w:rPr>
                <w:rFonts w:ascii="Arial" w:cs="Arial" w:eastAsia="Arial" w:hAnsi="Arial"/>
                <w:rtl w:val="0"/>
              </w:rPr>
              <w:t xml:space="preserve">Tanggal :</w:t>
            </w:r>
          </w:p>
        </w:tc>
      </w:tr>
      <w:tr>
        <w:trPr>
          <w:cantSplit w:val="0"/>
          <w:tblHeader w:val="0"/>
        </w:trPr>
        <w:tc>
          <w:tcPr>
            <w:vMerge w:val="continue"/>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009">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STANDAR PENDIDIKAN TINGGI</w:t>
            </w:r>
          </w:p>
        </w:tc>
        <w:tc>
          <w:tcPr/>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Fonts w:ascii="Arial" w:cs="Arial" w:eastAsia="Arial" w:hAnsi="Arial"/>
                <w:rtl w:val="0"/>
              </w:rPr>
              <w:t xml:space="preserve">Revisi : 0</w:t>
            </w:r>
          </w:p>
        </w:tc>
      </w:tr>
      <w:tr>
        <w:trPr>
          <w:cantSplit w:val="0"/>
          <w:trHeight w:val="917" w:hRule="atLeast"/>
          <w:tblHeader w:val="0"/>
        </w:trPr>
        <w:tc>
          <w:tcPr>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0D">
            <w:pPr>
              <w:spacing w:after="0" w:line="360" w:lineRule="auto"/>
              <w:rPr>
                <w:rFonts w:ascii="Arial" w:cs="Arial" w:eastAsia="Arial" w:hAnsi="Arial"/>
              </w:rPr>
            </w:pPr>
            <w:r w:rsidDel="00000000" w:rsidR="00000000" w:rsidRPr="00000000">
              <w:rPr>
                <w:rFonts w:ascii="Arial" w:cs="Arial" w:eastAsia="Arial" w:hAnsi="Arial"/>
                <w:rtl w:val="0"/>
              </w:rPr>
              <w:t xml:space="preserve">Halaman : 1 dari 10</w:t>
            </w:r>
          </w:p>
        </w:tc>
      </w:tr>
    </w:tbl>
    <w:p w:rsidR="00000000" w:rsidDel="00000000" w:rsidP="00000000" w:rsidRDefault="00000000" w:rsidRPr="00000000" w14:paraId="0000000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36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11">
      <w:pPr>
        <w:spacing w:after="0" w:line="36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STANDAR PROSES PEMBELAJARAN</w:t>
      </w:r>
    </w:p>
    <w:p w:rsidR="00000000" w:rsidDel="00000000" w:rsidP="00000000" w:rsidRDefault="00000000" w:rsidRPr="00000000" w14:paraId="0000001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710"/>
        <w:gridCol w:w="1440"/>
        <w:gridCol w:w="1710"/>
        <w:gridCol w:w="1413"/>
        <w:tblGridChange w:id="0">
          <w:tblGrid>
            <w:gridCol w:w="3078"/>
            <w:gridCol w:w="1710"/>
            <w:gridCol w:w="1440"/>
            <w:gridCol w:w="1710"/>
            <w:gridCol w:w="1413"/>
          </w:tblGrid>
        </w:tblGridChange>
      </w:tblGrid>
      <w:tr>
        <w:trPr>
          <w:cantSplit w:val="0"/>
          <w:tblHeader w:val="0"/>
        </w:trPr>
        <w:tc>
          <w:tcPr>
            <w:vMerge w:val="restart"/>
            <w:shd w:fill="auto" w:val="clear"/>
            <w:vAlign w:val="center"/>
          </w:tcPr>
          <w:p w:rsidR="00000000" w:rsidDel="00000000" w:rsidP="00000000" w:rsidRDefault="00000000" w:rsidRPr="00000000" w14:paraId="00000016">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Proses</w:t>
            </w:r>
          </w:p>
        </w:tc>
        <w:tc>
          <w:tcPr>
            <w:gridSpan w:val="3"/>
            <w:shd w:fill="auto" w:val="clear"/>
            <w:vAlign w:val="center"/>
          </w:tcPr>
          <w:p w:rsidR="00000000" w:rsidDel="00000000" w:rsidP="00000000" w:rsidRDefault="00000000" w:rsidRPr="00000000" w14:paraId="00000017">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Penanggungjawab</w:t>
            </w:r>
          </w:p>
        </w:tc>
        <w:tc>
          <w:tcPr>
            <w:vMerge w:val="restart"/>
            <w:shd w:fill="auto" w:val="clear"/>
            <w:vAlign w:val="center"/>
          </w:tcPr>
          <w:p w:rsidR="00000000" w:rsidDel="00000000" w:rsidP="00000000" w:rsidRDefault="00000000" w:rsidRPr="00000000" w14:paraId="0000001A">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Tanggal</w:t>
            </w:r>
          </w:p>
        </w:tc>
      </w:tr>
      <w:tr>
        <w:trPr>
          <w:cantSplit w:val="0"/>
          <w:tblHeader w:val="0"/>
        </w:trPr>
        <w:tc>
          <w:tcPr>
            <w:vMerge w:val="continue"/>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1C">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Nama</w:t>
            </w:r>
          </w:p>
        </w:tc>
        <w:tc>
          <w:tcPr>
            <w:shd w:fill="auto" w:val="clear"/>
            <w:vAlign w:val="center"/>
          </w:tcPr>
          <w:p w:rsidR="00000000" w:rsidDel="00000000" w:rsidP="00000000" w:rsidRDefault="00000000" w:rsidRPr="00000000" w14:paraId="0000001D">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Jabatan</w:t>
            </w:r>
          </w:p>
        </w:tc>
        <w:tc>
          <w:tcPr>
            <w:shd w:fill="auto" w:val="clear"/>
            <w:vAlign w:val="center"/>
          </w:tcPr>
          <w:p w:rsidR="00000000" w:rsidDel="00000000" w:rsidP="00000000" w:rsidRDefault="00000000" w:rsidRPr="00000000" w14:paraId="0000001E">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Tanda Tangan</w:t>
            </w:r>
          </w:p>
        </w:tc>
        <w:tc>
          <w:tcPr>
            <w:vMerge w:val="continue"/>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numPr>
                <w:ilvl w:val="0"/>
                <w:numId w:val="4"/>
              </w:numPr>
              <w:spacing w:after="0" w:line="360" w:lineRule="auto"/>
              <w:ind w:left="270" w:hanging="720"/>
              <w:rPr>
                <w:rFonts w:ascii="Arial" w:cs="Arial" w:eastAsia="Arial" w:hAnsi="Arial"/>
              </w:rPr>
            </w:pPr>
            <w:r w:rsidDel="00000000" w:rsidR="00000000" w:rsidRPr="00000000">
              <w:rPr>
                <w:rFonts w:ascii="Arial" w:cs="Arial" w:eastAsia="Arial" w:hAnsi="Arial"/>
                <w:rtl w:val="0"/>
              </w:rPr>
              <w:t xml:space="preserve">Perumusan</w:t>
            </w:r>
          </w:p>
        </w:tc>
        <w:tc>
          <w:tcPr>
            <w:shd w:fill="auto" w:val="clear"/>
          </w:tcPr>
          <w:p w:rsidR="00000000" w:rsidDel="00000000" w:rsidP="00000000" w:rsidRDefault="00000000" w:rsidRPr="00000000" w14:paraId="00000021">
            <w:pPr>
              <w:spacing w:after="0" w:line="360" w:lineRule="auto"/>
              <w:rPr>
                <w:rFonts w:ascii="Arial" w:cs="Arial" w:eastAsia="Arial" w:hAnsi="Arial"/>
              </w:rPr>
            </w:pPr>
            <w:r w:rsidDel="00000000" w:rsidR="00000000" w:rsidRPr="00000000">
              <w:rPr>
                <w:rFonts w:ascii="Arial" w:cs="Arial" w:eastAsia="Arial" w:hAnsi="Arial"/>
                <w:rtl w:val="0"/>
              </w:rPr>
              <w:t xml:space="preserve">Tim adhoc</w:t>
            </w:r>
          </w:p>
        </w:tc>
        <w:tc>
          <w:tcPr>
            <w:shd w:fill="auto" w:val="clear"/>
          </w:tcPr>
          <w:p w:rsidR="00000000" w:rsidDel="00000000" w:rsidP="00000000" w:rsidRDefault="00000000" w:rsidRPr="00000000" w14:paraId="00000022">
            <w:pPr>
              <w:spacing w:after="0" w:line="360" w:lineRule="auto"/>
              <w:rPr>
                <w:rFonts w:ascii="Arial" w:cs="Arial" w:eastAsia="Arial" w:hAnsi="Arial"/>
              </w:rPr>
            </w:pPr>
            <w:r w:rsidDel="00000000" w:rsidR="00000000" w:rsidRPr="00000000">
              <w:rPr>
                <w:rFonts w:ascii="Arial" w:cs="Arial" w:eastAsia="Arial" w:hAnsi="Arial"/>
                <w:rtl w:val="0"/>
              </w:rPr>
              <w:t xml:space="preserve">Ketua: </w:t>
            </w:r>
            <w:r w:rsidDel="00000000" w:rsidR="00000000" w:rsidRPr="00000000">
              <w:rPr>
                <w:rFonts w:ascii="Arial" w:cs="Arial" w:eastAsia="Arial" w:hAnsi="Arial"/>
                <w:color w:val="ff0000"/>
                <w:rtl w:val="0"/>
              </w:rPr>
              <w:t xml:space="preserve">Fauzan</w:t>
            </w:r>
            <w:r w:rsidDel="00000000" w:rsidR="00000000" w:rsidRPr="00000000">
              <w:rPr>
                <w:rtl w:val="0"/>
              </w:rPr>
            </w:r>
          </w:p>
          <w:p w:rsidR="00000000" w:rsidDel="00000000" w:rsidP="00000000" w:rsidRDefault="00000000" w:rsidRPr="00000000" w14:paraId="00000023">
            <w:pPr>
              <w:spacing w:after="0" w:line="360" w:lineRule="auto"/>
              <w:rPr>
                <w:rFonts w:ascii="Arial" w:cs="Arial" w:eastAsia="Arial" w:hAnsi="Arial"/>
                <w:color w:val="ff0000"/>
              </w:rPr>
            </w:pPr>
            <w:r w:rsidDel="00000000" w:rsidR="00000000" w:rsidRPr="00000000">
              <w:rPr>
                <w:rFonts w:ascii="Arial" w:cs="Arial" w:eastAsia="Arial" w:hAnsi="Arial"/>
                <w:rtl w:val="0"/>
              </w:rPr>
              <w:t xml:space="preserve">Anggota: </w:t>
            </w:r>
            <w:r w:rsidDel="00000000" w:rsidR="00000000" w:rsidRPr="00000000">
              <w:rPr>
                <w:rFonts w:ascii="Arial" w:cs="Arial" w:eastAsia="Arial" w:hAnsi="Arial"/>
                <w:color w:val="ff0000"/>
                <w:rtl w:val="0"/>
              </w:rPr>
              <w:t xml:space="preserve">Aisyah</w:t>
            </w:r>
          </w:p>
          <w:p w:rsidR="00000000" w:rsidDel="00000000" w:rsidP="00000000" w:rsidRDefault="00000000" w:rsidRPr="00000000" w14:paraId="00000024">
            <w:pPr>
              <w:spacing w:after="0" w:line="360" w:lineRule="auto"/>
              <w:rPr>
                <w:rFonts w:ascii="Arial" w:cs="Arial" w:eastAsia="Arial" w:hAnsi="Arial"/>
              </w:rPr>
            </w:pPr>
            <w:r w:rsidDel="00000000" w:rsidR="00000000" w:rsidRPr="00000000">
              <w:rPr>
                <w:rFonts w:ascii="Arial" w:cs="Arial" w:eastAsia="Arial" w:hAnsi="Arial"/>
                <w:color w:val="ff0000"/>
                <w:rtl w:val="0"/>
              </w:rPr>
              <w:t xml:space="preserve">Fatimah</w:t>
            </w:r>
            <w:r w:rsidDel="00000000" w:rsidR="00000000" w:rsidRPr="00000000">
              <w:rPr>
                <w:rtl w:val="0"/>
              </w:rPr>
            </w:r>
          </w:p>
        </w:tc>
        <w:tc>
          <w:tcPr>
            <w:shd w:fill="auto" w:val="clear"/>
          </w:tcPr>
          <w:p w:rsidR="00000000" w:rsidDel="00000000" w:rsidP="00000000" w:rsidRDefault="00000000" w:rsidRPr="00000000" w14:paraId="00000025">
            <w:pPr>
              <w:spacing w:after="0" w:line="360"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26">
            <w:pPr>
              <w:spacing w:after="0" w:line="360" w:lineRule="auto"/>
              <w:jc w:val="cente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numPr>
                <w:ilvl w:val="0"/>
                <w:numId w:val="4"/>
              </w:numPr>
              <w:spacing w:after="0" w:line="360" w:lineRule="auto"/>
              <w:ind w:left="270" w:hanging="720"/>
              <w:rPr>
                <w:rFonts w:ascii="Arial" w:cs="Arial" w:eastAsia="Arial" w:hAnsi="Arial"/>
              </w:rPr>
            </w:pPr>
            <w:r w:rsidDel="00000000" w:rsidR="00000000" w:rsidRPr="00000000">
              <w:rPr>
                <w:rFonts w:ascii="Arial" w:cs="Arial" w:eastAsia="Arial" w:hAnsi="Arial"/>
                <w:rtl w:val="0"/>
              </w:rPr>
              <w:t xml:space="preserve">Pemeriksaan </w:t>
            </w:r>
          </w:p>
        </w:tc>
        <w:tc>
          <w:tcPr>
            <w:shd w:fill="auto" w:val="clear"/>
          </w:tcPr>
          <w:p w:rsidR="00000000" w:rsidDel="00000000" w:rsidP="00000000" w:rsidRDefault="00000000" w:rsidRPr="00000000" w14:paraId="00000028">
            <w:pPr>
              <w:spacing w:after="0" w:line="360" w:lineRule="auto"/>
              <w:rPr>
                <w:rFonts w:ascii="Arial" w:cs="Arial" w:eastAsia="Arial" w:hAnsi="Arial"/>
              </w:rPr>
            </w:pPr>
            <w:r w:rsidDel="00000000" w:rsidR="00000000" w:rsidRPr="00000000">
              <w:rPr>
                <w:rFonts w:ascii="Arial" w:cs="Arial" w:eastAsia="Arial" w:hAnsi="Arial"/>
                <w:rtl w:val="0"/>
              </w:rPr>
              <w:t xml:space="preserve">Tim Adhoc</w:t>
            </w:r>
          </w:p>
        </w:tc>
        <w:tc>
          <w:tcPr>
            <w:shd w:fill="auto" w:val="clear"/>
          </w:tcPr>
          <w:p w:rsidR="00000000" w:rsidDel="00000000" w:rsidP="00000000" w:rsidRDefault="00000000" w:rsidRPr="00000000" w14:paraId="00000029">
            <w:pPr>
              <w:spacing w:after="0" w:line="360" w:lineRule="auto"/>
              <w:rPr>
                <w:rFonts w:ascii="Arial" w:cs="Arial" w:eastAsia="Arial" w:hAnsi="Arial"/>
              </w:rPr>
            </w:pPr>
            <w:r w:rsidDel="00000000" w:rsidR="00000000" w:rsidRPr="00000000">
              <w:rPr>
                <w:rFonts w:ascii="Arial" w:cs="Arial" w:eastAsia="Arial" w:hAnsi="Arial"/>
                <w:rtl w:val="0"/>
              </w:rPr>
              <w:t xml:space="preserve">Ketua: </w:t>
            </w:r>
            <w:r w:rsidDel="00000000" w:rsidR="00000000" w:rsidRPr="00000000">
              <w:rPr>
                <w:rFonts w:ascii="Arial" w:cs="Arial" w:eastAsia="Arial" w:hAnsi="Arial"/>
                <w:color w:val="ff0000"/>
                <w:rtl w:val="0"/>
              </w:rPr>
              <w:t xml:space="preserve">Al</w:t>
            </w:r>
            <w:r w:rsidDel="00000000" w:rsidR="00000000" w:rsidRPr="00000000">
              <w:rPr>
                <w:rFonts w:ascii="Arial" w:cs="Arial" w:eastAsia="Arial" w:hAnsi="Arial"/>
                <w:rtl w:val="0"/>
              </w:rPr>
              <w:t xml:space="preserve">i</w:t>
            </w:r>
          </w:p>
          <w:p w:rsidR="00000000" w:rsidDel="00000000" w:rsidP="00000000" w:rsidRDefault="00000000" w:rsidRPr="00000000" w14:paraId="0000002A">
            <w:pPr>
              <w:spacing w:after="0" w:line="360" w:lineRule="auto"/>
              <w:rPr>
                <w:rFonts w:ascii="Arial" w:cs="Arial" w:eastAsia="Arial" w:hAnsi="Arial"/>
                <w:color w:val="ff0000"/>
              </w:rPr>
            </w:pPr>
            <w:r w:rsidDel="00000000" w:rsidR="00000000" w:rsidRPr="00000000">
              <w:rPr>
                <w:rFonts w:ascii="Arial" w:cs="Arial" w:eastAsia="Arial" w:hAnsi="Arial"/>
                <w:rtl w:val="0"/>
              </w:rPr>
              <w:t xml:space="preserve">Anggota: </w:t>
            </w:r>
            <w:r w:rsidDel="00000000" w:rsidR="00000000" w:rsidRPr="00000000">
              <w:rPr>
                <w:rFonts w:ascii="Arial" w:cs="Arial" w:eastAsia="Arial" w:hAnsi="Arial"/>
                <w:color w:val="ff0000"/>
                <w:rtl w:val="0"/>
              </w:rPr>
              <w:t xml:space="preserve">Zainab</w:t>
            </w:r>
          </w:p>
          <w:p w:rsidR="00000000" w:rsidDel="00000000" w:rsidP="00000000" w:rsidRDefault="00000000" w:rsidRPr="00000000" w14:paraId="0000002B">
            <w:pPr>
              <w:spacing w:after="0" w:line="360" w:lineRule="auto"/>
              <w:rPr>
                <w:rFonts w:ascii="Arial" w:cs="Arial" w:eastAsia="Arial" w:hAnsi="Arial"/>
              </w:rPr>
            </w:pPr>
            <w:r w:rsidDel="00000000" w:rsidR="00000000" w:rsidRPr="00000000">
              <w:rPr>
                <w:rFonts w:ascii="Arial" w:cs="Arial" w:eastAsia="Arial" w:hAnsi="Arial"/>
                <w:color w:val="ff0000"/>
                <w:rtl w:val="0"/>
              </w:rPr>
              <w:t xml:space="preserve">Abu Lahab</w:t>
            </w:r>
            <w:r w:rsidDel="00000000" w:rsidR="00000000" w:rsidRPr="00000000">
              <w:rPr>
                <w:rtl w:val="0"/>
              </w:rPr>
            </w:r>
          </w:p>
        </w:tc>
        <w:tc>
          <w:tcPr>
            <w:shd w:fill="auto" w:val="clear"/>
          </w:tcPr>
          <w:p w:rsidR="00000000" w:rsidDel="00000000" w:rsidP="00000000" w:rsidRDefault="00000000" w:rsidRPr="00000000" w14:paraId="0000002C">
            <w:pPr>
              <w:spacing w:after="0"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2D">
            <w:pPr>
              <w:spacing w:after="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numPr>
                <w:ilvl w:val="0"/>
                <w:numId w:val="4"/>
              </w:numPr>
              <w:spacing w:after="0" w:line="360" w:lineRule="auto"/>
              <w:ind w:left="270" w:hanging="720"/>
              <w:rPr>
                <w:rFonts w:ascii="Arial" w:cs="Arial" w:eastAsia="Arial" w:hAnsi="Arial"/>
              </w:rPr>
            </w:pPr>
            <w:r w:rsidDel="00000000" w:rsidR="00000000" w:rsidRPr="00000000">
              <w:rPr>
                <w:rFonts w:ascii="Arial" w:cs="Arial" w:eastAsia="Arial" w:hAnsi="Arial"/>
                <w:rtl w:val="0"/>
              </w:rPr>
              <w:t xml:space="preserve">Persetujuan</w:t>
            </w:r>
          </w:p>
        </w:tc>
        <w:tc>
          <w:tcPr>
            <w:shd w:fill="auto" w:val="clear"/>
          </w:tcPr>
          <w:p w:rsidR="00000000" w:rsidDel="00000000" w:rsidP="00000000" w:rsidRDefault="00000000" w:rsidRPr="00000000" w14:paraId="0000002F">
            <w:pPr>
              <w:spacing w:after="0" w:line="360" w:lineRule="auto"/>
              <w:rPr>
                <w:rFonts w:ascii="Arial" w:cs="Arial" w:eastAsia="Arial" w:hAnsi="Arial"/>
              </w:rPr>
            </w:pPr>
            <w:r w:rsidDel="00000000" w:rsidR="00000000" w:rsidRPr="00000000">
              <w:rPr>
                <w:rFonts w:ascii="Arial" w:cs="Arial" w:eastAsia="Arial" w:hAnsi="Arial"/>
                <w:rtl w:val="0"/>
              </w:rPr>
              <w:t xml:space="preserve">Senat</w:t>
            </w:r>
          </w:p>
        </w:tc>
        <w:tc>
          <w:tcPr>
            <w:shd w:fill="auto" w:val="clear"/>
          </w:tcPr>
          <w:p w:rsidR="00000000" w:rsidDel="00000000" w:rsidP="00000000" w:rsidRDefault="00000000" w:rsidRPr="00000000" w14:paraId="00000030">
            <w:pPr>
              <w:spacing w:after="0" w:line="360" w:lineRule="auto"/>
              <w:rPr>
                <w:rFonts w:ascii="Arial" w:cs="Arial" w:eastAsia="Arial" w:hAnsi="Arial"/>
              </w:rPr>
            </w:pPr>
            <w:r w:rsidDel="00000000" w:rsidR="00000000" w:rsidRPr="00000000">
              <w:rPr>
                <w:rFonts w:ascii="Arial" w:cs="Arial" w:eastAsia="Arial" w:hAnsi="Arial"/>
                <w:rtl w:val="0"/>
              </w:rPr>
              <w:t xml:space="preserve">Ketua Senat</w:t>
            </w:r>
          </w:p>
        </w:tc>
        <w:tc>
          <w:tcPr>
            <w:shd w:fill="auto" w:val="clear"/>
          </w:tcPr>
          <w:p w:rsidR="00000000" w:rsidDel="00000000" w:rsidP="00000000" w:rsidRDefault="00000000" w:rsidRPr="00000000" w14:paraId="00000031">
            <w:pPr>
              <w:spacing w:after="0"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2">
            <w:pPr>
              <w:spacing w:after="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numPr>
                <w:ilvl w:val="0"/>
                <w:numId w:val="4"/>
              </w:numPr>
              <w:spacing w:after="0" w:line="360" w:lineRule="auto"/>
              <w:ind w:left="270" w:hanging="720"/>
              <w:rPr>
                <w:rFonts w:ascii="Arial" w:cs="Arial" w:eastAsia="Arial" w:hAnsi="Arial"/>
              </w:rPr>
            </w:pPr>
            <w:r w:rsidDel="00000000" w:rsidR="00000000" w:rsidRPr="00000000">
              <w:rPr>
                <w:rFonts w:ascii="Arial" w:cs="Arial" w:eastAsia="Arial" w:hAnsi="Arial"/>
                <w:rtl w:val="0"/>
              </w:rPr>
              <w:t xml:space="preserve">Penetapan</w:t>
            </w:r>
          </w:p>
        </w:tc>
        <w:tc>
          <w:tcPr>
            <w:shd w:fill="auto" w:val="clear"/>
          </w:tcPr>
          <w:p w:rsidR="00000000" w:rsidDel="00000000" w:rsidP="00000000" w:rsidRDefault="00000000" w:rsidRPr="00000000" w14:paraId="00000034">
            <w:pPr>
              <w:spacing w:after="0" w:line="360" w:lineRule="auto"/>
              <w:rPr>
                <w:rFonts w:ascii="Arial" w:cs="Arial" w:eastAsia="Arial" w:hAnsi="Arial"/>
              </w:rPr>
            </w:pPr>
            <w:r w:rsidDel="00000000" w:rsidR="00000000" w:rsidRPr="00000000">
              <w:rPr>
                <w:rFonts w:ascii="Arial" w:cs="Arial" w:eastAsia="Arial" w:hAnsi="Arial"/>
                <w:rtl w:val="0"/>
              </w:rPr>
              <w:t xml:space="preserve">Pimpinan</w:t>
            </w:r>
          </w:p>
        </w:tc>
        <w:tc>
          <w:tcPr>
            <w:shd w:fill="auto" w:val="clear"/>
          </w:tcPr>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Fonts w:ascii="Arial" w:cs="Arial" w:eastAsia="Arial" w:hAnsi="Arial"/>
                <w:rtl w:val="0"/>
              </w:rPr>
              <w:t xml:space="preserve">Rektor</w:t>
            </w:r>
          </w:p>
        </w:tc>
        <w:tc>
          <w:tcPr>
            <w:shd w:fill="auto" w:val="clear"/>
          </w:tcPr>
          <w:p w:rsidR="00000000" w:rsidDel="00000000" w:rsidP="00000000" w:rsidRDefault="00000000" w:rsidRPr="00000000" w14:paraId="00000036">
            <w:pPr>
              <w:spacing w:after="0"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numPr>
                <w:ilvl w:val="0"/>
                <w:numId w:val="4"/>
              </w:numPr>
              <w:spacing w:after="0" w:line="360" w:lineRule="auto"/>
              <w:ind w:left="270" w:hanging="720"/>
              <w:rPr>
                <w:rFonts w:ascii="Arial" w:cs="Arial" w:eastAsia="Arial" w:hAnsi="Arial"/>
              </w:rPr>
            </w:pPr>
            <w:r w:rsidDel="00000000" w:rsidR="00000000" w:rsidRPr="00000000">
              <w:rPr>
                <w:rFonts w:ascii="Arial" w:cs="Arial" w:eastAsia="Arial" w:hAnsi="Arial"/>
                <w:rtl w:val="0"/>
              </w:rPr>
              <w:t xml:space="preserve">Pengendalian</w:t>
            </w:r>
          </w:p>
        </w:tc>
        <w:tc>
          <w:tcPr>
            <w:shd w:fill="auto" w:val="clear"/>
          </w:tcPr>
          <w:p w:rsidR="00000000" w:rsidDel="00000000" w:rsidP="00000000" w:rsidRDefault="00000000" w:rsidRPr="00000000" w14:paraId="00000039">
            <w:pPr>
              <w:spacing w:after="0" w:line="360" w:lineRule="auto"/>
              <w:rPr>
                <w:rFonts w:ascii="Arial" w:cs="Arial" w:eastAsia="Arial" w:hAnsi="Arial"/>
              </w:rPr>
            </w:pPr>
            <w:r w:rsidDel="00000000" w:rsidR="00000000" w:rsidRPr="00000000">
              <w:rPr>
                <w:rFonts w:ascii="Arial" w:cs="Arial" w:eastAsia="Arial" w:hAnsi="Arial"/>
                <w:rtl w:val="0"/>
              </w:rPr>
              <w:t xml:space="preserve">LPM</w:t>
            </w:r>
          </w:p>
        </w:tc>
        <w:tc>
          <w:tcPr>
            <w:shd w:fill="auto" w:val="clear"/>
          </w:tcPr>
          <w:p w:rsidR="00000000" w:rsidDel="00000000" w:rsidP="00000000" w:rsidRDefault="00000000" w:rsidRPr="00000000" w14:paraId="0000003A">
            <w:pPr>
              <w:spacing w:after="0" w:line="360" w:lineRule="auto"/>
              <w:rPr>
                <w:rFonts w:ascii="Arial" w:cs="Arial" w:eastAsia="Arial" w:hAnsi="Arial"/>
              </w:rPr>
            </w:pPr>
            <w:r w:rsidDel="00000000" w:rsidR="00000000" w:rsidRPr="00000000">
              <w:rPr>
                <w:rFonts w:ascii="Arial" w:cs="Arial" w:eastAsia="Arial" w:hAnsi="Arial"/>
                <w:rtl w:val="0"/>
              </w:rPr>
              <w:t xml:space="preserve">Ketua</w:t>
            </w:r>
          </w:p>
        </w:tc>
        <w:tc>
          <w:tcPr>
            <w:shd w:fill="auto" w:val="clear"/>
          </w:tcPr>
          <w:p w:rsidR="00000000" w:rsidDel="00000000" w:rsidP="00000000" w:rsidRDefault="00000000" w:rsidRPr="00000000" w14:paraId="0000003B">
            <w:pPr>
              <w:spacing w:after="0"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C">
            <w:pPr>
              <w:spacing w:after="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3"/>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230"/>
        <w:tblGridChange w:id="0">
          <w:tblGrid>
            <w:gridCol w:w="2268"/>
            <w:gridCol w:w="7230"/>
          </w:tblGrid>
        </w:tblGridChange>
      </w:tblGrid>
      <w:tr>
        <w:trPr>
          <w:cantSplit w:val="0"/>
          <w:trHeight w:val="2757" w:hRule="atLeast"/>
          <w:tblHeader w:val="0"/>
        </w:trPr>
        <w:tc>
          <w:tcPr>
            <w:shd w:fill="auto" w:val="clear"/>
          </w:tcPr>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Visi, Misi, Tujuan, dan Nilai-nilai PT</w:t>
            </w:r>
          </w:p>
        </w:tc>
        <w:tc>
          <w:tcPr>
            <w:shd w:fill="auto" w:val="clear"/>
          </w:tcPr>
          <w:p w:rsidR="00000000" w:rsidDel="00000000" w:rsidP="00000000" w:rsidRDefault="00000000" w:rsidRPr="00000000" w14:paraId="00000044">
            <w:pPr>
              <w:spacing w:after="120" w:before="120" w:line="276" w:lineRule="auto"/>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Visi PT</w:t>
            </w:r>
          </w:p>
          <w:p w:rsidR="00000000" w:rsidDel="00000000" w:rsidP="00000000" w:rsidRDefault="00000000" w:rsidRPr="00000000" w14:paraId="00000045">
            <w:pPr>
              <w:spacing w:after="120" w:before="120" w:line="276" w:lineRule="auto"/>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Menjadi pusat Studi Islam dan peradaban berwawasan kebangsaan dalam membangun masyarakat yang saleh, moderat, cerdas, dan unggul</w:t>
            </w:r>
          </w:p>
          <w:p w:rsidR="00000000" w:rsidDel="00000000" w:rsidP="00000000" w:rsidRDefault="00000000" w:rsidRPr="00000000" w14:paraId="00000046">
            <w:pPr>
              <w:spacing w:after="120" w:before="120" w:line="276"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7">
            <w:pPr>
              <w:spacing w:after="120" w:before="120" w:line="276" w:lineRule="auto"/>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Misi PT</w:t>
            </w:r>
          </w:p>
          <w:p w:rsidR="00000000" w:rsidDel="00000000" w:rsidP="00000000" w:rsidRDefault="00000000" w:rsidRPr="00000000" w14:paraId="00000048">
            <w:pPr>
              <w:numPr>
                <w:ilvl w:val="0"/>
                <w:numId w:val="51"/>
              </w:numPr>
              <w:spacing w:after="120" w:before="120" w:line="276" w:lineRule="auto"/>
              <w:ind w:left="36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Menyelenggarakan pendidikan dan pengajaran yang menghasilkan lulusan sarjana yang ahli dalam ilmu keislaman dan sains, yang saleh, professional, dan moderat yang berwawasan kebangsaan;</w:t>
            </w:r>
          </w:p>
          <w:p w:rsidR="00000000" w:rsidDel="00000000" w:rsidP="00000000" w:rsidRDefault="00000000" w:rsidRPr="00000000" w14:paraId="00000049">
            <w:pPr>
              <w:numPr>
                <w:ilvl w:val="0"/>
                <w:numId w:val="51"/>
              </w:numPr>
              <w:spacing w:after="120" w:before="120" w:line="276" w:lineRule="auto"/>
              <w:ind w:left="36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Meningkatkan kualitas penelitian dan publikasi ilmiah bertaraf nasional dan internasional bereputasi global;</w:t>
            </w:r>
          </w:p>
          <w:p w:rsidR="00000000" w:rsidDel="00000000" w:rsidP="00000000" w:rsidRDefault="00000000" w:rsidRPr="00000000" w14:paraId="0000004A">
            <w:pPr>
              <w:numPr>
                <w:ilvl w:val="0"/>
                <w:numId w:val="51"/>
              </w:numPr>
              <w:spacing w:after="120" w:before="120" w:line="276" w:lineRule="auto"/>
              <w:ind w:left="36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Meningkatkan kualitas pengabdian kepada masyarakat dalam membangun kehidupan sosial yang cerdas, saleh, produktif, dan sejahtera;</w:t>
            </w:r>
          </w:p>
          <w:p w:rsidR="00000000" w:rsidDel="00000000" w:rsidP="00000000" w:rsidRDefault="00000000" w:rsidRPr="00000000" w14:paraId="0000004B">
            <w:pPr>
              <w:numPr>
                <w:ilvl w:val="0"/>
                <w:numId w:val="51"/>
              </w:numPr>
              <w:spacing w:after="120" w:before="120" w:line="276" w:lineRule="auto"/>
              <w:ind w:left="36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Meningkatkan kualitas kerjasama pada tingkat nasional dan internasional dalam mendorong peningkatan daya saing lulusan; dan</w:t>
            </w:r>
          </w:p>
          <w:p w:rsidR="00000000" w:rsidDel="00000000" w:rsidP="00000000" w:rsidRDefault="00000000" w:rsidRPr="00000000" w14:paraId="0000004C">
            <w:pPr>
              <w:numPr>
                <w:ilvl w:val="0"/>
                <w:numId w:val="51"/>
              </w:numPr>
              <w:spacing w:after="120" w:before="120" w:line="276" w:lineRule="auto"/>
              <w:ind w:left="360" w:hanging="36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Memantapkan tata kelola dan kepemimpinan yang adil dalam membangun Universitas yang bersih dan berwibawa</w:t>
            </w:r>
          </w:p>
          <w:p w:rsidR="00000000" w:rsidDel="00000000" w:rsidP="00000000" w:rsidRDefault="00000000" w:rsidRPr="00000000" w14:paraId="0000004D">
            <w:pPr>
              <w:spacing w:after="120" w:before="120" w:line="276"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E">
            <w:pPr>
              <w:spacing w:after="120" w:before="120" w:line="276" w:lineRule="auto"/>
              <w:rPr>
                <w:rFonts w:ascii="Bookman Old Style" w:cs="Bookman Old Style" w:eastAsia="Bookman Old Style" w:hAnsi="Bookman Old Style"/>
                <w:color w:val="000000"/>
              </w:rPr>
            </w:pPr>
            <w:r w:rsidDel="00000000" w:rsidR="00000000" w:rsidRPr="00000000">
              <w:rPr>
                <w:rtl w:val="0"/>
              </w:rPr>
            </w:r>
          </w:p>
        </w:tc>
      </w:tr>
      <w:tr>
        <w:trPr>
          <w:cantSplit w:val="0"/>
          <w:trHeight w:val="1125" w:hRule="atLeast"/>
          <w:tblHeader w:val="0"/>
        </w:trPr>
        <w:tc>
          <w:tcPr>
            <w:shd w:fill="auto" w:val="clear"/>
          </w:tcPr>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Definisi Istilah</w:t>
            </w:r>
          </w:p>
        </w:tc>
        <w:tc>
          <w:tcPr>
            <w:shd w:fill="auto" w:val="clear"/>
          </w:tcPr>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Standar Proses Pembelajaran</w:t>
            </w:r>
            <w:r w:rsidDel="00000000" w:rsidR="00000000" w:rsidRPr="00000000">
              <w:rPr>
                <w:rtl w:val="0"/>
              </w:rPr>
            </w:r>
          </w:p>
          <w:p w:rsidR="00000000" w:rsidDel="00000000" w:rsidP="00000000" w:rsidRDefault="00000000" w:rsidRPr="00000000" w14:paraId="00000051">
            <w:pPr>
              <w:numPr>
                <w:ilvl w:val="0"/>
                <w:numId w:val="39"/>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Kriteria minimal yang harus dipenuhi dalam proses pembelajaran untuk mencapai standar kompetensi lulusan. Ini mencakup perencanaan, pelaksanaan, dan penilaian proses pembelajaran.</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Perencanaan Proses Pembelajaran</w:t>
            </w:r>
            <w:r w:rsidDel="00000000" w:rsidR="00000000" w:rsidRPr="00000000">
              <w:rPr>
                <w:rtl w:val="0"/>
              </w:rPr>
            </w:r>
          </w:p>
          <w:p w:rsidR="00000000" w:rsidDel="00000000" w:rsidP="00000000" w:rsidRDefault="00000000" w:rsidRPr="00000000" w14:paraId="00000053">
            <w:pPr>
              <w:numPr>
                <w:ilvl w:val="0"/>
                <w:numId w:val="41"/>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Kegiatan yang mencakup perumusan capaian pembelajaran, strategi dan metode pembelajaran, serta cara menilai ketercapaian capaian pembelajaran. Perencanaan ini dilakukan oleh dosen dan/atau tim dosen pengampu dalam koordinasi unit pengelola program studi.</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Pelaksanaan Proses Pembelajaran</w:t>
            </w:r>
            <w:r w:rsidDel="00000000" w:rsidR="00000000" w:rsidRPr="00000000">
              <w:rPr>
                <w:rtl w:val="0"/>
              </w:rPr>
            </w:r>
          </w:p>
          <w:p w:rsidR="00000000" w:rsidDel="00000000" w:rsidP="00000000" w:rsidRDefault="00000000" w:rsidRPr="00000000" w14:paraId="00000055">
            <w:pPr>
              <w:numPr>
                <w:ilvl w:val="0"/>
                <w:numId w:val="43"/>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Kegiatan pembelajaran yang dilakukan secara terstruktur sesuai dengan arahan dosen dan/atau tim dosen pengampu dengan menggunakan bentuk, strategi, dan metode pembelajaran tertentu. Pelaksanaan ini harus mengacu pada perencanaan proses pembelajaran dan memanfaatkan sumber pembelajaran yang tepat.</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Penilaian Proses Pembelajaran</w:t>
            </w:r>
            <w:r w:rsidDel="00000000" w:rsidR="00000000" w:rsidRPr="00000000">
              <w:rPr>
                <w:rtl w:val="0"/>
              </w:rPr>
            </w:r>
          </w:p>
          <w:p w:rsidR="00000000" w:rsidDel="00000000" w:rsidP="00000000" w:rsidRDefault="00000000" w:rsidRPr="00000000" w14:paraId="00000057">
            <w:pPr>
              <w:numPr>
                <w:ilvl w:val="0"/>
                <w:numId w:val="4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Kegiatan asesmen terhadap perencanaan dan pelaksanaan proses pembelajaran yang bertujuan untuk memperbaiki dan meningkatkan proses pembelajaran.</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Satuan Kredit Semester (SKS)</w:t>
            </w:r>
            <w:r w:rsidDel="00000000" w:rsidR="00000000" w:rsidRPr="00000000">
              <w:rPr>
                <w:rtl w:val="0"/>
              </w:rPr>
            </w:r>
          </w:p>
          <w:p w:rsidR="00000000" w:rsidDel="00000000" w:rsidP="00000000" w:rsidRDefault="00000000" w:rsidRPr="00000000" w14:paraId="00000059">
            <w:pPr>
              <w:numPr>
                <w:ilvl w:val="0"/>
                <w:numId w:val="13"/>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Takaran waktu kegiatan belajar yang dibebankan pada mahasiswa per minggu per semester dalam proses pembelajaran. Satu satuan kredit semester setara dengan 45 jam per semester.</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Beban Belajar</w:t>
            </w:r>
            <w:r w:rsidDel="00000000" w:rsidR="00000000" w:rsidRPr="00000000">
              <w:rPr>
                <w:rtl w:val="0"/>
              </w:rPr>
            </w:r>
          </w:p>
          <w:p w:rsidR="00000000" w:rsidDel="00000000" w:rsidP="00000000" w:rsidRDefault="00000000" w:rsidRPr="00000000" w14:paraId="0000005B">
            <w:pPr>
              <w:numPr>
                <w:ilvl w:val="0"/>
                <w:numId w:val="14"/>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Jumlah total satuan kredit semester yang harus dipenuhi oleh mahasiswa dalam satu semester atau satu tahun akademik. Beban belajar ini mencakup berbagai bentuk pembelajaran seperti kuliah, praktikum, tugas akhir, dan lainnya.</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Masa Tempuh Kurikulum</w:t>
            </w:r>
            <w:r w:rsidDel="00000000" w:rsidR="00000000" w:rsidRPr="00000000">
              <w:rPr>
                <w:rtl w:val="0"/>
              </w:rPr>
            </w:r>
          </w:p>
          <w:p w:rsidR="00000000" w:rsidDel="00000000" w:rsidP="00000000" w:rsidRDefault="00000000" w:rsidRPr="00000000" w14:paraId="0000005D">
            <w:pPr>
              <w:numPr>
                <w:ilvl w:val="0"/>
                <w:numId w:val="1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Durasi waktu yang diperlukan untuk menyelesaikan program studi dalam semester, yang mencakup waktu normal dan tambahan jika diperlukan.</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Kegiatan Magang</w:t>
            </w:r>
            <w:r w:rsidDel="00000000" w:rsidR="00000000" w:rsidRPr="00000000">
              <w:rPr>
                <w:rtl w:val="0"/>
              </w:rPr>
            </w:r>
          </w:p>
          <w:p w:rsidR="00000000" w:rsidDel="00000000" w:rsidP="00000000" w:rsidRDefault="00000000" w:rsidRPr="00000000" w14:paraId="0000005F">
            <w:pPr>
              <w:numPr>
                <w:ilvl w:val="0"/>
                <w:numId w:val="16"/>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Kegiatan praktikal yang dilakukan oleh mahasiswa di dunia usaha, dunia industri, atau dunia kerja yang relevan dengan program studi. Magang ini bertujuan untuk memberikan pengalaman langsung dan keterampilan praktis.</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Tugas Akhir</w:t>
            </w:r>
            <w:r w:rsidDel="00000000" w:rsidR="00000000" w:rsidRPr="00000000">
              <w:rPr>
                <w:rtl w:val="0"/>
              </w:rPr>
            </w:r>
          </w:p>
          <w:p w:rsidR="00000000" w:rsidDel="00000000" w:rsidP="00000000" w:rsidRDefault="00000000" w:rsidRPr="00000000" w14:paraId="00000061">
            <w:pPr>
              <w:numPr>
                <w:ilvl w:val="0"/>
                <w:numId w:val="2"/>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Kegiatan penilaian akhir yang dilakukan oleh mahasiswa untuk menyelesaikan program studi, yang bisa berupa skripsi, prototipe, proyek, atau bentuk tugas akhir lainnya.</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Kurikulum Berbasis Proyek</w:t>
            </w:r>
            <w:r w:rsidDel="00000000" w:rsidR="00000000" w:rsidRPr="00000000">
              <w:rPr>
                <w:rtl w:val="0"/>
              </w:rPr>
            </w:r>
          </w:p>
          <w:p w:rsidR="00000000" w:rsidDel="00000000" w:rsidP="00000000" w:rsidRDefault="00000000" w:rsidRPr="00000000" w14:paraId="00000063">
            <w:pPr>
              <w:numPr>
                <w:ilvl w:val="0"/>
                <w:numId w:val="3"/>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Kurikulum yang dirancang dengan fokus pada penyelesaian proyek-proyek yang memungkinkan mahasiswa untuk mengaplikasikan pengetahuan dan keterampilan dalam konteks praktis.</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Evaluasi Proses Pembelajaran</w:t>
            </w:r>
            <w:r w:rsidDel="00000000" w:rsidR="00000000" w:rsidRPr="00000000">
              <w:rPr>
                <w:rtl w:val="0"/>
              </w:rPr>
            </w:r>
          </w:p>
          <w:p w:rsidR="00000000" w:rsidDel="00000000" w:rsidP="00000000" w:rsidRDefault="00000000" w:rsidRPr="00000000" w14:paraId="00000065">
            <w:pPr>
              <w:numPr>
                <w:ilvl w:val="0"/>
                <w:numId w:val="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Proses penilaian dan perbaikan berkelanjutan terhadap aspek-aspek proses pembelajaran seperti aktivitas pembelajaran, jumlah mahasiswa aktif, Masa Tempuh Kurikulum, masa penyelesaian studi, dan tingkat serapan lulusan di dunia kerja.</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Fleksibilitas Proses Pendidikan</w:t>
            </w:r>
            <w:r w:rsidDel="00000000" w:rsidR="00000000" w:rsidRPr="00000000">
              <w:rPr>
                <w:rtl w:val="0"/>
              </w:rPr>
            </w:r>
          </w:p>
          <w:p w:rsidR="00000000" w:rsidDel="00000000" w:rsidP="00000000" w:rsidRDefault="00000000" w:rsidRPr="00000000" w14:paraId="00000067">
            <w:pPr>
              <w:numPr>
                <w:ilvl w:val="0"/>
                <w:numId w:val="7"/>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Definisi</w:t>
            </w:r>
            <w:r w:rsidDel="00000000" w:rsidR="00000000" w:rsidRPr="00000000">
              <w:rPr>
                <w:rFonts w:ascii="Bookman Old Style" w:cs="Bookman Old Style" w:eastAsia="Bookman Old Style" w:hAnsi="Bookman Old Style"/>
                <w:rtl w:val="0"/>
              </w:rPr>
              <w:t xml:space="preserve">: Kemampuan untuk menyesuaikan proses pembelajaran dengan kebutuhan mahasiswa, termasuk pelaksanaan secara tatap muka, jarak jauh, atau kombinasi keduanya, serta fleksibilitas dalam mengikuti dan menyelesaikan pendidikan.</w:t>
            </w:r>
          </w:p>
        </w:tc>
      </w:tr>
      <w:tr>
        <w:trPr>
          <w:cantSplit w:val="0"/>
          <w:tblHeader w:val="0"/>
        </w:trPr>
        <w:tc>
          <w:tcPr>
            <w:shd w:fill="auto" w:val="clear"/>
          </w:tcPr>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Rasional Standar dalam SPMI </w:t>
            </w:r>
          </w:p>
        </w:tc>
        <w:tc>
          <w:tcPr>
            <w:shd w:fill="auto" w:val="clear"/>
          </w:tcPr>
          <w:p w:rsidR="00000000" w:rsidDel="00000000" w:rsidP="00000000" w:rsidRDefault="00000000" w:rsidRPr="00000000" w14:paraId="00000069">
            <w:pPr>
              <w:numPr>
                <w:ilvl w:val="0"/>
                <w:numId w:val="11"/>
              </w:numPr>
              <w:spacing w:after="0" w:afterAutospacing="0" w:before="120" w:lineRule="auto"/>
              <w:ind w:left="72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Sesuai dengan amanah Permendikbudristek No. 53 Tahun 2023 Pasal 11 ayat (1) yang menyatakan bahwa setiap perguruan tinggi wajib menetapkan standar minimal untuk proses pembelajaran guna mencapai standar kompetensi lulusan, maka UIN FAS menetapkan standar proses pembelajaran yang mencakup perencanaan, pelaksanaan, dan penilaian proses pembelajaran. Standar ini dirancang untuk memastikan bahwa semua aspek proses pembelajaran dilaksanakan sesuai dengan kriteria yang ditetapkan, sehingga mendukung pencapaian kompetensi lulusan yang optimal dan sesuai dengan ketentuan peraturan perundang-undangan yang berlaku.</w:t>
            </w:r>
          </w:p>
          <w:p w:rsidR="00000000" w:rsidDel="00000000" w:rsidP="00000000" w:rsidRDefault="00000000" w:rsidRPr="00000000" w14:paraId="0000006A">
            <w:pPr>
              <w:numPr>
                <w:ilvl w:val="0"/>
                <w:numId w:val="11"/>
              </w:numPr>
              <w:spacing w:after="120" w:before="0" w:beforeAutospacing="0" w:lineRule="auto"/>
              <w:ind w:left="72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Sesuai dengan amanah Peremendikbudristek No. 53 Tahun 2023 pasal 53 ayat 1 bahwa setiap perguruan tinggi wajib memiliki kriteria minimal yang mengatur berbagai hal terkait penyelenggaraan pendidikan. Maka beberapa alasan eksternal dalam proses pembelajarana adalah Kepatuhan terhadap Peraturan Pemerintah, Keterikatan dengan Kebijakan Pendidikan Nasional, Penjaminan Mutu Pendidikan, Harmonisasi dengan Peraturan Terkait, dan Penguatan Peran Pendidikan dalam Pengembangan SDM sehingga UIN FAS Bengkulu menetapkan standar proses pembelajaran yang akan digunakan oleh dosen dan mahasiswa untuk memastikan mutu, relevansi, dan keberlangsungan proses pembelajaran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Pernyataan Isi Standar</w:t>
            </w:r>
          </w:p>
        </w:tc>
        <w:tc>
          <w:tcPr>
            <w:shd w:fill="auto" w:val="clear"/>
          </w:tcPr>
          <w:p w:rsidR="00000000" w:rsidDel="00000000" w:rsidP="00000000" w:rsidRDefault="00000000" w:rsidRPr="00000000" w14:paraId="0000006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menetapkan  proses pembelajaran yang dirancang untuk menciptakan suasana belajar yang menyenangkan, inklusif, kolaboratif, kreatif, dan efektif untuk memastikan bahwa kegiatan pembelajaran memberikan pengalaman yang optimal bagi peserta didik, dengan melibatkan metode dan teknik yang mendukung keterlibatan aktif serta perkembangan kompetensi mereka.</w:t>
            </w:r>
          </w:p>
          <w:p w:rsidR="00000000" w:rsidDel="00000000" w:rsidP="00000000" w:rsidRDefault="00000000" w:rsidRPr="00000000" w14:paraId="0000006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memastikan bahwa setiap mahasiswa diberikan kesempatan belajar yang sama tanpa membedakan latar belakang pendidikan, sosial, ekonomi, budaya, bahasa, jalur penerimaan mahasiswa, dan kebutuhan khusus untuk menciptakan lingkungan akademik yang adil, inklusif, dan merata, di mana semua mahasiswa dapat mengakses sumber daya, mendapatkan pengalaman belajar yang berkualitas, dan mencapai potensi mereka secara maksimal.</w:t>
            </w:r>
          </w:p>
          <w:p w:rsidR="00000000" w:rsidDel="00000000" w:rsidP="00000000" w:rsidRDefault="00000000" w:rsidRPr="00000000" w14:paraId="0000006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harus menjamin keamanan, kenyamanan, dan kesejahteraan hidup sivitas akademika untuk menciptakan lingkungan yang kondusif bagi proses belajar mengajar, yang mendukung perkembangan akademik dan non-akademik serta kesejahteraan mental dan fisik semua anggota komunitas akademik.</w:t>
            </w:r>
          </w:p>
          <w:p w:rsidR="00000000" w:rsidDel="00000000" w:rsidP="00000000" w:rsidRDefault="00000000" w:rsidRPr="00000000" w14:paraId="0000006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dalam pelaksanaan proses pembelajaran harus memberikan fleksibilitas dalam proses pendidikan untuk memfasilitasi pendidikan berkelanjutan sepanjang hayat untuk memungkinkan peserta didik, tenaga pendidik, dan tenaga kependidikan untuk terus belajar dan berkembang sesuai dengan kebutuhan dan perubahan di masyarakat serta perkembangan teknologi.</w:t>
            </w:r>
          </w:p>
          <w:p w:rsidR="00000000" w:rsidDel="00000000" w:rsidP="00000000" w:rsidRDefault="00000000" w:rsidRPr="00000000" w14:paraId="0000007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dalam pelaksanaan proses pembelajaran harus menjamin keamanan, kenyamanan, dan kesejahteraan hidup sivitas akademika, termasuk pencegahan dan penanganan tindak kekerasan dan diskriminasi terhadap sivitas akademika, sesuai dengan ketentuan peraturan perundang-undangan yang berlaku untuk menciptakan lingkungan pendidikan yang aman dan inklusif, di mana setiap anggota komunitas akademik dapat belajar dan berkembang tanpa adanya ancaman atau perlakuan tidak adil.</w:t>
            </w:r>
          </w:p>
          <w:p w:rsidR="00000000" w:rsidDel="00000000" w:rsidP="00000000" w:rsidRDefault="00000000" w:rsidRPr="00000000" w14:paraId="0000007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memastikan bahwa Program Studi dan UUPS menyediakan proses pembelajaran yang fleksibel dengan memungkinkan berbagai metode seperti tatap muka, daring, atau kombinasi, serta mengakomodasi penyelesaian kurikulum dan pengakuan pembelajaran sebelumnya untuk memenuhi kebutuhan individual mahasiswa.</w:t>
            </w:r>
          </w:p>
          <w:p w:rsidR="00000000" w:rsidDel="00000000" w:rsidP="00000000" w:rsidRDefault="00000000" w:rsidRPr="00000000" w14:paraId="0000007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menetapkan bahwa Program Studi harus menyatakan beban belajar mahasiswa dalam satuan kredit semester (SKS), di mana 1 SKS setara dengan 45 jam per semester, mencakup waktu yang dialokasikan untuk belajar tatap muka, tugas terstruktur, dan belajar mandiri, guna memastikan keterukuran dan efisiensi proses pembelajaran..</w:t>
            </w:r>
          </w:p>
          <w:p w:rsidR="00000000" w:rsidDel="00000000" w:rsidP="00000000" w:rsidRDefault="00000000" w:rsidRPr="00000000" w14:paraId="0000007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memastikan bahwa Program Studi menyusun beban belajar mahasiswa dalam bentuk berbagai kegiatan pembelajaran, seperti kuliah, responsi, praktikum, penelitian, magang, dan kegiatan wirausaha, untuk meningkatkan kompetensi akademik dan non-akademik mahasiswa dengan kualitas yang sesuai dengan standar yang telah ditetapkan.</w:t>
            </w:r>
          </w:p>
          <w:p w:rsidR="00000000" w:rsidDel="00000000" w:rsidP="00000000" w:rsidRDefault="00000000" w:rsidRPr="00000000" w14:paraId="0000007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memastikan bahwa Program Studi menyelenggarakan bentuk pembelajaran melalui kegiatan belajar terbimbing, penugasan terstruktur, dan/atau mandiri, dengan perancangan yang sesuai dengan kurikulum dan tujuan pembelajaran serta relevan dengan kompetensi yang ingin dicapai dan materi yang diajarkan.</w:t>
            </w:r>
          </w:p>
          <w:p w:rsidR="00000000" w:rsidDel="00000000" w:rsidP="00000000" w:rsidRDefault="00000000" w:rsidRPr="00000000" w14:paraId="0000007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memastikan bahwa Program Studi memungkinkan pemenuhan beban belajar di luar program studi melalui pembelajaran dalam program studi yang berbeda di perguruan tinggi yang sama, program studi yang sama atau berbeda di perguruan tinggi lain, dan lembaga di luar perguruan tinggi, dengan mematuhi ketentuan peraturan perundang-undangan dan sistem akreditasi yang berlaku.</w:t>
            </w:r>
          </w:p>
          <w:p w:rsidR="00000000" w:rsidDel="00000000" w:rsidP="00000000" w:rsidRDefault="00000000" w:rsidRPr="00000000" w14:paraId="0000007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UIN FAS menetapkan bahwa Program Studi harus memastikan beban belajar dan masa tempuh kurikulum pada program diploma memenuhi standar berikut: (A) untuk Program Diploma Satu, minimal 36 SKS dengan masa tempuh 2 semester; (B) untuk Program Diploma Dua, minimal 72 SKS dengan masa tempuh 4 semester; (C) dan untuk Program Diploma Tiga, minimal 108 SKS dengan masa tempuh 6 semester, guna memastikan konsistensi dan kualitas pendidikan yang sesuai dengan ketentuan yang berlaku.</w:t>
            </w:r>
          </w:p>
          <w:p w:rsidR="00000000" w:rsidDel="00000000" w:rsidP="00000000" w:rsidRDefault="00000000" w:rsidRPr="00000000" w14:paraId="0000007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Prodi bertanggung jawab terhadap beban belajar mahasiswa pada semester satu  dan dua untuk program Strata I sebanyak 22 (dua puluh dua) satuan kredit semester (SKS) Semester 3 dan Seterusnya: Beban belajar paling banyak 24 (dua puluh empat) SKS per semester.</w:t>
            </w:r>
          </w:p>
          <w:p w:rsidR="00000000" w:rsidDel="00000000" w:rsidP="00000000" w:rsidRDefault="00000000" w:rsidRPr="00000000" w14:paraId="0000007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Prodi Mendistribusi beban belajar tiap semester pada strata sarjana dengan beban maksimal 148 kredit semester (SKS) untuk memastikan efisiensi waktu belajar dan pencapaian kompetensi yang optimal bagi mahasiswa.</w:t>
            </w:r>
          </w:p>
          <w:p w:rsidR="00000000" w:rsidDel="00000000" w:rsidP="00000000" w:rsidRDefault="00000000" w:rsidRPr="00000000" w14:paraId="0000007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Mahasiswa strata I pada semester tertentu wajib melaksanakan kegiatan magang/PPL di dunia usaha, dunia industri, dan dunia kerja yang relevan dengan program studi yang diambil.</w:t>
            </w:r>
          </w:p>
          <w:p w:rsidR="00000000" w:rsidDel="00000000" w:rsidP="00000000" w:rsidRDefault="00000000" w:rsidRPr="00000000" w14:paraId="0000007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Pada program Strata 1, durasi kegiatan magang ditetapkan oleh masing-masing perguruan tinggi berdasarkan kebutuhan kurikulum dan pencapaian kompetensi yang ditargetkan. Durasi magang harus sesuai dengan standar yang ditentukan oleh perguruan tinggi dan relevan dengan program studi mahasiswa.</w:t>
            </w:r>
          </w:p>
          <w:p w:rsidR="00000000" w:rsidDel="00000000" w:rsidP="00000000" w:rsidRDefault="00000000" w:rsidRPr="00000000" w14:paraId="0000007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Dekan menetapkan tugas akhir pada Strata I dalam bentuk skripsi atau bentuk tugas akhir lainnya yang sejenis, baik secara individu maupun kelompok, dengan mempertimbangkan relevansi, kompleksitas, dan kebutuhan kurikulum program studi.</w:t>
            </w:r>
          </w:p>
          <w:p w:rsidR="00000000" w:rsidDel="00000000" w:rsidP="00000000" w:rsidRDefault="00000000" w:rsidRPr="00000000" w14:paraId="0000007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Pada program sarjana atau sarjana terapan, beban belajar minimal 144 (seratus empat puluh empat) satuan kredit semester yang dirancang dengan Masa Tempuh Kurikulum 8 (delapan) semester.</w:t>
            </w:r>
          </w:p>
          <w:p w:rsidR="00000000" w:rsidDel="00000000" w:rsidP="00000000" w:rsidRDefault="00000000" w:rsidRPr="00000000" w14:paraId="0000007D">
            <w:pPr>
              <w:numPr>
                <w:ilvl w:val="0"/>
                <w:numId w:val="37"/>
              </w:numPr>
              <w:spacing w:after="120" w:line="276" w:lineRule="auto"/>
              <w:ind w:left="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Distribusi beban belajar prgram sarjana dan sarjana terapan: a. semester satu dan semester dua paling banyak 20 (dua puluh) satuan kredit semester; dan b. semester tiga dan seterusnya paling banyak 24 (dua puluh empat) satuan kredit semester.</w:t>
            </w:r>
          </w:p>
          <w:p w:rsidR="00000000" w:rsidDel="00000000" w:rsidP="00000000" w:rsidRDefault="00000000" w:rsidRPr="00000000" w14:paraId="0000007E">
            <w:pPr>
              <w:numPr>
                <w:ilvl w:val="0"/>
                <w:numId w:val="37"/>
              </w:numPr>
              <w:spacing w:after="120" w:line="276" w:lineRule="auto"/>
              <w:ind w:left="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Mahasiswa pada program sarjana (kecuali program studi kedokteran, kebidanan, dan keperawatan) dapat memenuhi sebagian beban belajar di luar program studi dengan ketentuan: a. 1 (satu) semester atau setara dengan 20 (dua puluh) satuan kredit semester dalam program studi yang berbeda pada perguruan tinggi yang sama; dan b. paling lama 2 (dua) semester atau setara dengan 40 (empat puluh) satuan kredit semester di luar perguruan tinggi. </w:t>
            </w:r>
          </w:p>
          <w:p w:rsidR="00000000" w:rsidDel="00000000" w:rsidP="00000000" w:rsidRDefault="00000000" w:rsidRPr="00000000" w14:paraId="0000007F">
            <w:pPr>
              <w:numPr>
                <w:ilvl w:val="0"/>
                <w:numId w:val="37"/>
              </w:numPr>
              <w:spacing w:after="120" w:line="276" w:lineRule="auto"/>
              <w:ind w:left="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Mahasiswa pada program sarjana terapan wajib melaksanakan kegiatan magang di dunia usaha, dunia industri, atau dunia kerja yang relevan minimal 1 (satu) semester atau setara dengan 20 (dua puluh) satuan kredit semester.</w:t>
            </w:r>
          </w:p>
          <w:p w:rsidR="00000000" w:rsidDel="00000000" w:rsidP="00000000" w:rsidRDefault="00000000" w:rsidRPr="00000000" w14:paraId="00000080">
            <w:pPr>
              <w:numPr>
                <w:ilvl w:val="0"/>
                <w:numId w:val="37"/>
              </w:numPr>
              <w:spacing w:after="120" w:line="276" w:lineRule="auto"/>
              <w:ind w:left="360"/>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Perguruan tinggi wajib memfasilitasi pemenuhan beban belajar di luar program studi dan kegiatan magang.</w:t>
            </w:r>
          </w:p>
          <w:p w:rsidR="00000000" w:rsidDel="00000000" w:rsidP="00000000" w:rsidRDefault="00000000" w:rsidRPr="00000000" w14:paraId="00000081">
            <w:pPr>
              <w:numPr>
                <w:ilvl w:val="0"/>
                <w:numId w:val="37"/>
              </w:numPr>
              <w:spacing w:after="120" w:line="276" w:lineRule="auto"/>
              <w:ind w:left="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Program studi pada program sarjana atau sarjana terapan memastikan ketercapaian kompetensi lulusan melalui: a. pemberian tugas akhir yang dapat berbentuk skripsi, prototipe, proyek, atau bentuk tugas akhir lainnya yang sejenis baik secara individu maupun berkelompok; atau b. penerapan kurikulum berbasis proyek atau bentuk pembelajaran lainnya yang sejenis dan asesmen yang dapat menunjukkan ketercapaian kompetensi lulusan</w:t>
            </w:r>
          </w:p>
          <w:p w:rsidR="00000000" w:rsidDel="00000000" w:rsidP="00000000" w:rsidRDefault="00000000" w:rsidRPr="00000000" w14:paraId="00000082">
            <w:pPr>
              <w:numPr>
                <w:ilvl w:val="0"/>
                <w:numId w:val="37"/>
              </w:numPr>
              <w:spacing w:after="120" w:line="276" w:lineRule="auto"/>
              <w:ind w:left="360"/>
              <w:jc w:val="both"/>
              <w:rPr>
                <w:rFonts w:ascii="Bookman Old Style" w:cs="Bookman Old Style" w:eastAsia="Bookman Old Style" w:hAnsi="Bookman Old Style"/>
                <w:u w:val="no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326"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Ketercapaian Indikator Kinerja Standar (merujuk ke indicator yang dievaluasi dalam akreditasi oleh BAN-PT atau LAM dengan memperhatikan matriks penilaian akreditasi)</w:t>
            </w:r>
          </w:p>
        </w:tc>
        <w:tc>
          <w:tcPr>
            <w:shd w:fill="auto" w:val="clear"/>
          </w:tcPr>
          <w:p w:rsidR="00000000" w:rsidDel="00000000" w:rsidP="00000000" w:rsidRDefault="00000000" w:rsidRPr="00000000" w14:paraId="0000008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120" w:line="276" w:lineRule="auto"/>
              <w:ind w:left="792"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Apa yang harus dicapai adalah sasaran yang menjadi indicator kinerja utama dan indicator kinerja tambahan dari standar</w:t>
            </w:r>
          </w:p>
          <w:p w:rsidR="00000000" w:rsidDel="00000000" w:rsidP="00000000" w:rsidRDefault="00000000" w:rsidRPr="00000000" w14:paraId="0000008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76" w:lineRule="auto"/>
              <w:ind w:left="792"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Kapan/ waktu pencapaian sasaran standar adalah periode yang ditentukan untuk memenuhi sasaran standar/ indicator kinerja menjadi target capaian</w:t>
            </w:r>
          </w:p>
          <w:tbl>
            <w:tblPr>
              <w:tblStyle w:val="Table4"/>
              <w:tblW w:w="711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6"/>
              <w:gridCol w:w="2268"/>
              <w:gridCol w:w="709"/>
              <w:gridCol w:w="567"/>
              <w:gridCol w:w="567"/>
              <w:gridCol w:w="567"/>
              <w:gridCol w:w="567"/>
              <w:gridCol w:w="567"/>
              <w:tblGridChange w:id="0">
                <w:tblGrid>
                  <w:gridCol w:w="1306"/>
                  <w:gridCol w:w="2268"/>
                  <w:gridCol w:w="709"/>
                  <w:gridCol w:w="567"/>
                  <w:gridCol w:w="567"/>
                  <w:gridCol w:w="567"/>
                  <w:gridCol w:w="567"/>
                  <w:gridCol w:w="567"/>
                </w:tblGrid>
              </w:tblGridChange>
            </w:tblGrid>
            <w:tr>
              <w:trPr>
                <w:cantSplit w:val="0"/>
                <w:tblHeader w:val="0"/>
              </w:trPr>
              <w:tc>
                <w:tcPr>
                  <w:vMerge w:val="restart"/>
                </w:tcPr>
                <w:p w:rsidR="00000000" w:rsidDel="00000000" w:rsidP="00000000" w:rsidRDefault="00000000" w:rsidRPr="00000000" w14:paraId="00000086">
                  <w:pPr>
                    <w:spacing w:after="120" w:before="120" w:lineRule="auto"/>
                    <w:jc w:val="center"/>
                    <w:rPr>
                      <w:rFonts w:ascii="Bookman Old Style" w:cs="Bookman Old Style" w:eastAsia="Bookman Old Style" w:hAnsi="Bookman Old Style"/>
                      <w:sz w:val="18"/>
                      <w:szCs w:val="18"/>
                    </w:rPr>
                  </w:pPr>
                  <w:bookmarkStart w:colFirst="0" w:colLast="0" w:name="_heading=h.gjdgxs" w:id="0"/>
                  <w:bookmarkEnd w:id="0"/>
                  <w:r w:rsidDel="00000000" w:rsidR="00000000" w:rsidRPr="00000000">
                    <w:rPr>
                      <w:rFonts w:ascii="Bookman Old Style" w:cs="Bookman Old Style" w:eastAsia="Bookman Old Style" w:hAnsi="Bookman Old Style"/>
                      <w:sz w:val="18"/>
                      <w:szCs w:val="18"/>
                      <w:rtl w:val="0"/>
                    </w:rPr>
                    <w:t xml:space="preserve">Pernyataan Standar</w:t>
                  </w:r>
                </w:p>
                <w:p w:rsidR="00000000" w:rsidDel="00000000" w:rsidP="00000000" w:rsidRDefault="00000000" w:rsidRPr="00000000" w14:paraId="00000087">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(A dan B)</w:t>
                  </w:r>
                </w:p>
              </w:tc>
              <w:tc>
                <w:tcPr>
                  <w:vMerge w:val="restart"/>
                </w:tcPr>
                <w:p w:rsidR="00000000" w:rsidDel="00000000" w:rsidP="00000000" w:rsidRDefault="00000000" w:rsidRPr="00000000" w14:paraId="00000088">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Indikator Capaian</w:t>
                  </w:r>
                </w:p>
                <w:p w:rsidR="00000000" w:rsidDel="00000000" w:rsidP="00000000" w:rsidRDefault="00000000" w:rsidRPr="00000000" w14:paraId="00000089">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(C)</w:t>
                  </w:r>
                </w:p>
              </w:tc>
              <w:tc>
                <w:tcPr/>
                <w:p w:rsidR="00000000" w:rsidDel="00000000" w:rsidP="00000000" w:rsidRDefault="00000000" w:rsidRPr="00000000" w14:paraId="0000008A">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Base line</w:t>
                  </w:r>
                </w:p>
              </w:tc>
              <w:tc>
                <w:tcPr>
                  <w:gridSpan w:val="5"/>
                </w:tcPr>
                <w:p w:rsidR="00000000" w:rsidDel="00000000" w:rsidP="00000000" w:rsidRDefault="00000000" w:rsidRPr="00000000" w14:paraId="0000008B">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Periode Pencapaian Target Capaian</w:t>
                  </w:r>
                </w:p>
                <w:p w:rsidR="00000000" w:rsidDel="00000000" w:rsidP="00000000" w:rsidRDefault="00000000" w:rsidRPr="00000000" w14:paraId="0000008C">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w:t>
                  </w:r>
                </w:p>
              </w:tc>
            </w:tr>
            <w:tr>
              <w:trPr>
                <w:cantSplit w:val="0"/>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8"/>
                      <w:szCs w:val="18"/>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93">
                  <w:pPr>
                    <w:spacing w:after="120" w:before="120" w:lineRule="auto"/>
                    <w:jc w:val="center"/>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94">
                  <w:pPr>
                    <w:spacing w:after="120" w:before="120" w:lineRule="auto"/>
                    <w:jc w:val="center"/>
                    <w:rPr>
                      <w:rFonts w:ascii="Bookman Old Style" w:cs="Bookman Old Style" w:eastAsia="Bookman Old Style" w:hAnsi="Bookman Old Style"/>
                      <w:sz w:val="14"/>
                      <w:szCs w:val="14"/>
                    </w:rPr>
                  </w:pPr>
                  <w:r w:rsidDel="00000000" w:rsidR="00000000" w:rsidRPr="00000000">
                    <w:rPr>
                      <w:rFonts w:ascii="Bookman Old Style" w:cs="Bookman Old Style" w:eastAsia="Bookman Old Style" w:hAnsi="Bookman Old Style"/>
                      <w:sz w:val="14"/>
                      <w:szCs w:val="14"/>
                      <w:rtl w:val="0"/>
                    </w:rPr>
                    <w:t xml:space="preserve">2024</w:t>
                  </w:r>
                </w:p>
              </w:tc>
              <w:tc>
                <w:tcPr/>
                <w:p w:rsidR="00000000" w:rsidDel="00000000" w:rsidP="00000000" w:rsidRDefault="00000000" w:rsidRPr="00000000" w14:paraId="00000095">
                  <w:pPr>
                    <w:spacing w:after="120" w:before="120" w:lineRule="auto"/>
                    <w:jc w:val="center"/>
                    <w:rPr>
                      <w:rFonts w:ascii="Bookman Old Style" w:cs="Bookman Old Style" w:eastAsia="Bookman Old Style" w:hAnsi="Bookman Old Style"/>
                      <w:sz w:val="14"/>
                      <w:szCs w:val="14"/>
                    </w:rPr>
                  </w:pPr>
                  <w:r w:rsidDel="00000000" w:rsidR="00000000" w:rsidRPr="00000000">
                    <w:rPr>
                      <w:rFonts w:ascii="Bookman Old Style" w:cs="Bookman Old Style" w:eastAsia="Bookman Old Style" w:hAnsi="Bookman Old Style"/>
                      <w:sz w:val="14"/>
                      <w:szCs w:val="14"/>
                      <w:rtl w:val="0"/>
                    </w:rPr>
                    <w:t xml:space="preserve">2025</w:t>
                  </w:r>
                </w:p>
              </w:tc>
              <w:tc>
                <w:tcPr/>
                <w:p w:rsidR="00000000" w:rsidDel="00000000" w:rsidP="00000000" w:rsidRDefault="00000000" w:rsidRPr="00000000" w14:paraId="00000096">
                  <w:pPr>
                    <w:spacing w:after="120" w:before="120" w:lineRule="auto"/>
                    <w:jc w:val="center"/>
                    <w:rPr>
                      <w:rFonts w:ascii="Bookman Old Style" w:cs="Bookman Old Style" w:eastAsia="Bookman Old Style" w:hAnsi="Bookman Old Style"/>
                      <w:sz w:val="14"/>
                      <w:szCs w:val="14"/>
                    </w:rPr>
                  </w:pPr>
                  <w:r w:rsidDel="00000000" w:rsidR="00000000" w:rsidRPr="00000000">
                    <w:rPr>
                      <w:rFonts w:ascii="Bookman Old Style" w:cs="Bookman Old Style" w:eastAsia="Bookman Old Style" w:hAnsi="Bookman Old Style"/>
                      <w:sz w:val="14"/>
                      <w:szCs w:val="14"/>
                      <w:rtl w:val="0"/>
                    </w:rPr>
                    <w:t xml:space="preserve">2026</w:t>
                  </w:r>
                </w:p>
              </w:tc>
              <w:tc>
                <w:tcPr/>
                <w:p w:rsidR="00000000" w:rsidDel="00000000" w:rsidP="00000000" w:rsidRDefault="00000000" w:rsidRPr="00000000" w14:paraId="00000097">
                  <w:pPr>
                    <w:spacing w:after="120" w:before="120" w:lineRule="auto"/>
                    <w:jc w:val="center"/>
                    <w:rPr>
                      <w:rFonts w:ascii="Bookman Old Style" w:cs="Bookman Old Style" w:eastAsia="Bookman Old Style" w:hAnsi="Bookman Old Style"/>
                      <w:sz w:val="14"/>
                      <w:szCs w:val="14"/>
                    </w:rPr>
                  </w:pPr>
                  <w:r w:rsidDel="00000000" w:rsidR="00000000" w:rsidRPr="00000000">
                    <w:rPr>
                      <w:rFonts w:ascii="Bookman Old Style" w:cs="Bookman Old Style" w:eastAsia="Bookman Old Style" w:hAnsi="Bookman Old Style"/>
                      <w:sz w:val="14"/>
                      <w:szCs w:val="14"/>
                      <w:rtl w:val="0"/>
                    </w:rPr>
                    <w:t xml:space="preserve">2027</w:t>
                  </w:r>
                </w:p>
              </w:tc>
              <w:tc>
                <w:tcPr/>
                <w:p w:rsidR="00000000" w:rsidDel="00000000" w:rsidP="00000000" w:rsidRDefault="00000000" w:rsidRPr="00000000" w14:paraId="00000098">
                  <w:pPr>
                    <w:spacing w:after="120" w:before="120" w:lineRule="auto"/>
                    <w:jc w:val="center"/>
                    <w:rPr>
                      <w:rFonts w:ascii="Bookman Old Style" w:cs="Bookman Old Style" w:eastAsia="Bookman Old Style" w:hAnsi="Bookman Old Style"/>
                      <w:sz w:val="14"/>
                      <w:szCs w:val="14"/>
                    </w:rPr>
                  </w:pPr>
                  <w:r w:rsidDel="00000000" w:rsidR="00000000" w:rsidRPr="00000000">
                    <w:rPr>
                      <w:rFonts w:ascii="Bookman Old Style" w:cs="Bookman Old Style" w:eastAsia="Bookman Old Style" w:hAnsi="Bookman Old Style"/>
                      <w:sz w:val="14"/>
                      <w:szCs w:val="14"/>
                      <w:rtl w:val="0"/>
                    </w:rPr>
                    <w:t xml:space="preserve">2028</w:t>
                  </w:r>
                </w:p>
              </w:tc>
            </w:tr>
            <w:tr>
              <w:trPr>
                <w:cantSplit w:val="0"/>
                <w:tblHeader w:val="0"/>
              </w:trPr>
              <w:tc>
                <w:tcPr>
                  <w:gridSpan w:val="8"/>
                </w:tcPr>
                <w:p w:rsidR="00000000" w:rsidDel="00000000" w:rsidP="00000000" w:rsidRDefault="00000000" w:rsidRPr="00000000" w14:paraId="00000099">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Indikator Kinerja Utama</w:t>
                  </w:r>
                </w:p>
              </w:tc>
            </w:tr>
            <w:tr>
              <w:trPr>
                <w:cantSplit w:val="0"/>
                <w:tblHeader w:val="0"/>
              </w:trPr>
              <w:tc>
                <w:tcPr/>
                <w:p w:rsidR="00000000" w:rsidDel="00000000" w:rsidP="00000000" w:rsidRDefault="00000000" w:rsidRPr="00000000" w14:paraId="000000A1">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1</w:t>
                  </w:r>
                </w:p>
              </w:tc>
              <w:tc>
                <w:tcPr/>
                <w:p w:rsidR="00000000" w:rsidDel="00000000" w:rsidP="00000000" w:rsidRDefault="00000000" w:rsidRPr="00000000" w14:paraId="000000A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aktivitas pembelajaran yang inovatif dan menyenangkan dengan metode dan media beragam, serta lingkungan kelas yang mendukung dan nyaman, sehingga meningkatkan keterlibatan siswa dan memfasilitasi pengalaman belajar yang optimal.</w:t>
                  </w:r>
                </w:p>
              </w:tc>
              <w:tc>
                <w:tcPr/>
                <w:p w:rsidR="00000000" w:rsidDel="00000000" w:rsidP="00000000" w:rsidRDefault="00000000" w:rsidRPr="00000000" w14:paraId="000000A3">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8">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penyampaian materi ajar dan metode pengajaran yang dapat diakses oleh semua siswa, termasuk yang memiliki kebutuhan khusus, dengan penggunaan sumber daya tambahan dan strategi pengajaran inklusif, serta penghargaan terhadap keberagaman siswa untuk memastikan partisipasi aktif dalam pembelajaran.</w:t>
                  </w:r>
                </w:p>
              </w:tc>
              <w:tc>
                <w:tcPr/>
                <w:p w:rsidR="00000000" w:rsidDel="00000000" w:rsidP="00000000" w:rsidRDefault="00000000" w:rsidRPr="00000000" w14:paraId="000000AB">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A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0">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kegiatan pembelajaran yang melibatkan kerja sama dan interaksi antar siswa, didukung dengan tugas kelompok yang dirancang untuk memfasilitasi kerja sama dan diskusi, serta penilaian yang mencakup evaluasi kontribusi individu dan kelompok.</w:t>
                  </w:r>
                </w:p>
              </w:tc>
              <w:tc>
                <w:tcPr/>
                <w:p w:rsidR="00000000" w:rsidDel="00000000" w:rsidP="00000000" w:rsidRDefault="00000000" w:rsidRPr="00000000" w14:paraId="000000B3">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8">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9">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tujuan pembelajaran yang jelas dan dipahami oleh semua siswa, dengan teknik penilaian yang sesuai dengan tujuan pembelajaran dan hasil yang diharapkan, serta umpan balik yang diberikan secara konstruktif untuk membantu perbaikan.</w:t>
                  </w:r>
                </w:p>
              </w:tc>
              <w:tc>
                <w:tcPr/>
                <w:p w:rsidR="00000000" w:rsidDel="00000000" w:rsidP="00000000" w:rsidRDefault="00000000" w:rsidRPr="00000000" w14:paraId="000000BB">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B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0">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C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w:t>
                  </w:r>
                </w:p>
              </w:tc>
              <w:tc>
                <w:tcPr/>
                <w:p w:rsidR="00000000" w:rsidDel="00000000" w:rsidP="00000000" w:rsidRDefault="00000000" w:rsidRPr="00000000" w14:paraId="000000C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akses yang sama untuk semua mahasiswa, tanpa memandang latar belakang, terhadap materi, fasilitas, dan dukungan akademik, didukung dengan kebijakan yang menjamin kesetaraan akses dan kesempatan dalam pembelajaran, serta penyediaan sumber daya tambahan untuk mahasiswa dengan kebutuhan khusus.</w:t>
                  </w:r>
                </w:p>
              </w:tc>
              <w:tc>
                <w:tcPr/>
                <w:p w:rsidR="00000000" w:rsidDel="00000000" w:rsidP="00000000" w:rsidRDefault="00000000" w:rsidRPr="00000000" w14:paraId="000000C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proses pembelajaran yang memperhatikan dan menghargai keberagaman latar belakang pendidikan, sosial, ekonomi, dan budaya mahasiswa, didukung dengan metode pengajaran dan penilaian yang mengakomodasi latar belakang yang berbeda, serta aktivitas pembelajaran yang mempromosikan pemahaman dan penghargaan terhadap keberagaman.</w:t>
                  </w:r>
                </w:p>
              </w:tc>
              <w:tc>
                <w:tcPr/>
                <w:p w:rsidR="00000000" w:rsidDel="00000000" w:rsidP="00000000" w:rsidRDefault="00000000" w:rsidRPr="00000000" w14:paraId="000000C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C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proses penerimaan mahasiswa secara adil dan transparan tanpa diskriminasi berdasarkan jalur penerimaan, serta penjaminan akses yang setara bagi semua calon mahasiswa dalam proses penerimaan.</w:t>
                  </w:r>
                </w:p>
              </w:tc>
              <w:tc>
                <w:tcPr/>
                <w:p w:rsidR="00000000" w:rsidDel="00000000" w:rsidP="00000000" w:rsidRDefault="00000000" w:rsidRPr="00000000" w14:paraId="000000D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tujuan pembelajaran yang jelas dan dipahami oleh semua siswa, dengan teknik penilaian yang sesuai dengan tujuan pembelajaran dan hasil yang diharapkan, serta umpan balik yang diberikan secara konstruktif untuk mendukung perbaikan.</w:t>
                  </w:r>
                </w:p>
              </w:tc>
              <w:tc>
                <w:tcPr/>
                <w:p w:rsidR="00000000" w:rsidDel="00000000" w:rsidP="00000000" w:rsidRDefault="00000000" w:rsidRPr="00000000" w14:paraId="000000D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D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3</w:t>
                  </w:r>
                </w:p>
              </w:tc>
              <w:tc>
                <w:tcPr/>
                <w:p w:rsidR="00000000" w:rsidDel="00000000" w:rsidP="00000000" w:rsidRDefault="00000000" w:rsidRPr="00000000" w14:paraId="000000E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Tersedianya sistem perlindungan dan penanggulangan risiko yang mencakup siswa, tenaga pendidik, dan tenaga kependidikan, serta implementasi kebijakan dan prosedur untuk mengatasi ancaman keamanan fisik seperti bencana alam, kecelakaan, atau kekerasan.</w:t>
                  </w:r>
                </w:p>
              </w:tc>
              <w:tc>
                <w:tcPr/>
                <w:p w:rsidR="00000000" w:rsidDel="00000000" w:rsidP="00000000" w:rsidRDefault="00000000" w:rsidRPr="00000000" w14:paraId="000000E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Tersedianya fasilitas belajar yang memadai dan nyaman, termasuk ruang kelas, laboratorium, dan area lainnya, serta penyediaan fasilitas kesehatan dan dukungan psikososial untuk semua anggota sivitas akademika.</w:t>
                  </w:r>
                </w:p>
              </w:tc>
              <w:tc>
                <w:tcPr/>
                <w:p w:rsidR="00000000" w:rsidDel="00000000" w:rsidP="00000000" w:rsidRDefault="00000000" w:rsidRPr="00000000" w14:paraId="000000E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E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program dan kebijakan yang mendukung kesejahteraan mental dan fisik anggota sivitas akademika, serta tersedianya layanan konsultasi dan bimbingan yang efektif untuk mendukung kesehatan mental dan emosional.</w:t>
                  </w:r>
                </w:p>
              </w:tc>
              <w:tc>
                <w:tcPr/>
                <w:p w:rsidR="00000000" w:rsidDel="00000000" w:rsidP="00000000" w:rsidRDefault="00000000" w:rsidRPr="00000000" w14:paraId="000000F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4</w:t>
                  </w:r>
                </w:p>
              </w:tc>
              <w:tc>
                <w:tcPr/>
                <w:p w:rsidR="00000000" w:rsidDel="00000000" w:rsidP="00000000" w:rsidRDefault="00000000" w:rsidRPr="00000000" w14:paraId="000000F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kebijakan dan prosedur yang mengadaptasi kurikulum agar sesuai dengan perkembangan terbaru dan kebutuhan peserta didik, serta tersedianya berbagai jalur dan mode pembelajaran yang dapat disesuaikan dengan waktu, lokasi, dan gaya belajar peserta didik.</w:t>
                  </w:r>
                </w:p>
              </w:tc>
              <w:tc>
                <w:tcPr/>
                <w:p w:rsidR="00000000" w:rsidDel="00000000" w:rsidP="00000000" w:rsidRDefault="00000000" w:rsidRPr="00000000" w14:paraId="000000F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0F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program pelatihan dan pengembangan profesional yang berkelanjutan untuk tenaga pendidik dan tenaga kependidikan guna meningkatkan keterampilan mereka, serta dukungan yang diberikan kepada peserta didik dalam perencanaan karir dan pendidikan lanjut melalui konseling dan bimbingan karir.</w:t>
                  </w:r>
                </w:p>
              </w:tc>
              <w:tc>
                <w:tcPr/>
                <w:p w:rsidR="00000000" w:rsidDel="00000000" w:rsidP="00000000" w:rsidRDefault="00000000" w:rsidRPr="00000000" w14:paraId="0000010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5</w:t>
                  </w:r>
                </w:p>
              </w:tc>
              <w:tc>
                <w:tcPr/>
                <w:p w:rsidR="00000000" w:rsidDel="00000000" w:rsidP="00000000" w:rsidRDefault="00000000" w:rsidRPr="00000000" w14:paraId="0000010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kebijakan dan prosedur tertulis mengenai pencegahan dan penanganan tindak kekerasan, serta tersedianya mekanisme pelaporan dan penanganan kasus kekerasan yang efektif dan dapat diakses oleh seluruh sivitas akademika.</w:t>
                  </w:r>
                </w:p>
              </w:tc>
              <w:tc>
                <w:tcPr/>
                <w:p w:rsidR="00000000" w:rsidDel="00000000" w:rsidP="00000000" w:rsidRDefault="00000000" w:rsidRPr="00000000" w14:paraId="0000010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0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kebijakan anti-diskriminasi yang jelas serta praktek yang mendukung kesetaraan dan inklusivitas, disertai dengan pelatihan dan sosialisasi tentang kesetaraan gender, keberagaman, dan hak asasi manusia untuk semua anggota komunitas akademik.</w:t>
                  </w:r>
                </w:p>
              </w:tc>
              <w:tc>
                <w:tcPr/>
                <w:p w:rsidR="00000000" w:rsidDel="00000000" w:rsidP="00000000" w:rsidRDefault="00000000" w:rsidRPr="00000000" w14:paraId="0000011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program dukungan psikososial dan konseling yang mudah diakses untuk membantu korban kekerasan atau diskriminasi, didukung oleh kebijakan yang mendukung kesejahteraan mental dan emosional anggota sivitas akademika serta fasilitas untuk bantuan darurat.</w:t>
                  </w:r>
                </w:p>
              </w:tc>
              <w:tc>
                <w:tcPr/>
                <w:p w:rsidR="00000000" w:rsidDel="00000000" w:rsidP="00000000" w:rsidRDefault="00000000" w:rsidRPr="00000000" w14:paraId="0000011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1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6</w:t>
                  </w:r>
                </w:p>
              </w:tc>
              <w:tc>
                <w:tcPr/>
                <w:p w:rsidR="00000000" w:rsidDel="00000000" w:rsidP="00000000" w:rsidRDefault="00000000" w:rsidRPr="00000000" w14:paraId="0000012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pemanfaatan metode pembelajaran fleksibel, dengan proporsi mahasiswa yang menggunakan opsi pembelajaran daring atau kombinasi yang disediakan oleh Program Studi dan UUPS, menunjukkan efektivitas dalam penerapan berbagai metode pembelajaran.</w:t>
                  </w:r>
                </w:p>
              </w:tc>
              <w:tc>
                <w:tcPr/>
                <w:p w:rsidR="00000000" w:rsidDel="00000000" w:rsidP="00000000" w:rsidRDefault="00000000" w:rsidRPr="00000000" w14:paraId="0000012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Terpenuhinya ketersediaan metode pembelajaran yang fleksibel, termasuk tatap muka, daring, atau kombinasi, sebagai bagian dari penawaran Program Studi dan UUPS, memfasilitasi berbagai kebutuhan belajar mahasiswa.</w:t>
                  </w:r>
                </w:p>
              </w:tc>
              <w:tc>
                <w:tcPr/>
                <w:p w:rsidR="00000000" w:rsidDel="00000000" w:rsidP="00000000" w:rsidRDefault="00000000" w:rsidRPr="00000000" w14:paraId="0000012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2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implementasi pengakuan terhadap pembelajaran sebelumnya dalam proses penyelesaian kurikulum, memastikan bahwa mahasiswa dapat memperoleh pengakuan atas pengetahuan dan keterampilan yang telah diperoleh sebelumnya.</w:t>
                  </w:r>
                </w:p>
              </w:tc>
              <w:tc>
                <w:tcPr/>
                <w:p w:rsidR="00000000" w:rsidDel="00000000" w:rsidP="00000000" w:rsidRDefault="00000000" w:rsidRPr="00000000" w14:paraId="0000013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penyesuaian proses pembelajaran untuk memenuhi kebutuhan individual mahasiswa, mendukung pencapaian kurikulum yang sesuai dengan kebijakan yang ditetapkan dan memberikan pengalaman belajar yang optimal.</w:t>
                  </w:r>
                </w:p>
              </w:tc>
              <w:tc>
                <w:tcPr/>
                <w:p w:rsidR="00000000" w:rsidDel="00000000" w:rsidP="00000000" w:rsidRDefault="00000000" w:rsidRPr="00000000" w14:paraId="0000013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3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7</w:t>
                  </w:r>
                </w:p>
              </w:tc>
              <w:tc>
                <w:tcPr/>
                <w:p w:rsidR="00000000" w:rsidDel="00000000" w:rsidP="00000000" w:rsidRDefault="00000000" w:rsidRPr="00000000" w14:paraId="0000014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penyataan beban belajar mahasiswa dalam satuan kredit semester (SKS) yang jelas, di mana 1 SKS setara dengan 45 jam per semester. Ini mencakup waktu untuk belajar tatap muka, tugas terstruktur, dan belajar mandiri, sesuai dengan ketentuan yang ditetapkan oleh Program Studi.</w:t>
                  </w:r>
                </w:p>
              </w:tc>
              <w:tc>
                <w:tcPr/>
                <w:p w:rsidR="00000000" w:rsidDel="00000000" w:rsidP="00000000" w:rsidRDefault="00000000" w:rsidRPr="00000000" w14:paraId="0000014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kesesuaian alokasi waktu dalam beban belajar yang diatur untuk komponen-komponen seperti belajar tatap muka, tugas terstruktur, dan belajar mandiri, untuk memastikan proses pembelajaran yang efisien dan terukur.</w:t>
                  </w:r>
                </w:p>
              </w:tc>
              <w:tc>
                <w:tcPr/>
                <w:p w:rsidR="00000000" w:rsidDel="00000000" w:rsidP="00000000" w:rsidRDefault="00000000" w:rsidRPr="00000000" w14:paraId="0000014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4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Terpenuhinya efisiensi proses pembelajaran melalui pengaturan beban belajar dalam SKS, yang memungkinkan mahasiswa untuk mengikuti proses pembelajaran dengan terukur dan sesuai dengan standar yang ditetapkan, memastikan efektivitas pendidikan yang diberikan.</w:t>
                  </w:r>
                </w:p>
              </w:tc>
              <w:tc>
                <w:tcPr/>
                <w:p w:rsidR="00000000" w:rsidDel="00000000" w:rsidP="00000000" w:rsidRDefault="00000000" w:rsidRPr="00000000" w14:paraId="0000015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8</w:t>
                  </w:r>
                </w:p>
              </w:tc>
              <w:tc>
                <w:tcPr/>
                <w:p w:rsidR="00000000" w:rsidDel="00000000" w:rsidP="00000000" w:rsidRDefault="00000000" w:rsidRPr="00000000" w14:paraId="0000015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penyusunan beban belajar mahasiswa dalam bentuk berbagai kegiatan pembelajaran, seperti kuliah, responsi, praktikum, penelitian, magang, dan kegiatan wirausaha, untuk meningkatkan kompetensi akademik dan non-akademik sesuai dengan standar yang telah ditetapkan.</w:t>
                  </w:r>
                </w:p>
              </w:tc>
              <w:tc>
                <w:tcPr/>
                <w:p w:rsidR="00000000" w:rsidDel="00000000" w:rsidP="00000000" w:rsidRDefault="00000000" w:rsidRPr="00000000" w14:paraId="0000015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5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Tercapainya kualitas kegiatan pembelajaran yang disusun oleh Program Studi, mencakup kuliah, responsi, praktikum, penelitian, magang, dan kegiatan wirausaha, untuk memastikan bahwa kegiatan-kegiatan tersebut berkontribusi terhadap pengembangan kompetensi mahasiswa dengan sesuai dengan standar yang berlaku.</w:t>
                  </w:r>
                </w:p>
              </w:tc>
              <w:tc>
                <w:tcPr/>
                <w:p w:rsidR="00000000" w:rsidDel="00000000" w:rsidP="00000000" w:rsidRDefault="00000000" w:rsidRPr="00000000" w14:paraId="0000016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Terpenuhinya peningkatan kompetensi akademik dan non-akademik mahasiswa melalui berbagai kegiatan pembelajaran yang telah disusun, guna memastikan mahasiswa memperoleh pengalaman yang bermanfaat dan sesuai dengan standar pendidikan yang ditetapkan oleh Program Studi.</w:t>
                  </w:r>
                </w:p>
              </w:tc>
              <w:tc>
                <w:tcPr/>
                <w:p w:rsidR="00000000" w:rsidDel="00000000" w:rsidP="00000000" w:rsidRDefault="00000000" w:rsidRPr="00000000" w14:paraId="0000016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6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9</w:t>
                  </w:r>
                </w:p>
              </w:tc>
              <w:tc>
                <w:tcPr/>
                <w:p w:rsidR="00000000" w:rsidDel="00000000" w:rsidP="00000000" w:rsidRDefault="00000000" w:rsidRPr="00000000" w14:paraId="0000017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penyelenggaraan bentuk pembelajaran melalui kegiatan belajar terbimbing, penugasan terstruktur, dan/atau mandiri yang dirancang sesuai dengan kurikulum dan tujuan pembelajaran.</w:t>
                  </w:r>
                </w:p>
              </w:tc>
              <w:tc>
                <w:tcPr/>
                <w:p w:rsidR="00000000" w:rsidDel="00000000" w:rsidP="00000000" w:rsidRDefault="00000000" w:rsidRPr="00000000" w14:paraId="0000017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Kesesuaian perancangan bentuk-bentuk pembelajaran dengan kurikulum dan tujuan pembelajaran untuk memastikan relevansi dengan kompetensi yang ingin dicapai.</w:t>
                  </w:r>
                </w:p>
              </w:tc>
              <w:tc>
                <w:tcPr/>
                <w:p w:rsidR="00000000" w:rsidDel="00000000" w:rsidP="00000000" w:rsidRDefault="00000000" w:rsidRPr="00000000" w14:paraId="0000017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7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relevansi bentuk-bentuk pembelajaran dengan kompetensi yang ingin dicapai dan materi yang diajarkan, guna meningkatkan efektivitas proses pembelajaran.</w:t>
                  </w:r>
                </w:p>
              </w:tc>
              <w:tc>
                <w:tcPr/>
                <w:p w:rsidR="00000000" w:rsidDel="00000000" w:rsidP="00000000" w:rsidRDefault="00000000" w:rsidRPr="00000000" w14:paraId="0000018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10</w:t>
                  </w:r>
                </w:p>
              </w:tc>
              <w:tc>
                <w:tcPr/>
                <w:p w:rsidR="00000000" w:rsidDel="00000000" w:rsidP="00000000" w:rsidRDefault="00000000" w:rsidRPr="00000000" w14:paraId="0000018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pemenuhan beban belajar mahasiswa di luar program studi melalui pembelajaran di program studi yang berbeda di perguruan tinggi yang sama, program studi yang sama atau berbeda di perguruan tinggi lain, serta lembaga di luar perguruan tinggi.</w:t>
                  </w:r>
                </w:p>
              </w:tc>
              <w:tc>
                <w:tcPr/>
                <w:p w:rsidR="00000000" w:rsidDel="00000000" w:rsidP="00000000" w:rsidRDefault="00000000" w:rsidRPr="00000000" w14:paraId="0000018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8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Terlaksananya pemenuhan beban belajar sesuai dengan ketentuan peraturan perundang-undangan dan sistem akreditasi yang berlaku, untuk memastikan kualitas dan legalitas proses pembelajaran.</w:t>
                  </w:r>
                </w:p>
              </w:tc>
              <w:tc>
                <w:tcPr/>
                <w:p w:rsidR="00000000" w:rsidDel="00000000" w:rsidP="00000000" w:rsidRDefault="00000000" w:rsidRPr="00000000" w14:paraId="0000019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11</w:t>
                  </w:r>
                </w:p>
              </w:tc>
              <w:tc>
                <w:tcPr/>
                <w:p w:rsidR="00000000" w:rsidDel="00000000" w:rsidP="00000000" w:rsidRDefault="00000000" w:rsidRPr="00000000" w14:paraId="0000019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beban belajar yang sesuai untuk Program Diploma Satu, dengan minimal 36 SKS dan masa tempuh 2 semester, untuk memastikan pemenuhan standar pendidikan yang ditetapkan.</w:t>
                  </w:r>
                </w:p>
              </w:tc>
              <w:tc>
                <w:tcPr/>
                <w:p w:rsidR="00000000" w:rsidDel="00000000" w:rsidP="00000000" w:rsidRDefault="00000000" w:rsidRPr="00000000" w14:paraId="0000019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9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beban belajar yang sesuai untuk Program Diploma Dua, dengan minimal 72 SKS dan masa tempuh 4 semester, guna menjamin kualitas dan konsistensi pendidikan.</w:t>
                  </w:r>
                </w:p>
              </w:tc>
              <w:tc>
                <w:tcPr/>
                <w:p w:rsidR="00000000" w:rsidDel="00000000" w:rsidP="00000000" w:rsidRDefault="00000000" w:rsidRPr="00000000" w14:paraId="000001A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A">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Tercapainya beban belajar yang sesuai untuk Program Diploma Tiga, dengan minimal 108 SKS dan masa tempuh 6 semester, untuk memastikan konsistensi dan kualitas pendidikan sesuai dengan ketentuan yang berlaku.</w:t>
                  </w:r>
                </w:p>
              </w:tc>
              <w:tc>
                <w:tcPr/>
                <w:p w:rsidR="00000000" w:rsidDel="00000000" w:rsidP="00000000" w:rsidRDefault="00000000" w:rsidRPr="00000000" w14:paraId="000001A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A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1B2">
                  <w:pPr>
                    <w:spacing w:after="120" w:before="120" w:lineRule="auto"/>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Indikator Kinerja Tambahan</w:t>
                  </w:r>
                </w:p>
              </w:tc>
            </w:tr>
            <w:tr>
              <w:trPr>
                <w:cantSplit w:val="0"/>
                <w:tblHeader w:val="0"/>
              </w:trPr>
              <w:tc>
                <w:tcPr/>
                <w:p w:rsidR="00000000" w:rsidDel="00000000" w:rsidP="00000000" w:rsidRDefault="00000000" w:rsidRPr="00000000" w14:paraId="000001B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Tulis Kode Standar</w:t>
                  </w:r>
                </w:p>
              </w:tc>
              <w:tc>
                <w:tcPr/>
                <w:p w:rsidR="00000000" w:rsidDel="00000000" w:rsidP="00000000" w:rsidRDefault="00000000" w:rsidRPr="00000000" w14:paraId="000001BB">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C">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D">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E">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BF">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1">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2">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3">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4">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6">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8">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C9">
                  <w:pPr>
                    <w:spacing w:after="120" w:before="120" w:lineRule="auto"/>
                    <w:rPr>
                      <w:rFonts w:ascii="Bookman Old Style" w:cs="Bookman Old Style" w:eastAsia="Bookman Old Style" w:hAnsi="Bookman Old Style"/>
                      <w:sz w:val="18"/>
                      <w:szCs w:val="18"/>
                    </w:rPr>
                  </w:pPr>
                  <w:r w:rsidDel="00000000" w:rsidR="00000000" w:rsidRPr="00000000">
                    <w:rPr>
                      <w:rtl w:val="0"/>
                    </w:rPr>
                  </w:r>
                </w:p>
              </w:tc>
            </w:tr>
          </w:tbl>
          <w:p w:rsidR="00000000" w:rsidDel="00000000" w:rsidP="00000000" w:rsidRDefault="00000000" w:rsidRPr="00000000" w14:paraId="000001CA">
            <w:pPr>
              <w:spacing w:after="120" w:before="120" w:lineRule="auto"/>
              <w:rPr>
                <w:rFonts w:ascii="Bookman Old Style" w:cs="Bookman Old Style" w:eastAsia="Bookman Old Style" w:hAnsi="Bookman Old Styl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Strategi Pelaksanaan Standar</w:t>
            </w:r>
          </w:p>
        </w:tc>
        <w:tc>
          <w:tcPr>
            <w:shd w:fill="auto" w:val="clear"/>
          </w:tcPr>
          <w:p w:rsidR="00000000" w:rsidDel="00000000" w:rsidP="00000000" w:rsidRDefault="00000000" w:rsidRPr="00000000" w14:paraId="000001CC">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Pada bagian ini mendeskripsiskan strategi pencapaian standar sesuai dengan indicator kinerja yang harus dicapai seperti yang dituliskan pada bagian 6</w:t>
            </w:r>
          </w:p>
          <w:p w:rsidR="00000000" w:rsidDel="00000000" w:rsidP="00000000" w:rsidRDefault="00000000" w:rsidRPr="00000000" w14:paraId="000001CD">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Perumusan strategi pelaksanaan dapat mengadopsi:</w:t>
            </w:r>
          </w:p>
          <w:p w:rsidR="00000000" w:rsidDel="00000000" w:rsidP="00000000" w:rsidRDefault="00000000" w:rsidRPr="00000000" w14:paraId="000001C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Pernyataan strategi generic</w:t>
            </w:r>
          </w:p>
          <w:p w:rsidR="00000000" w:rsidDel="00000000" w:rsidP="00000000" w:rsidRDefault="00000000" w:rsidRPr="00000000" w14:paraId="000001C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Pernyataan strategi spesifik berdasarkan indicator capaian</w:t>
            </w:r>
          </w:p>
          <w:tbl>
            <w:tblPr>
              <w:tblStyle w:val="Table5"/>
              <w:tblW w:w="7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1"/>
              <w:gridCol w:w="1751"/>
              <w:gridCol w:w="1751"/>
              <w:gridCol w:w="1751"/>
              <w:tblGridChange w:id="0">
                <w:tblGrid>
                  <w:gridCol w:w="1751"/>
                  <w:gridCol w:w="1751"/>
                  <w:gridCol w:w="1751"/>
                  <w:gridCol w:w="1751"/>
                </w:tblGrid>
              </w:tblGridChange>
            </w:tblGrid>
            <w:tr>
              <w:trPr>
                <w:cantSplit w:val="0"/>
                <w:tblHeader w:val="1"/>
              </w:trPr>
              <w:tc>
                <w:tcPr/>
                <w:p w:rsidR="00000000" w:rsidDel="00000000" w:rsidP="00000000" w:rsidRDefault="00000000" w:rsidRPr="00000000" w14:paraId="000001D0">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Indikator Capaian</w:t>
                  </w:r>
                </w:p>
              </w:tc>
              <w:tc>
                <w:tcPr/>
                <w:p w:rsidR="00000000" w:rsidDel="00000000" w:rsidP="00000000" w:rsidRDefault="00000000" w:rsidRPr="00000000" w14:paraId="000001D1">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Strategi Pencapaian</w:t>
                  </w:r>
                </w:p>
              </w:tc>
              <w:tc>
                <w:tcPr/>
                <w:p w:rsidR="00000000" w:rsidDel="00000000" w:rsidP="00000000" w:rsidRDefault="00000000" w:rsidRPr="00000000" w14:paraId="000001D2">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Pihak yang terkait</w:t>
                  </w:r>
                </w:p>
              </w:tc>
              <w:tc>
                <w:tcPr/>
                <w:p w:rsidR="00000000" w:rsidDel="00000000" w:rsidP="00000000" w:rsidRDefault="00000000" w:rsidRPr="00000000" w14:paraId="000001D3">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Mekanisme Kontrol</w:t>
                  </w:r>
                </w:p>
              </w:tc>
            </w:tr>
            <w:tr>
              <w:trPr>
                <w:cantSplit w:val="0"/>
                <w:tblHeader w:val="0"/>
              </w:trPr>
              <w:tc>
                <w:tcPr/>
                <w:p w:rsidR="00000000" w:rsidDel="00000000" w:rsidP="00000000" w:rsidRDefault="00000000" w:rsidRPr="00000000" w14:paraId="000001D4">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r>
                </w:p>
              </w:tc>
              <w:tc>
                <w:tcPr/>
                <w:p w:rsidR="00000000" w:rsidDel="00000000" w:rsidP="00000000" w:rsidRDefault="00000000" w:rsidRPr="00000000" w14:paraId="000001D5">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Suasana Belajar yang Menyenangkan</w:t>
                  </w:r>
                </w:p>
                <w:p w:rsidR="00000000" w:rsidDel="00000000" w:rsidP="00000000" w:rsidRDefault="00000000" w:rsidRPr="00000000" w14:paraId="000001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Penerapan metode pembelajaran interaktif seperti diskusi kelompok, permainan edukatif, dan simulasi untuk membuat materi ajar lebih menarik dan relevan.</w:t>
                  </w:r>
                </w:p>
                <w:p w:rsidR="00000000" w:rsidDel="00000000" w:rsidP="00000000" w:rsidRDefault="00000000" w:rsidRPr="00000000" w14:paraId="000001D7">
                  <w:pPr>
                    <w:numPr>
                      <w:ilvl w:val="0"/>
                      <w:numId w:val="9"/>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Penggunaan berbagai media seperti video, aplikasi edukasi, dan alat bantu visual untuk meningkatkan daya tarik dan pemahaman materi.</w:t>
                  </w:r>
                </w:p>
                <w:p w:rsidR="00000000" w:rsidDel="00000000" w:rsidP="00000000" w:rsidRDefault="00000000" w:rsidRPr="00000000" w14:paraId="000001D8">
                  <w:pPr>
                    <w:numPr>
                      <w:ilvl w:val="0"/>
                      <w:numId w:val="9"/>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Menciptakan suasana kelas yang nyaman dengan pengaturan tempat duduk yang fleksibel, dekorasi menarik, dan fasilitas yang mendukung untuk memfasilitasi pembelajaran yang efektif.</w:t>
                  </w:r>
                </w:p>
              </w:tc>
              <w:tc>
                <w:tcPr/>
                <w:p w:rsidR="00000000" w:rsidDel="00000000" w:rsidP="00000000" w:rsidRDefault="00000000" w:rsidRPr="00000000" w14:paraId="000001D9">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p>
              </w:tc>
              <w:tc>
                <w:tcPr/>
                <w:p w:rsidR="00000000" w:rsidDel="00000000" w:rsidP="00000000" w:rsidRDefault="00000000" w:rsidRPr="00000000" w14:paraId="000001D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1DB">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1DC">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Suasana Belajar yang Inklusif</w:t>
                    <w:br w:type="textWrapping"/>
                  </w:r>
                </w:p>
                <w:p w:rsidR="00000000" w:rsidDel="00000000" w:rsidP="00000000" w:rsidRDefault="00000000" w:rsidRPr="00000000" w14:paraId="000001D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301"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Modifikasi materi ajar dan metode pengajaran agar dapat diakses oleh semua siswa, termasuk mereka dengan kebutuhan khusus, untuk memastikan pemahaman yang menyeluruh.</w:t>
                  </w:r>
                </w:p>
                <w:p w:rsidR="00000000" w:rsidDel="00000000" w:rsidP="00000000" w:rsidRDefault="00000000" w:rsidRPr="00000000" w14:paraId="000001D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01"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Penerapan pendekatan diferensiasi melalui tugas dan kegiatan yang disesuaikan dengan berbagai gaya belajar siswa, mendukung partisipasi aktif dari semua peserta didik.</w:t>
                  </w:r>
                </w:p>
                <w:p w:rsidR="00000000" w:rsidDel="00000000" w:rsidP="00000000" w:rsidRDefault="00000000" w:rsidRPr="00000000" w14:paraId="000001D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240" w:lineRule="auto"/>
                    <w:ind w:left="301"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penyelenggaraan kegiatan yang mempromosikan pemahaman dan penghargaan terhadap keberagaman untuk menciptakan lingkungan belajar yang inklusif dan menghormati latar belakang budaya serta sosial yang beragam.</w:t>
                  </w:r>
                </w:p>
                <w:p w:rsidR="00000000" w:rsidDel="00000000" w:rsidP="00000000" w:rsidRDefault="00000000" w:rsidRPr="00000000" w14:paraId="000001E0">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E1">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r w:rsidDel="00000000" w:rsidR="00000000" w:rsidRPr="00000000">
                    <w:rPr>
                      <w:rtl w:val="0"/>
                    </w:rPr>
                  </w:r>
                </w:p>
              </w:tc>
              <w:tc>
                <w:tcPr/>
                <w:p w:rsidR="00000000" w:rsidDel="00000000" w:rsidP="00000000" w:rsidRDefault="00000000" w:rsidRPr="00000000" w14:paraId="000001E2">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1E3">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1E4">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Suasana Belajar Kolaboratif</w:t>
                  </w:r>
                </w:p>
                <w:p w:rsidR="00000000" w:rsidDel="00000000" w:rsidP="00000000" w:rsidRDefault="00000000" w:rsidRPr="00000000" w14:paraId="000001E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8"/>
                      <w:szCs w:val="18"/>
                      <w:u w:val="none"/>
                      <w:shd w:fill="auto" w:val="clear"/>
                      <w:vertAlign w:val="baseline"/>
                      <w:rtl w:val="0"/>
                    </w:rPr>
                    <w:t xml:space="preserve">Perancangan Tugas Kelompok: </w:t>
                  </w: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Pembuatan tugas dan proyek yang secara khusus dirancang untuk memfasilitasi kolaborasi antar siswa. Tugas ini bisa berupa penelitian kelompok, studi kasus, atau presentasi tim. Pastikan setiap anggota kelompok memiliki peran yang jelas agar semua siswa berkontribusi secara aktif.</w:t>
                  </w:r>
                </w:p>
                <w:p w:rsidR="00000000" w:rsidDel="00000000" w:rsidP="00000000" w:rsidRDefault="00000000" w:rsidRPr="00000000" w14:paraId="000001E6">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8"/>
                      <w:szCs w:val="18"/>
                      <w:u w:val="none"/>
                      <w:shd w:fill="auto" w:val="clear"/>
                      <w:vertAlign w:val="baseline"/>
                      <w:rtl w:val="0"/>
                    </w:rPr>
                    <w:t xml:space="preserve">Pemberian Dukungan dan Fasilitasi:</w:t>
                  </w: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 Pemberian bimbingan dan alat-alat yang diperlukan selama kegiatan kelompok berlangsung. Sediakan sumber daya yang mendukung kerja sama efektif, seperti akses ke materi pembelajaran tambahan, alat komunikasi, atau ruang diskusi.</w:t>
                  </w:r>
                </w:p>
                <w:p w:rsidR="00000000" w:rsidDel="00000000" w:rsidP="00000000" w:rsidRDefault="00000000" w:rsidRPr="00000000" w14:paraId="000001E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8"/>
                      <w:szCs w:val="18"/>
                      <w:u w:val="none"/>
                      <w:shd w:fill="auto" w:val="clear"/>
                      <w:vertAlign w:val="baseline"/>
                      <w:rtl w:val="0"/>
                    </w:rPr>
                    <w:t xml:space="preserve">Penilaian Kolaboratif:</w:t>
                  </w: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 Penggunaan rubrik penilaian yang mencakup evaluasi kontribusi individu dan kelompok secara adil. Ini bisa mencakup parameter seperti partisipasi, kualitas hasil kelompok, serta kemampuan berkomunikasi dan bekerja sama di antara siswa.</w:t>
                  </w:r>
                </w:p>
                <w:p w:rsidR="00000000" w:rsidDel="00000000" w:rsidP="00000000" w:rsidRDefault="00000000" w:rsidRPr="00000000" w14:paraId="000001E9">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E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r w:rsidDel="00000000" w:rsidR="00000000" w:rsidRPr="00000000">
                    <w:rPr>
                      <w:rtl w:val="0"/>
                    </w:rPr>
                  </w:r>
                </w:p>
              </w:tc>
              <w:tc>
                <w:tcPr/>
                <w:p w:rsidR="00000000" w:rsidDel="00000000" w:rsidP="00000000" w:rsidRDefault="00000000" w:rsidRPr="00000000" w14:paraId="000001EB">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1EC">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1ED">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Suasana Belajar yang Efektif</w:t>
                  </w:r>
                </w:p>
                <w:p w:rsidR="00000000" w:rsidDel="00000000" w:rsidP="00000000" w:rsidRDefault="00000000" w:rsidRPr="00000000" w14:paraId="000001E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Penetapan Tujuan: Menetapkan dan menyampaikan tujuan pembelajaran yang spesifik dan terukur di awal setiap sesi untuk memastikan siswa memahami arah pembelajaran.</w:t>
                  </w:r>
                </w:p>
                <w:p w:rsidR="00000000" w:rsidDel="00000000" w:rsidP="00000000" w:rsidRDefault="00000000" w:rsidRPr="00000000" w14:paraId="000001E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Teknik Penilaian: Menerapkan berbagai teknik penilaian yang relevan, seperti tes, proyek, atau presentasi, sesuai dengan tujuan yang ingin dicapai.</w:t>
                  </w:r>
                </w:p>
                <w:p w:rsidR="00000000" w:rsidDel="00000000" w:rsidP="00000000" w:rsidRDefault="00000000" w:rsidRPr="00000000" w14:paraId="000001F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Umpan Balik Konstruktif: Memberikan umpan balik yang jelas dan fokus pada pengembangan siswa, serta memberikan kesempatan untuk revisi dan perbaikan kinerja.</w:t>
                  </w:r>
                </w:p>
                <w:p w:rsidR="00000000" w:rsidDel="00000000" w:rsidP="00000000" w:rsidRDefault="00000000" w:rsidRPr="00000000" w14:paraId="000001F1">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F2">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F3">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F4">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F5">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1F6">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r w:rsidDel="00000000" w:rsidR="00000000" w:rsidRPr="00000000">
                    <w:rPr>
                      <w:rtl w:val="0"/>
                    </w:rPr>
                  </w:r>
                </w:p>
              </w:tc>
              <w:tc>
                <w:tcPr/>
                <w:p w:rsidR="00000000" w:rsidDel="00000000" w:rsidP="00000000" w:rsidRDefault="00000000" w:rsidRPr="00000000" w14:paraId="000001F7">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1F8">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r>
                </w:p>
              </w:tc>
              <w:tc>
                <w:tcPr/>
                <w:p w:rsidR="00000000" w:rsidDel="00000000" w:rsidP="00000000" w:rsidRDefault="00000000" w:rsidRPr="00000000" w14:paraId="000001F9">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Kesempatan Belajar yang Sama</w:t>
                  </w:r>
                </w:p>
                <w:p w:rsidR="00000000" w:rsidDel="00000000" w:rsidP="00000000" w:rsidRDefault="00000000" w:rsidRPr="00000000" w14:paraId="000001F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Akses Materi:</w:t>
                  </w:r>
                  <w:r w:rsidDel="00000000" w:rsidR="00000000" w:rsidRPr="00000000">
                    <w:rPr>
                      <w:rtl w:val="0"/>
                    </w:rPr>
                  </w:r>
                </w:p>
                <w:p w:rsidR="00000000" w:rsidDel="00000000" w:rsidP="00000000" w:rsidRDefault="00000000" w:rsidRPr="00000000" w14:paraId="000001FB">
                  <w:pPr>
                    <w:numPr>
                      <w:ilvl w:val="0"/>
                      <w:numId w:val="19"/>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Pastikan materi tersedia dalam format yang dapat diakses semua mahasiswa, seperti teks digital, audio, dan video dengan subtitle.</w:t>
                  </w:r>
                </w:p>
                <w:p w:rsidR="00000000" w:rsidDel="00000000" w:rsidP="00000000" w:rsidRDefault="00000000" w:rsidRPr="00000000" w14:paraId="000001FC">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Kebijakan Inklusi:</w:t>
                  </w:r>
                  <w:r w:rsidDel="00000000" w:rsidR="00000000" w:rsidRPr="00000000">
                    <w:rPr>
                      <w:rtl w:val="0"/>
                    </w:rPr>
                  </w:r>
                </w:p>
                <w:p w:rsidR="00000000" w:rsidDel="00000000" w:rsidP="00000000" w:rsidRDefault="00000000" w:rsidRPr="00000000" w14:paraId="000001FD">
                  <w:pPr>
                    <w:numPr>
                      <w:ilvl w:val="0"/>
                      <w:numId w:val="20"/>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Terapkan kebijakan yang mendukung kesetaraan kesempatan belajar dan akses ke bantuan akademik serta fasilitas.</w:t>
                  </w:r>
                </w:p>
                <w:p w:rsidR="00000000" w:rsidDel="00000000" w:rsidP="00000000" w:rsidRDefault="00000000" w:rsidRPr="00000000" w14:paraId="000001FE">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Dukungan Kebutuhan Khusus:</w:t>
                  </w:r>
                  <w:r w:rsidDel="00000000" w:rsidR="00000000" w:rsidRPr="00000000">
                    <w:rPr>
                      <w:rtl w:val="0"/>
                    </w:rPr>
                  </w:r>
                </w:p>
                <w:p w:rsidR="00000000" w:rsidDel="00000000" w:rsidP="00000000" w:rsidRDefault="00000000" w:rsidRPr="00000000" w14:paraId="000001FF">
                  <w:pPr>
                    <w:numPr>
                      <w:ilvl w:val="0"/>
                      <w:numId w:val="21"/>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Sediakan dukungan tambahan, seperti tutor dan teknologi bantu, serta sesuaikan pendekatan pembelajaran untuk kebutuhan khusus mahasiswa.</w:t>
                  </w:r>
                </w:p>
                <w:p w:rsidR="00000000" w:rsidDel="00000000" w:rsidP="00000000" w:rsidRDefault="00000000" w:rsidRPr="00000000" w14:paraId="00000200">
                  <w:pPr>
                    <w:spacing w:after="120" w:before="120" w:lineRule="auto"/>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201">
                  <w:pPr>
                    <w:spacing w:after="120" w:before="120" w:lineRule="auto"/>
                    <w:rPr>
                      <w:rFonts w:ascii="Bookman Old Style" w:cs="Bookman Old Style" w:eastAsia="Bookman Old Style" w:hAnsi="Bookman Old Style"/>
                      <w:b w:val="1"/>
                      <w:sz w:val="18"/>
                      <w:szCs w:val="18"/>
                    </w:rPr>
                  </w:pPr>
                  <w:r w:rsidDel="00000000" w:rsidR="00000000" w:rsidRPr="00000000">
                    <w:rPr>
                      <w:rtl w:val="0"/>
                    </w:rPr>
                  </w:r>
                </w:p>
              </w:tc>
              <w:tc>
                <w:tcPr/>
                <w:p w:rsidR="00000000" w:rsidDel="00000000" w:rsidP="00000000" w:rsidRDefault="00000000" w:rsidRPr="00000000" w14:paraId="0000020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p>
              </w:tc>
              <w:tc>
                <w:tcPr/>
                <w:p w:rsidR="00000000" w:rsidDel="00000000" w:rsidP="00000000" w:rsidRDefault="00000000" w:rsidRPr="00000000" w14:paraId="00000203">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04">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05">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Penerimaan terhadap Keberagaman Latar Belakang</w:t>
                  </w:r>
                </w:p>
                <w:p w:rsidR="00000000" w:rsidDel="00000000" w:rsidP="00000000" w:rsidRDefault="00000000" w:rsidRPr="00000000" w14:paraId="00000206">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P</w:t>
                  </w:r>
                  <w:r w:rsidDel="00000000" w:rsidR="00000000" w:rsidRPr="00000000">
                    <w:rPr>
                      <w:rFonts w:ascii="Bookman Old Style" w:cs="Bookman Old Style" w:eastAsia="Bookman Old Style" w:hAnsi="Bookman Old Style"/>
                      <w:sz w:val="18"/>
                      <w:szCs w:val="18"/>
                      <w:rtl w:val="0"/>
                    </w:rPr>
                    <w:t xml:space="preserve">endekatan Pembelajaran:</w:t>
                  </w:r>
                </w:p>
                <w:p w:rsidR="00000000" w:rsidDel="00000000" w:rsidP="00000000" w:rsidRDefault="00000000" w:rsidRPr="00000000" w14:paraId="00000207">
                  <w:pPr>
                    <w:numPr>
                      <w:ilvl w:val="0"/>
                      <w:numId w:val="25"/>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Penerapan pengajaran yang sensitif terhadap keberagaman latar belakang mahasiswa dengan materi yang relevan secara budaya dan sosial.</w:t>
                  </w:r>
                </w:p>
                <w:p w:rsidR="00000000" w:rsidDel="00000000" w:rsidP="00000000" w:rsidRDefault="00000000" w:rsidRPr="00000000" w14:paraId="00000208">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Aktivitas Inklusif:</w:t>
                  </w:r>
                </w:p>
                <w:p w:rsidR="00000000" w:rsidDel="00000000" w:rsidP="00000000" w:rsidRDefault="00000000" w:rsidRPr="00000000" w14:paraId="00000209">
                  <w:pPr>
                    <w:numPr>
                      <w:ilvl w:val="0"/>
                      <w:numId w:val="17"/>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Perancangan aktivitas yang mempromosikan diskusi dan refleksi tentang keberagaman, serta sertakan perspektif yang beragam.</w:t>
                  </w:r>
                </w:p>
                <w:p w:rsidR="00000000" w:rsidDel="00000000" w:rsidP="00000000" w:rsidRDefault="00000000" w:rsidRPr="00000000" w14:paraId="0000020A">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Evaluasi dan Penyesuaian:</w:t>
                  </w:r>
                </w:p>
                <w:p w:rsidR="00000000" w:rsidDel="00000000" w:rsidP="00000000" w:rsidRDefault="00000000" w:rsidRPr="00000000" w14:paraId="0000020B">
                  <w:pPr>
                    <w:numPr>
                      <w:ilvl w:val="0"/>
                      <w:numId w:val="18"/>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Penyesuaian metode pembelajaran dan penilaian untuk memastikan partisipasi efektif dari semua mahasiswa.</w:t>
                  </w:r>
                </w:p>
                <w:p w:rsidR="00000000" w:rsidDel="00000000" w:rsidP="00000000" w:rsidRDefault="00000000" w:rsidRPr="00000000" w14:paraId="0000020C">
                  <w:pPr>
                    <w:spacing w:after="120" w:before="120" w:lineRule="auto"/>
                    <w:rPr>
                      <w:rFonts w:ascii="Bookman Old Style" w:cs="Bookman Old Style" w:eastAsia="Bookman Old Style" w:hAnsi="Bookman Old Style"/>
                      <w:b w:val="1"/>
                      <w:sz w:val="18"/>
                      <w:szCs w:val="18"/>
                    </w:rPr>
                  </w:pPr>
                  <w:r w:rsidDel="00000000" w:rsidR="00000000" w:rsidRPr="00000000">
                    <w:rPr>
                      <w:rtl w:val="0"/>
                    </w:rPr>
                  </w:r>
                </w:p>
              </w:tc>
              <w:tc>
                <w:tcPr/>
                <w:p w:rsidR="00000000" w:rsidDel="00000000" w:rsidP="00000000" w:rsidRDefault="00000000" w:rsidRPr="00000000" w14:paraId="0000020D">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p>
              </w:tc>
              <w:tc>
                <w:tcPr/>
                <w:p w:rsidR="00000000" w:rsidDel="00000000" w:rsidP="00000000" w:rsidRDefault="00000000" w:rsidRPr="00000000" w14:paraId="0000020E">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0F">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10">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Kesetaraan Jalur Penerimaan</w:t>
                  </w:r>
                </w:p>
                <w:p w:rsidR="00000000" w:rsidDel="00000000" w:rsidP="00000000" w:rsidRDefault="00000000" w:rsidRPr="00000000" w14:paraId="00000211">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Tugas Kreatif:</w:t>
                  </w:r>
                  <w:r w:rsidDel="00000000" w:rsidR="00000000" w:rsidRPr="00000000">
                    <w:rPr>
                      <w:rtl w:val="0"/>
                    </w:rPr>
                  </w:r>
                </w:p>
                <w:p w:rsidR="00000000" w:rsidDel="00000000" w:rsidP="00000000" w:rsidRDefault="00000000" w:rsidRPr="00000000" w14:paraId="00000212">
                  <w:pPr>
                    <w:numPr>
                      <w:ilvl w:val="0"/>
                      <w:numId w:val="22"/>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Berikan tugas yang memungkinkan mahasiswa mengeksplorasi kreativitas, seperti proyek desain, penelitian inovatif, atau presentasi multimedia.</w:t>
                  </w:r>
                </w:p>
                <w:p w:rsidR="00000000" w:rsidDel="00000000" w:rsidP="00000000" w:rsidRDefault="00000000" w:rsidRPr="00000000" w14:paraId="00000213">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Metode Pembelajaran Kreatif:</w:t>
                  </w:r>
                  <w:r w:rsidDel="00000000" w:rsidR="00000000" w:rsidRPr="00000000">
                    <w:rPr>
                      <w:rtl w:val="0"/>
                    </w:rPr>
                  </w:r>
                </w:p>
                <w:p w:rsidR="00000000" w:rsidDel="00000000" w:rsidP="00000000" w:rsidRDefault="00000000" w:rsidRPr="00000000" w14:paraId="00000214">
                  <w:pPr>
                    <w:numPr>
                      <w:ilvl w:val="0"/>
                      <w:numId w:val="22"/>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Gunakan teknik pembelajaran yang mendorong pemikiran kreatif, seperti studi kasus, pembelajaran berbasis proyek, atau simulasi.</w:t>
                  </w:r>
                </w:p>
                <w:p w:rsidR="00000000" w:rsidDel="00000000" w:rsidP="00000000" w:rsidRDefault="00000000" w:rsidRPr="00000000" w14:paraId="00000215">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Umpan Balik Kreatif:</w:t>
                  </w:r>
                  <w:r w:rsidDel="00000000" w:rsidR="00000000" w:rsidRPr="00000000">
                    <w:rPr>
                      <w:rtl w:val="0"/>
                    </w:rPr>
                  </w:r>
                </w:p>
                <w:p w:rsidR="00000000" w:rsidDel="00000000" w:rsidP="00000000" w:rsidRDefault="00000000" w:rsidRPr="00000000" w14:paraId="00000216">
                  <w:pPr>
                    <w:numPr>
                      <w:ilvl w:val="0"/>
                      <w:numId w:val="22"/>
                    </w:numPr>
                    <w:spacing w:after="120" w:before="120" w:lineRule="auto"/>
                    <w:ind w:left="360" w:hanging="360"/>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Berikan umpan balik yang mendukung dan menghargai usaha kreatif mahasiswa, serta dorong pengembangan ide-ide baru.</w:t>
                  </w:r>
                </w:p>
                <w:p w:rsidR="00000000" w:rsidDel="00000000" w:rsidP="00000000" w:rsidRDefault="00000000" w:rsidRPr="00000000" w14:paraId="00000217">
                  <w:pPr>
                    <w:spacing w:after="120" w:before="120" w:lineRule="auto"/>
                    <w:rPr>
                      <w:rFonts w:ascii="Bookman Old Style" w:cs="Bookman Old Style" w:eastAsia="Bookman Old Style" w:hAnsi="Bookman Old Style"/>
                      <w:sz w:val="18"/>
                      <w:szCs w:val="18"/>
                    </w:rPr>
                  </w:pPr>
                  <w:r w:rsidDel="00000000" w:rsidR="00000000" w:rsidRPr="00000000">
                    <w:rPr>
                      <w:rtl w:val="0"/>
                    </w:rPr>
                  </w:r>
                </w:p>
              </w:tc>
              <w:tc>
                <w:tcPr/>
                <w:p w:rsidR="00000000" w:rsidDel="00000000" w:rsidP="00000000" w:rsidRDefault="00000000" w:rsidRPr="00000000" w14:paraId="00000218">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Koordinator Program Studi, Dosen, Mahasiswa, Pengelola Fasilitas</w:t>
                  </w:r>
                </w:p>
              </w:tc>
              <w:tc>
                <w:tcPr/>
                <w:p w:rsidR="00000000" w:rsidDel="00000000" w:rsidP="00000000" w:rsidRDefault="00000000" w:rsidRPr="00000000" w14:paraId="00000219">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1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r>
                </w:p>
              </w:tc>
              <w:tc>
                <w:tcPr/>
                <w:p w:rsidR="00000000" w:rsidDel="00000000" w:rsidP="00000000" w:rsidRDefault="00000000" w:rsidRPr="00000000" w14:paraId="0000021B">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Keamanan</w:t>
                  </w:r>
                </w:p>
                <w:p w:rsidR="00000000" w:rsidDel="00000000" w:rsidP="00000000" w:rsidRDefault="00000000" w:rsidRPr="00000000" w14:paraId="0000021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Menyusun dan mengimplementasikan prosedur keamanan yang komprehensif, termasuk pelatihan bagi staf dan siswa mengenai tindakan darurat.</w:t>
                  </w:r>
                </w:p>
                <w:p w:rsidR="00000000" w:rsidDel="00000000" w:rsidP="00000000" w:rsidRDefault="00000000" w:rsidRPr="00000000" w14:paraId="0000021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Mengadakan simulasi dan latihan berkala mengenai penanganan keadaan darurat, seperti kebakaran atau bencana alam.</w:t>
                  </w:r>
                </w:p>
                <w:p w:rsidR="00000000" w:rsidDel="00000000" w:rsidP="00000000" w:rsidRDefault="00000000" w:rsidRPr="00000000" w14:paraId="0000021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Memastikan keberadaan petugas keamanan atau sistem pengawasan yang memadai di seluruh area kampus.</w:t>
                  </w:r>
                  <w:r w:rsidDel="00000000" w:rsidR="00000000" w:rsidRPr="00000000">
                    <w:rPr>
                      <w:rtl w:val="0"/>
                    </w:rPr>
                  </w:r>
                </w:p>
              </w:tc>
              <w:tc>
                <w:tcPr/>
                <w:p w:rsidR="00000000" w:rsidDel="00000000" w:rsidP="00000000" w:rsidRDefault="00000000" w:rsidRPr="00000000" w14:paraId="0000021F">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Petugas Keamangan, Dosen, Mahasiswa</w:t>
                  </w:r>
                </w:p>
              </w:tc>
              <w:tc>
                <w:tcPr/>
                <w:p w:rsidR="00000000" w:rsidDel="00000000" w:rsidP="00000000" w:rsidRDefault="00000000" w:rsidRPr="00000000" w14:paraId="00000220">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21">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22">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Kenyamanan</w:t>
                  </w:r>
                </w:p>
                <w:p w:rsidR="00000000" w:rsidDel="00000000" w:rsidP="00000000" w:rsidRDefault="00000000" w:rsidRPr="00000000" w14:paraId="0000022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Mengoptimalkan desain ruang kelas dan fasilitas lain dengan mempertimbangkan aspek ergonomis dan aksesibilitas.</w:t>
                  </w:r>
                </w:p>
                <w:p w:rsidR="00000000" w:rsidDel="00000000" w:rsidP="00000000" w:rsidRDefault="00000000" w:rsidRPr="00000000" w14:paraId="0000022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fasilitas kesehatan, seperti klinik atau layanan kesehatan mental, serta membuat kebijakan yang mendukung kesehatan fisik dan emosional.</w:t>
                  </w:r>
                </w:p>
                <w:p w:rsidR="00000000" w:rsidDel="00000000" w:rsidP="00000000" w:rsidRDefault="00000000" w:rsidRPr="00000000" w14:paraId="0000022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Melakukan survei rutin tentang kepuasan dan kenyamanan sivitas akademika untuk melakukan perbaikan yang diperlukan.</w:t>
                  </w:r>
                  <w:r w:rsidDel="00000000" w:rsidR="00000000" w:rsidRPr="00000000">
                    <w:rPr>
                      <w:rtl w:val="0"/>
                    </w:rPr>
                  </w:r>
                </w:p>
              </w:tc>
              <w:tc>
                <w:tcPr/>
                <w:p w:rsidR="00000000" w:rsidDel="00000000" w:rsidP="00000000" w:rsidRDefault="00000000" w:rsidRPr="00000000" w14:paraId="00000226">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Petugas Keamangan, Dosen, Mahasiswa</w:t>
                  </w:r>
                </w:p>
              </w:tc>
              <w:tc>
                <w:tcPr/>
                <w:p w:rsidR="00000000" w:rsidDel="00000000" w:rsidP="00000000" w:rsidRDefault="00000000" w:rsidRPr="00000000" w14:paraId="00000227">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28">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29">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Kesejahteraan</w:t>
                    <w:br w:type="textWrapping"/>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Mengembangkan program kesejahteraan yang mencakup dukungan kesehatan mental, konseling, dan kegiatan yang mendukung keseimbangan kehidupan kerja.</w:t>
                  </w:r>
                </w:p>
                <w:p w:rsidR="00000000" w:rsidDel="00000000" w:rsidP="00000000" w:rsidRDefault="00000000" w:rsidRPr="00000000" w14:paraId="000002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akses mudah ke layanan bimbingan dan konseling serta mengadakan workshop tentang manajemen stres dan kesehatan mental.</w:t>
                  </w:r>
                </w:p>
                <w:p w:rsidR="00000000" w:rsidDel="00000000" w:rsidP="00000000" w:rsidRDefault="00000000" w:rsidRPr="00000000" w14:paraId="000002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Membentuk komite kesejahteraan yang terdiri dari anggota sivitas akademika untuk merencanakan dan mengevaluasi inisiatif kesejahteraan.</w:t>
                  </w:r>
                  <w:r w:rsidDel="00000000" w:rsidR="00000000" w:rsidRPr="00000000">
                    <w:rPr>
                      <w:rtl w:val="0"/>
                    </w:rPr>
                  </w:r>
                </w:p>
              </w:tc>
              <w:tc>
                <w:tcPr/>
                <w:p w:rsidR="00000000" w:rsidDel="00000000" w:rsidP="00000000" w:rsidRDefault="00000000" w:rsidRPr="00000000" w14:paraId="0000022D">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Dosen, Mahasiswa</w:t>
                  </w:r>
                </w:p>
              </w:tc>
              <w:tc>
                <w:tcPr/>
                <w:p w:rsidR="00000000" w:rsidDel="00000000" w:rsidP="00000000" w:rsidRDefault="00000000" w:rsidRPr="00000000" w14:paraId="0000022E">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2F">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r>
                </w:p>
              </w:tc>
              <w:tc>
                <w:tcPr/>
                <w:p w:rsidR="00000000" w:rsidDel="00000000" w:rsidP="00000000" w:rsidRDefault="00000000" w:rsidRPr="00000000" w14:paraId="00000230">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Fleksibilitas Kurikulum</w:t>
                  </w:r>
                </w:p>
                <w:p w:rsidR="00000000" w:rsidDel="00000000" w:rsidP="00000000" w:rsidRDefault="00000000" w:rsidRPr="00000000" w14:paraId="0000023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Melakukan evaluasi dan revisi kurikulum secara berkala untuk memastikan relevansi dan adaptabilitasnya dengan perkembangan terbaru dalam bidang ilmu pengetahuan dan teknologi.</w:t>
                  </w:r>
                </w:p>
                <w:p w:rsidR="00000000" w:rsidDel="00000000" w:rsidP="00000000" w:rsidRDefault="00000000" w:rsidRPr="00000000" w14:paraId="0000023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pilihan mata pelajaran atau modul yang dapat dipilih oleh peserta didik sesuai dengan minat dan kebutuhan mereka.</w:t>
                  </w:r>
                </w:p>
                <w:p w:rsidR="00000000" w:rsidDel="00000000" w:rsidP="00000000" w:rsidRDefault="00000000" w:rsidRPr="00000000" w14:paraId="0000023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Mengintegrasikan teknologi dalam proses pembelajaran untuk mendukung berbagai mode pembelajaran, seperti e-learning, blended learning, dan microlearning.</w:t>
                  </w:r>
                </w:p>
              </w:tc>
              <w:tc>
                <w:tcPr/>
                <w:p w:rsidR="00000000" w:rsidDel="00000000" w:rsidP="00000000" w:rsidRDefault="00000000" w:rsidRPr="00000000" w14:paraId="00000234">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35">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36">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37">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Akses ke Pembelajaran</w:t>
                    <w:br w:type="textWrapping"/>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Mengembangkan dan memelihara platform pembelajaran digital yang memungkinkan akses mudah bagi peserta didik dari berbagai lokasi dan dengan berbagai perangkat.</w:t>
                  </w:r>
                </w:p>
                <w:p w:rsidR="00000000" w:rsidDel="00000000" w:rsidP="00000000" w:rsidRDefault="00000000" w:rsidRPr="00000000" w14:paraId="0000023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materi pembelajaran dalam format yang bervariasi, seperti video, audio, dan teks, untuk memenuhi berbagai kebutuhan gaya belajar dan aksesibilitas.</w:t>
                  </w:r>
                </w:p>
                <w:p w:rsidR="00000000" w:rsidDel="00000000" w:rsidP="00000000" w:rsidRDefault="00000000" w:rsidRPr="00000000" w14:paraId="0000023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Mengadakan pelatihan dan dukungan teknis untuk peserta didik dan tenaga pendidik agar dapat memanfaatkan teknologi pembelajaran dengan efektif.</w:t>
                  </w:r>
                </w:p>
              </w:tc>
              <w:tc>
                <w:tcPr/>
                <w:p w:rsidR="00000000" w:rsidDel="00000000" w:rsidP="00000000" w:rsidRDefault="00000000" w:rsidRPr="00000000" w14:paraId="0000023B">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3C">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3D">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3E">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Pengembangan Profesional Berkelanjutan</w:t>
                    <w:br w:type="textWrapping"/>
                  </w:r>
                </w:p>
                <w:p w:rsidR="00000000" w:rsidDel="00000000" w:rsidP="00000000" w:rsidRDefault="00000000" w:rsidRPr="00000000" w14:paraId="0000023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program pelatihan dan workshop reguler yang relevan dengan perkembangan terbaru dalam pendidikan dan teknologi.</w:t>
                  </w:r>
                </w:p>
                <w:p w:rsidR="00000000" w:rsidDel="00000000" w:rsidP="00000000" w:rsidRDefault="00000000" w:rsidRPr="00000000" w14:paraId="0000024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Membentuk komunitas belajar dan jaringan profesional di mana tenaga pendidik dapat berbagi pengalaman, metode, dan praktik terbaik.</w:t>
                  </w:r>
                </w:p>
                <w:p w:rsidR="00000000" w:rsidDel="00000000" w:rsidP="00000000" w:rsidRDefault="00000000" w:rsidRPr="00000000" w14:paraId="0000024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Memberikan akses ke sumber daya dan peluang pendidikan lanjutan bagi tenaga pendidik, seperti kursus online, seminar, dan konferensi.</w:t>
                  </w:r>
                </w:p>
              </w:tc>
              <w:tc>
                <w:tcPr/>
                <w:p w:rsidR="00000000" w:rsidDel="00000000" w:rsidP="00000000" w:rsidRDefault="00000000" w:rsidRPr="00000000" w14:paraId="00000242">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43">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44">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w:t>
                  </w:r>
                </w:p>
              </w:tc>
              <w:tc>
                <w:tcPr/>
                <w:p w:rsidR="00000000" w:rsidDel="00000000" w:rsidP="00000000" w:rsidRDefault="00000000" w:rsidRPr="00000000" w14:paraId="00000245">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Keamanan dan Pencegahan Kekerasan</w:t>
                    <w:br w:type="textWrapping"/>
                  </w:r>
                </w:p>
                <w:p w:rsidR="00000000" w:rsidDel="00000000" w:rsidP="00000000" w:rsidRDefault="00000000" w:rsidRPr="00000000" w14:paraId="0000024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Menyusun dan mengimplementasikan kebijakan keamanan yang mencakup pencegahan kekerasan, dengan prosedur jelas untuk melaporkan dan menangani kasus kekerasan.</w:t>
                  </w:r>
                </w:p>
                <w:p w:rsidR="00000000" w:rsidDel="00000000" w:rsidP="00000000" w:rsidRDefault="00000000" w:rsidRPr="00000000" w14:paraId="0000024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Mengadakan pelatihan rutin untuk tenaga pendidik, tenaga kependidikan, dan siswa tentang identifikasi, pencegahan, dan penanganan kekerasan.</w:t>
                  </w:r>
                </w:p>
                <w:p w:rsidR="00000000" w:rsidDel="00000000" w:rsidP="00000000" w:rsidRDefault="00000000" w:rsidRPr="00000000" w14:paraId="000002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Membentuk tim penanganan kekerasan yang terdiri dari berbagai perwakilan untuk menangani laporan kasus kekerasan secara efektif dan objektif.</w:t>
                  </w:r>
                </w:p>
              </w:tc>
              <w:tc>
                <w:tcPr/>
                <w:p w:rsidR="00000000" w:rsidDel="00000000" w:rsidP="00000000" w:rsidRDefault="00000000" w:rsidRPr="00000000" w14:paraId="00000249">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4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4B">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4C">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Kenyamanan dan Pencegahan Diskriminasi:</w:t>
                  </w:r>
                </w:p>
                <w:p w:rsidR="00000000" w:rsidDel="00000000" w:rsidP="00000000" w:rsidRDefault="00000000" w:rsidRPr="00000000" w14:paraId="0000024D">
                  <w:pPr>
                    <w:spacing w:after="120" w:before="120" w:lineRule="auto"/>
                    <w:rPr>
                      <w:rFonts w:ascii="Bookman Old Style" w:cs="Bookman Old Style" w:eastAsia="Bookman Old Style" w:hAnsi="Bookman Old Style"/>
                      <w:b w:val="1"/>
                      <w:sz w:val="18"/>
                      <w:szCs w:val="18"/>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Mengembangkan dan menyebarluaskan kebijakan anti-diskriminasi, serta menetapkan prosedur pelaporan dan penanganan kasus diskriminasi.</w:t>
                  </w:r>
                </w:p>
                <w:p w:rsidR="00000000" w:rsidDel="00000000" w:rsidP="00000000" w:rsidRDefault="00000000" w:rsidRPr="00000000" w14:paraId="0000024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Menyelenggarakan program pelatihan dan workshop tentang kesetaraan, keberagaman, dan hak asasi manusia untuk semua anggota komunitas akademik.</w:t>
                  </w:r>
                </w:p>
                <w:p w:rsidR="00000000" w:rsidDel="00000000" w:rsidP="00000000" w:rsidRDefault="00000000" w:rsidRPr="00000000" w14:paraId="0000025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Membentuk komite atau unit yang bertanggung jawab untuk mengawasi implementasi kebijakan anti-diskriminasi dan menangani laporan yang terkait.</w:t>
                  </w:r>
                  <w:r w:rsidDel="00000000" w:rsidR="00000000" w:rsidRPr="00000000">
                    <w:rPr>
                      <w:rtl w:val="0"/>
                    </w:rPr>
                  </w:r>
                </w:p>
              </w:tc>
              <w:tc>
                <w:tcPr/>
                <w:p w:rsidR="00000000" w:rsidDel="00000000" w:rsidP="00000000" w:rsidRDefault="00000000" w:rsidRPr="00000000" w14:paraId="00000251">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52">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53">
                  <w:pPr>
                    <w:spacing w:after="120" w:before="120" w:lineRule="auto"/>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54">
                  <w:pPr>
                    <w:spacing w:after="120" w:before="120" w:lineRule="auto"/>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Kesejahteraan dan Dukungan Psikososial:</w:t>
                  </w:r>
                </w:p>
                <w:p w:rsidR="00000000" w:rsidDel="00000000" w:rsidP="00000000" w:rsidRDefault="00000000" w:rsidRPr="00000000" w14:paraId="00000255">
                  <w:pPr>
                    <w:spacing w:after="120" w:before="120" w:lineRule="auto"/>
                    <w:rPr>
                      <w:rFonts w:ascii="Bookman Old Style" w:cs="Bookman Old Style" w:eastAsia="Bookman Old Style" w:hAnsi="Bookman Old Style"/>
                      <w:b w:val="1"/>
                      <w:sz w:val="18"/>
                      <w:szCs w:val="18"/>
                    </w:rPr>
                  </w:pP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Menyediakan layanan konseling dan dukungan psikososial yang terjangkau dan mudah diakses oleh seluruh sivitas akademika.</w:t>
                  </w:r>
                </w:p>
                <w:p w:rsidR="00000000" w:rsidDel="00000000" w:rsidP="00000000" w:rsidRDefault="00000000" w:rsidRPr="00000000" w14:paraId="0000025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Mengembangkan program kesejahteraan yang mencakup dukungan emosional dan mental bagi anggota komunitas akademik yang terkena dampak kekerasan atau diskriminasi.</w:t>
                  </w:r>
                </w:p>
                <w:p w:rsidR="00000000" w:rsidDel="00000000" w:rsidP="00000000" w:rsidRDefault="00000000" w:rsidRPr="00000000" w14:paraId="0000025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Melakukan survei secara berkala untuk mengevaluasi kesejahteraan dan kebutuhan dukungan psikososial, serta menyesuaikan program sesuai hasil survei tersebut.</w:t>
                  </w:r>
                  <w:r w:rsidDel="00000000" w:rsidR="00000000" w:rsidRPr="00000000">
                    <w:rPr>
                      <w:rtl w:val="0"/>
                    </w:rPr>
                  </w:r>
                </w:p>
              </w:tc>
              <w:tc>
                <w:tcPr/>
                <w:p w:rsidR="00000000" w:rsidDel="00000000" w:rsidP="00000000" w:rsidRDefault="00000000" w:rsidRPr="00000000" w14:paraId="00000259">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Wakil Dekan, Koor.Prodi, Dosen, Mahasiswa</w:t>
                  </w:r>
                </w:p>
              </w:tc>
              <w:tc>
                <w:tcPr/>
                <w:p w:rsidR="00000000" w:rsidDel="00000000" w:rsidP="00000000" w:rsidRDefault="00000000" w:rsidRPr="00000000" w14:paraId="0000025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5B">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w:t>
                  </w:r>
                </w:p>
              </w:tc>
              <w:tc>
                <w:tcPr/>
                <w:p w:rsidR="00000000" w:rsidDel="00000000" w:rsidP="00000000" w:rsidRDefault="00000000" w:rsidRPr="00000000" w14:paraId="0000025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Penyediaan platform e-learning yang optimal</w:t>
                  </w:r>
                </w:p>
                <w:p w:rsidR="00000000" w:rsidDel="00000000" w:rsidP="00000000" w:rsidRDefault="00000000" w:rsidRPr="00000000" w14:paraId="0000025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Peningkatan literasi digital dosen dan mahasiswa</w:t>
                  </w:r>
                </w:p>
                <w:p w:rsidR="00000000" w:rsidDel="00000000" w:rsidP="00000000" w:rsidRDefault="00000000" w:rsidRPr="00000000" w14:paraId="0000025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Penyediaan layanan rekognisi pembelajaran lampau</w:t>
                  </w:r>
                </w:p>
                <w:p w:rsidR="00000000" w:rsidDel="00000000" w:rsidP="00000000" w:rsidRDefault="00000000" w:rsidRPr="00000000" w14:paraId="0000025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8"/>
                      <w:szCs w:val="18"/>
                      <w:u w:val="none"/>
                      <w:shd w:fill="auto" w:val="clear"/>
                      <w:vertAlign w:val="baseline"/>
                      <w:rtl w:val="0"/>
                    </w:rPr>
                    <w:t xml:space="preserve">Monitoring dan evaluasi rutin atas pelaksanaan pembelajaran fleksibel</w:t>
                  </w:r>
                  <w:r w:rsidDel="00000000" w:rsidR="00000000" w:rsidRPr="00000000">
                    <w:rPr>
                      <w:rtl w:val="0"/>
                    </w:rPr>
                  </w:r>
                </w:p>
              </w:tc>
              <w:tc>
                <w:tcPr/>
                <w:p w:rsidR="00000000" w:rsidDel="00000000" w:rsidP="00000000" w:rsidRDefault="00000000" w:rsidRPr="00000000" w14:paraId="00000260">
                  <w:pPr>
                    <w:spacing w:after="120" w:before="12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Dekan, Ketua Program Studi, Unit Teknologi Informasi, Unit Layanan Akademik</w:t>
                  </w:r>
                </w:p>
              </w:tc>
              <w:tc>
                <w:tcPr/>
                <w:p w:rsidR="00000000" w:rsidDel="00000000" w:rsidP="00000000" w:rsidRDefault="00000000" w:rsidRPr="00000000" w14:paraId="00000261">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62">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w:t>
                  </w:r>
                </w:p>
              </w:tc>
              <w:tc>
                <w:tcPr/>
                <w:p w:rsidR="00000000" w:rsidDel="00000000" w:rsidP="00000000" w:rsidRDefault="00000000" w:rsidRPr="00000000" w14:paraId="00000263">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Sosialisasi dan pelatihan kepada dosen dan mahasiswa mengenai perhitungan beban SKS</w:t>
                  </w: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Monitoring rutin terhadap pelaksanaan beban SKS di setiap mata kuliah</w:t>
                  </w: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Peningkatan pemahaman mahasiswa mengenai SKS melalui orientasi akademik dan sosialisasi</w:t>
                  </w:r>
                  <w:r w:rsidDel="00000000" w:rsidR="00000000" w:rsidRPr="00000000">
                    <w:rPr>
                      <w:rtl w:val="0"/>
                    </w:rPr>
                  </w:r>
                </w:p>
              </w:tc>
              <w:tc>
                <w:tcPr/>
                <w:p w:rsidR="00000000" w:rsidDel="00000000" w:rsidP="00000000" w:rsidRDefault="00000000" w:rsidRPr="00000000" w14:paraId="00000266">
                  <w:pPr>
                    <w:spacing w:after="120" w:before="120" w:lineRule="auto"/>
                    <w:rPr>
                      <w:rFonts w:ascii="Bookman Old Style" w:cs="Bookman Old Style" w:eastAsia="Bookman Old Style" w:hAnsi="Bookman Old Style"/>
                      <w:sz w:val="18"/>
                      <w:szCs w:val="18"/>
                    </w:rPr>
                  </w:pPr>
                  <w:r w:rsidDel="00000000" w:rsidR="00000000" w:rsidRPr="00000000">
                    <w:rPr>
                      <w:rFonts w:ascii="Arial" w:cs="Arial" w:eastAsia="Arial" w:hAnsi="Arial"/>
                      <w:color w:val="000000"/>
                      <w:sz w:val="20"/>
                      <w:szCs w:val="20"/>
                      <w:rtl w:val="0"/>
                    </w:rPr>
                    <w:t xml:space="preserve">Dekan, Ketua Program Studi, Unit Akademik, Dosen Pengampu</w:t>
                  </w:r>
                  <w:r w:rsidDel="00000000" w:rsidR="00000000" w:rsidRPr="00000000">
                    <w:rPr>
                      <w:rtl w:val="0"/>
                    </w:rPr>
                  </w:r>
                </w:p>
              </w:tc>
              <w:tc>
                <w:tcPr/>
                <w:p w:rsidR="00000000" w:rsidDel="00000000" w:rsidP="00000000" w:rsidRDefault="00000000" w:rsidRPr="00000000" w14:paraId="00000267">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68">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w:t>
                  </w:r>
                </w:p>
              </w:tc>
              <w:tc>
                <w:tcPr/>
                <w:p w:rsidR="00000000" w:rsidDel="00000000" w:rsidP="00000000" w:rsidRDefault="00000000" w:rsidRPr="00000000" w14:paraId="0000026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Kolaborasi dengan berbagai pihak industri dan komunitas untuk menyediakan tempat magang dan wirausaha</w:t>
                    <w:br w:type="textWrapping"/>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Penyediaan sarana dan prasarana pendukung untuk kegiatan praktikum, penelitian, dan pengembangan</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Bookman Old Style" w:cs="Bookman Old Style" w:eastAsia="Bookman Old Style" w:hAnsi="Bookman Old Style"/>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Monitoring pelaksanaan beban belajar melalui berbagai bentuk kegiatan pembelajaran secara berkala</w:t>
                  </w:r>
                  <w:r w:rsidDel="00000000" w:rsidR="00000000" w:rsidRPr="00000000">
                    <w:rPr>
                      <w:rtl w:val="0"/>
                    </w:rPr>
                  </w:r>
                </w:p>
              </w:tc>
              <w:tc>
                <w:tcPr/>
                <w:p w:rsidR="00000000" w:rsidDel="00000000" w:rsidP="00000000" w:rsidRDefault="00000000" w:rsidRPr="00000000" w14:paraId="0000026C">
                  <w:pPr>
                    <w:spacing w:after="120" w:before="120" w:lineRule="auto"/>
                    <w:rPr>
                      <w:rFonts w:ascii="Bookman Old Style" w:cs="Bookman Old Style" w:eastAsia="Bookman Old Style" w:hAnsi="Bookman Old Style"/>
                      <w:sz w:val="18"/>
                      <w:szCs w:val="18"/>
                    </w:rPr>
                  </w:pPr>
                  <w:r w:rsidDel="00000000" w:rsidR="00000000" w:rsidRPr="00000000">
                    <w:rPr>
                      <w:rFonts w:ascii="Arial" w:cs="Arial" w:eastAsia="Arial" w:hAnsi="Arial"/>
                      <w:color w:val="000000"/>
                      <w:sz w:val="20"/>
                      <w:szCs w:val="20"/>
                      <w:rtl w:val="0"/>
                    </w:rPr>
                    <w:t xml:space="preserve">Dekan, Ketua Program Studi, Unit Kerjasama, Dosen Pembimbing Praktikum, Magang, dan Penelitian</w:t>
                  </w:r>
                  <w:r w:rsidDel="00000000" w:rsidR="00000000" w:rsidRPr="00000000">
                    <w:rPr>
                      <w:rtl w:val="0"/>
                    </w:rPr>
                  </w:r>
                </w:p>
              </w:tc>
              <w:tc>
                <w:tcPr/>
                <w:p w:rsidR="00000000" w:rsidDel="00000000" w:rsidP="00000000" w:rsidRDefault="00000000" w:rsidRPr="00000000" w14:paraId="0000026D">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6E">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w:t>
                  </w:r>
                </w:p>
              </w:tc>
              <w:tc>
                <w:tcPr/>
                <w:p w:rsidR="00000000" w:rsidDel="00000000" w:rsidP="00000000" w:rsidRDefault="00000000" w:rsidRPr="00000000" w14:paraId="0000026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Penyediaan materi ajar yang mendukung berbagai bentuk pembelajaran.</w:t>
                    <w:br w:type="textWrapping"/>
                  </w:r>
                </w:p>
                <w:p w:rsidR="00000000" w:rsidDel="00000000" w:rsidP="00000000" w:rsidRDefault="00000000" w:rsidRPr="00000000" w14:paraId="0000027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Peningkatan keterampilan dosen dalam memberikan bimbingan dan evaluasi penugasan terstruktur.</w:t>
                    <w:br w:type="textWrapping"/>
                  </w:r>
                </w:p>
                <w:p w:rsidR="00000000" w:rsidDel="00000000" w:rsidP="00000000" w:rsidRDefault="00000000" w:rsidRPr="00000000" w14:paraId="0000027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Penyediaan panduan dan sumber daya yang memadai untuk pembelajaran mandiri.</w:t>
                    <w:br w:type="textWrapping"/>
                    <w:t xml:space="preserve">4. Monitoring dan evaluasi rutin terhadap implementasi bentuk-bentuk pembelajaran.</w:t>
                    <w:br w:type="textWrapping"/>
                    <w:t xml:space="preserve">5. Penyesuaian jadwal dan tenggat waktu berdasarkan umpan balik dan kebutuhan.</w:t>
                  </w:r>
                </w:p>
              </w:tc>
              <w:tc>
                <w:tcPr/>
                <w:p w:rsidR="00000000" w:rsidDel="00000000" w:rsidP="00000000" w:rsidRDefault="00000000" w:rsidRPr="00000000" w14:paraId="00000272">
                  <w:pPr>
                    <w:spacing w:after="120"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Dekan, Ketua Program Studi, Unit Kerjasama, Dosen Pembimbing Praktikum, Magang, dan Penelitian</w:t>
                  </w:r>
                </w:p>
              </w:tc>
              <w:tc>
                <w:tcPr/>
                <w:p w:rsidR="00000000" w:rsidDel="00000000" w:rsidP="00000000" w:rsidRDefault="00000000" w:rsidRPr="00000000" w14:paraId="00000273">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74">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w:t>
                  </w:r>
                </w:p>
              </w:tc>
              <w:tc>
                <w:tcPr/>
                <w:p w:rsidR="00000000" w:rsidDel="00000000" w:rsidP="00000000" w:rsidRDefault="00000000" w:rsidRPr="00000000" w14:paraId="0000027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Kolaborasi dengan perguruan tinggi dan lembaga luar untuk menyediakan opsi pembelajaran.</w:t>
                    <w:br w:type="textWrapping"/>
                  </w:r>
                </w:p>
                <w:p w:rsidR="00000000" w:rsidDel="00000000" w:rsidP="00000000" w:rsidRDefault="00000000" w:rsidRPr="00000000" w14:paraId="0000027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Penyusunan pedoman untuk pengakuan pembelajaran dari luar program studi.</w:t>
                    <w:br w:type="textWrapping"/>
                    <w:t xml:space="preserve">3. Monitoring dan evaluasi rutin terhadap proses pemenuhan beban belajar di luar program studi.</w:t>
                  </w:r>
                </w:p>
                <w:p w:rsidR="00000000" w:rsidDel="00000000" w:rsidP="00000000" w:rsidRDefault="00000000" w:rsidRPr="00000000" w14:paraId="0000027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Peningkatan kecepatan proses pengakuan dengan sistem yang lebih efisien</w:t>
                  </w:r>
                </w:p>
              </w:tc>
              <w:tc>
                <w:tcPr/>
                <w:p w:rsidR="00000000" w:rsidDel="00000000" w:rsidP="00000000" w:rsidRDefault="00000000" w:rsidRPr="00000000" w14:paraId="00000278">
                  <w:pPr>
                    <w:spacing w:after="120"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Dekan, Ketua Program Studi, Unit Kerjasama, Dosen Pembimbing Praktikum, Magang, dan Penelitian</w:t>
                  </w:r>
                </w:p>
              </w:tc>
              <w:tc>
                <w:tcPr/>
                <w:p w:rsidR="00000000" w:rsidDel="00000000" w:rsidP="00000000" w:rsidRDefault="00000000" w:rsidRPr="00000000" w14:paraId="00000279">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r>
              <w:trPr>
                <w:cantSplit w:val="0"/>
                <w:tblHeader w:val="0"/>
              </w:trPr>
              <w:tc>
                <w:tcPr/>
                <w:p w:rsidR="00000000" w:rsidDel="00000000" w:rsidP="00000000" w:rsidRDefault="00000000" w:rsidRPr="00000000" w14:paraId="0000027A">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r>
                </w:p>
              </w:tc>
              <w:tc>
                <w:tcPr/>
                <w:p w:rsidR="00000000" w:rsidDel="00000000" w:rsidP="00000000" w:rsidRDefault="00000000" w:rsidRPr="00000000" w14:paraId="0000027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Penyusunan dan pemantauan kurikulum sesuai dengan standar SKS dan masa tempuh</w:t>
                  </w:r>
                </w:p>
                <w:p w:rsidR="00000000" w:rsidDel="00000000" w:rsidP="00000000" w:rsidRDefault="00000000" w:rsidRPr="00000000" w14:paraId="0000027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Penyediaan dukungan akademik untuk memastikan mahasiswa dapat menyelesaikan studi tepat waktu.</w:t>
                  </w:r>
                </w:p>
                <w:p w:rsidR="00000000" w:rsidDel="00000000" w:rsidP="00000000" w:rsidRDefault="00000000" w:rsidRPr="00000000" w14:paraId="0000027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Evaluasi dan revisi berkala terhadap kurikulum dan beban belajar untuk memastikan kesesuaian dengan standar.</w:t>
                  </w:r>
                </w:p>
                <w:p w:rsidR="00000000" w:rsidDel="00000000" w:rsidP="00000000" w:rsidRDefault="00000000" w:rsidRPr="00000000" w14:paraId="0000027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Peningkatan dukungan dan bimbingan bagi mahasiswa yang mengalami kesulitan dalam menyelesaikan studi tepat waktu.</w:t>
                  </w:r>
                </w:p>
              </w:tc>
              <w:tc>
                <w:tcPr/>
                <w:p w:rsidR="00000000" w:rsidDel="00000000" w:rsidP="00000000" w:rsidRDefault="00000000" w:rsidRPr="00000000" w14:paraId="0000027F">
                  <w:pPr>
                    <w:spacing w:after="120"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Dekan, Ketua Program Studi, Unit Kerjasama, Dosen Pembimbing Praktikum, Magang, dan Penelitian</w:t>
                  </w:r>
                </w:p>
              </w:tc>
              <w:tc>
                <w:tcPr/>
                <w:p w:rsidR="00000000" w:rsidDel="00000000" w:rsidP="00000000" w:rsidRDefault="00000000" w:rsidRPr="00000000" w14:paraId="00000280">
                  <w:pPr>
                    <w:spacing w:after="120" w:before="12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Survey, Monev, AMI, RTM</w:t>
                  </w:r>
                </w:p>
              </w:tc>
            </w:tr>
          </w:tbl>
          <w:p w:rsidR="00000000" w:rsidDel="00000000" w:rsidP="00000000" w:rsidRDefault="00000000" w:rsidRPr="00000000" w14:paraId="00000281">
            <w:pPr>
              <w:spacing w:after="120" w:before="120" w:lineRule="auto"/>
              <w:rPr>
                <w:rFonts w:ascii="Bookman Old Style" w:cs="Bookman Old Style" w:eastAsia="Bookman Old Style" w:hAnsi="Bookman Old Styl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Pihak yang Terlibat dalam Pemenuhan standar</w:t>
            </w:r>
          </w:p>
        </w:tc>
        <w:tc>
          <w:tcPr>
            <w:shd w:fill="auto" w:val="clear"/>
          </w:tcPr>
          <w:p w:rsidR="00000000" w:rsidDel="00000000" w:rsidP="00000000" w:rsidRDefault="00000000" w:rsidRPr="00000000" w14:paraId="000002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Perumusan</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Perumusan standar Proses Pembelajaran dilakukan oleh tim adhoc perumus, perancang, dan penyusun standar sesuai dengan SK Rektor (</w:t>
            </w:r>
            <w:r w:rsidDel="00000000" w:rsidR="00000000" w:rsidRPr="00000000">
              <w:rPr>
                <w:rFonts w:ascii="Bookman Old Style" w:cs="Bookman Old Style" w:eastAsia="Bookman Old Style" w:hAnsi="Bookman Old Style"/>
                <w:b w:val="0"/>
                <w:i w:val="0"/>
                <w:smallCaps w:val="0"/>
                <w:strike w:val="0"/>
                <w:color w:val="ff0000"/>
                <w:sz w:val="22"/>
                <w:szCs w:val="22"/>
                <w:u w:val="none"/>
                <w:shd w:fill="auto" w:val="clear"/>
                <w:vertAlign w:val="baseline"/>
                <w:rtl w:val="0"/>
              </w:rPr>
              <w:t xml:space="preserve">tulis nomor SK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yang diikuti dengan pemeriksaan oleh tim pemeriksa yang ditetapkan oleh pimpinan Universitas Islam Negeri Fatmawati Sukarno Bengkulu</w:t>
            </w:r>
          </w:p>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Penetapan</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Penetapan standar Proses Pembelajaran dilakukan oleh Rektor Universitas Islam Negeri Fatmawati Sukarno Bengkulusetelah memperoleh persetujuan senat </w:t>
            </w:r>
          </w:p>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Pelaksanaan</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Pelaksanaan standar Proses Pembelajaran dilakukan olehD Dekan, Wakil Dekan, Koordinator Program Studi, Dosen, Mahasiswa, TIPD, dan Staf Umum dan Akademik Fakultas melalui penyusunan rencana kerja operasional berbasis standar Proses Pembelajaran</w:t>
            </w:r>
          </w:p>
          <w:p w:rsidR="00000000" w:rsidDel="00000000" w:rsidP="00000000" w:rsidRDefault="00000000" w:rsidRPr="00000000" w14:paraId="000002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Evaluasi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Pelaksanaan evaluasi pencapaian standar Proses Pembelajaran dilakukan melalui audit mutu internal oleh tim auditor internal dibawah pengendalian penjaminan mutu dalam bentuk audit dokumen dan audit lapangan</w:t>
            </w:r>
          </w:p>
          <w:p w:rsidR="00000000" w:rsidDel="00000000" w:rsidP="00000000" w:rsidRDefault="00000000" w:rsidRPr="00000000" w14:paraId="000002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Pengendalian</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Pelaksanaan pengendalian standar Proses Pembelajaran dilakukan oleh pelaksana standar (Dekan, Wakil Dekan, Koordinator Program Studi, Dosen, Mahasiswa, TIPD, Staf umum dan Akademik Fakultas) bersama dengan penjaminan mutu dan tim auditor</w:t>
            </w:r>
          </w:p>
          <w:p w:rsidR="00000000" w:rsidDel="00000000" w:rsidP="00000000" w:rsidRDefault="00000000" w:rsidRPr="00000000" w14:paraId="000002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32"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Peningkatan</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32"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Peningkatan standar dilakukan oleh pelaksana standar ((Dekan, Wakil Dekan, Koordinator Program Studi, Dosen, Mahasiswa, TIPD, Staf umum dan Akademik Fakultas) bersma dengan penjaminan mutu setelah memperoleh rekomendasi adanya peningkatan standar dari hasil pelaksanaan AMI dan Tinjauan manajemen</w:t>
            </w:r>
          </w:p>
        </w:tc>
      </w:tr>
      <w:tr>
        <w:trPr>
          <w:cantSplit w:val="0"/>
          <w:tblHeader w:val="0"/>
        </w:trPr>
        <w:tc>
          <w:tcPr>
            <w:shd w:fill="auto" w:val="clear"/>
          </w:tcPr>
          <w:p w:rsidR="00000000" w:rsidDel="00000000" w:rsidP="00000000" w:rsidRDefault="00000000" w:rsidRPr="00000000" w14:paraId="0000028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Dokumen Terkait</w:t>
            </w:r>
          </w:p>
        </w:tc>
        <w:tc>
          <w:tcPr>
            <w:shd w:fill="auto" w:val="clear"/>
          </w:tcPr>
          <w:p w:rsidR="00000000" w:rsidDel="00000000" w:rsidP="00000000" w:rsidRDefault="00000000" w:rsidRPr="00000000" w14:paraId="0000029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Dokumen terkait dengan implementasi standar</w:t>
            </w:r>
          </w:p>
          <w:p w:rsidR="00000000" w:rsidDel="00000000" w:rsidP="00000000" w:rsidRDefault="00000000" w:rsidRPr="00000000" w14:paraId="00000291">
            <w:pPr>
              <w:numPr>
                <w:ilvl w:val="0"/>
                <w:numId w:val="44"/>
              </w:numPr>
              <w:spacing w:after="0" w:before="280" w:line="273"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Pedoman Standar Proses Pembelajaran (Pasal 23-26)</w:t>
            </w:r>
          </w:p>
          <w:p w:rsidR="00000000" w:rsidDel="00000000" w:rsidP="00000000" w:rsidRDefault="00000000" w:rsidRPr="00000000" w14:paraId="00000292">
            <w:pPr>
              <w:numPr>
                <w:ilvl w:val="0"/>
                <w:numId w:val="44"/>
              </w:numPr>
              <w:spacing w:after="0" w:before="0" w:line="273"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SOP Standar Proses Pembelajaran</w:t>
            </w:r>
          </w:p>
          <w:p w:rsidR="00000000" w:rsidDel="00000000" w:rsidP="00000000" w:rsidRDefault="00000000" w:rsidRPr="00000000" w14:paraId="00000293">
            <w:pPr>
              <w:numPr>
                <w:ilvl w:val="0"/>
                <w:numId w:val="44"/>
              </w:numPr>
              <w:spacing w:after="280" w:before="0" w:line="273"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Formulir SPMI (sebutkan Formulir SPMI)</w:t>
            </w:r>
          </w:p>
          <w:p w:rsidR="00000000" w:rsidDel="00000000" w:rsidP="00000000" w:rsidRDefault="00000000" w:rsidRPr="00000000" w14:paraId="00000294">
            <w:pPr>
              <w:spacing w:line="273"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Dokumen terkait bukti pelaksanaan standar :</w:t>
            </w:r>
          </w:p>
          <w:p w:rsidR="00000000" w:rsidDel="00000000" w:rsidP="00000000" w:rsidRDefault="00000000" w:rsidRPr="00000000" w14:paraId="0000029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28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IPK dan Masa Studi Lulusan</w:t>
            </w:r>
          </w:p>
          <w:p w:rsidR="00000000" w:rsidDel="00000000" w:rsidP="00000000" w:rsidRDefault="00000000" w:rsidRPr="00000000" w14:paraId="0000029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IPK dan Masa Studi Lulusan</w:t>
            </w:r>
          </w:p>
          <w:p w:rsidR="00000000" w:rsidDel="00000000" w:rsidP="00000000" w:rsidRDefault="00000000" w:rsidRPr="00000000" w14:paraId="0000029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Evaluasi Masa Studi Lulusan</w:t>
            </w:r>
          </w:p>
          <w:p w:rsidR="00000000" w:rsidDel="00000000" w:rsidP="00000000" w:rsidRDefault="00000000" w:rsidRPr="00000000" w14:paraId="0000029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Jumlah Mahasiswa Bimbingan Akademik Dosen</w:t>
            </w:r>
          </w:p>
          <w:p w:rsidR="00000000" w:rsidDel="00000000" w:rsidP="00000000" w:rsidRDefault="00000000" w:rsidRPr="00000000" w14:paraId="0000029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Evaluasi Dosen Pembimbing Akademik Mahasiswa</w:t>
            </w:r>
          </w:p>
          <w:p w:rsidR="00000000" w:rsidDel="00000000" w:rsidP="00000000" w:rsidRDefault="00000000" w:rsidRPr="00000000" w14:paraId="0000029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Dosen Pembimbing Skripsi/Tugas Akhir Dosen</w:t>
            </w:r>
          </w:p>
          <w:p w:rsidR="00000000" w:rsidDel="00000000" w:rsidP="00000000" w:rsidRDefault="00000000" w:rsidRPr="00000000" w14:paraId="0000029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Evaluasi Dosen Pembimbing Skripsi/Tugas Akhir</w:t>
            </w:r>
          </w:p>
          <w:p w:rsidR="00000000" w:rsidDel="00000000" w:rsidP="00000000" w:rsidRDefault="00000000" w:rsidRPr="00000000" w14:paraId="0000029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Rencana Pembelajaran Semester (RPS)</w:t>
            </w:r>
          </w:p>
          <w:p w:rsidR="00000000" w:rsidDel="00000000" w:rsidP="00000000" w:rsidRDefault="00000000" w:rsidRPr="00000000" w14:paraId="0000029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Materi dan Kehadiran Dosen Dalam Perkuliahan</w:t>
            </w:r>
          </w:p>
          <w:p w:rsidR="00000000" w:rsidDel="00000000" w:rsidP="00000000" w:rsidRDefault="00000000" w:rsidRPr="00000000" w14:paraId="0000029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Monitoring Materi dan Kehadiran Dosen dalam Perkuliahan</w:t>
            </w:r>
          </w:p>
          <w:p w:rsidR="00000000" w:rsidDel="00000000" w:rsidP="00000000" w:rsidRDefault="00000000" w:rsidRPr="00000000" w14:paraId="0000029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Evaluasi Materi dan Kehadiran Dosen dalam Perkuliahan</w:t>
            </w:r>
          </w:p>
          <w:p w:rsidR="00000000" w:rsidDel="00000000" w:rsidP="00000000" w:rsidRDefault="00000000" w:rsidRPr="00000000" w14:paraId="000002A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Daftar Peserta dan ilai Akhir Semester</w:t>
            </w:r>
          </w:p>
          <w:p w:rsidR="00000000" w:rsidDel="00000000" w:rsidP="00000000" w:rsidRDefault="00000000" w:rsidRPr="00000000" w14:paraId="000002A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Dosen Tetap</w:t>
            </w:r>
          </w:p>
          <w:p w:rsidR="00000000" w:rsidDel="00000000" w:rsidP="00000000" w:rsidRDefault="00000000" w:rsidRPr="00000000" w14:paraId="000002A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Dosen Tidak Tetap</w:t>
            </w:r>
          </w:p>
          <w:p w:rsidR="00000000" w:rsidDel="00000000" w:rsidP="00000000" w:rsidRDefault="00000000" w:rsidRPr="00000000" w14:paraId="000002A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Evaluasi Dosen UIN FAS Bengkulu</w:t>
            </w:r>
          </w:p>
          <w:p w:rsidR="00000000" w:rsidDel="00000000" w:rsidP="00000000" w:rsidRDefault="00000000" w:rsidRPr="00000000" w14:paraId="000002A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laporan Kinerja Dosen</w:t>
            </w:r>
          </w:p>
          <w:p w:rsidR="00000000" w:rsidDel="00000000" w:rsidP="00000000" w:rsidRDefault="00000000" w:rsidRPr="00000000" w14:paraId="000002A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Kinerja Dosen</w:t>
            </w:r>
          </w:p>
          <w:p w:rsidR="00000000" w:rsidDel="00000000" w:rsidP="00000000" w:rsidRDefault="00000000" w:rsidRPr="00000000" w14:paraId="000002A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Monitoring Kegiatan Seminar/Workshop Dosen</w:t>
            </w:r>
          </w:p>
          <w:p w:rsidR="00000000" w:rsidDel="00000000" w:rsidP="00000000" w:rsidRDefault="00000000" w:rsidRPr="00000000" w14:paraId="000002A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Rekapitulasi Kegiatan Seminar/Workshop Dosen</w:t>
            </w:r>
          </w:p>
          <w:p w:rsidR="00000000" w:rsidDel="00000000" w:rsidP="00000000" w:rsidRDefault="00000000" w:rsidRPr="00000000" w14:paraId="000002A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Lembar Bumbingan Skripsi/Tugas Akhir</w:t>
            </w:r>
          </w:p>
          <w:p w:rsidR="00000000" w:rsidDel="00000000" w:rsidP="00000000" w:rsidRDefault="00000000" w:rsidRPr="00000000" w14:paraId="000002A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Berita Acara Ujian Seminar Proposal</w:t>
            </w:r>
          </w:p>
          <w:p w:rsidR="00000000" w:rsidDel="00000000" w:rsidP="00000000" w:rsidRDefault="00000000" w:rsidRPr="00000000" w14:paraId="000002A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Berita Acara Sidang Munaqasyah</w:t>
            </w:r>
          </w:p>
          <w:p w:rsidR="00000000" w:rsidDel="00000000" w:rsidP="00000000" w:rsidRDefault="00000000" w:rsidRPr="00000000" w14:paraId="000002A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3"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Daftar Bimbingan Studi</w:t>
            </w:r>
          </w:p>
          <w:p w:rsidR="00000000" w:rsidDel="00000000" w:rsidP="00000000" w:rsidRDefault="00000000" w:rsidRPr="00000000" w14:paraId="000002A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20" w:before="0" w:line="276" w:lineRule="auto"/>
              <w:ind w:left="432"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Formulir Surat Permohonan STOP OUT</w:t>
            </w:r>
          </w:p>
        </w:tc>
      </w:tr>
      <w:tr>
        <w:trPr>
          <w:cantSplit w:val="0"/>
          <w:tblHeader w:val="0"/>
        </w:trPr>
        <w:tc>
          <w:tcPr>
            <w:shd w:fill="auto" w:val="clear"/>
          </w:tcPr>
          <w:p w:rsidR="00000000" w:rsidDel="00000000" w:rsidP="00000000" w:rsidRDefault="00000000" w:rsidRPr="00000000" w14:paraId="000002A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120" w:line="276" w:lineRule="auto"/>
              <w:ind w:left="208" w:right="0" w:hanging="28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Referensi</w:t>
            </w:r>
          </w:p>
        </w:tc>
        <w:tc>
          <w:tcPr>
            <w:shd w:fill="auto" w:val="clear"/>
          </w:tcPr>
          <w:p w:rsidR="00000000" w:rsidDel="00000000" w:rsidP="00000000" w:rsidRDefault="00000000" w:rsidRPr="00000000" w14:paraId="000002A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Tuliskan dokumen formal referensi yang relevan</w:t>
            </w:r>
          </w:p>
          <w:p w:rsidR="00000000" w:rsidDel="00000000" w:rsidP="00000000" w:rsidRDefault="00000000" w:rsidRPr="00000000" w14:paraId="000002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Referensi Eksternal</w:t>
            </w:r>
          </w:p>
          <w:p w:rsidR="00000000" w:rsidDel="00000000" w:rsidP="00000000" w:rsidRDefault="00000000" w:rsidRPr="00000000" w14:paraId="000002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UU No.20 Tahun 2003 tentang Sistem Pendidikan Tinggi</w:t>
            </w:r>
          </w:p>
          <w:p w:rsidR="00000000" w:rsidDel="00000000" w:rsidP="00000000" w:rsidRDefault="00000000" w:rsidRPr="00000000" w14:paraId="000002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UU No.12 Tahun 2012 tentang Pendidikan Tinggi</w:t>
            </w:r>
          </w:p>
          <w:p w:rsidR="00000000" w:rsidDel="00000000" w:rsidP="00000000" w:rsidRDefault="00000000" w:rsidRPr="00000000" w14:paraId="000002B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Permen No.04 Tahun 2014 tentang Penyelenggaraan Pendidikan Tinggi dan Pengelolaan Perguruan Tinggi</w:t>
            </w:r>
          </w:p>
          <w:p w:rsidR="00000000" w:rsidDel="00000000" w:rsidP="00000000" w:rsidRDefault="00000000" w:rsidRPr="00000000" w14:paraId="000002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Permendikbudridtek-No-53-Tahun-2023 tentang Penjaminnan Mutu Pendidikan Tinggi</w:t>
            </w:r>
          </w:p>
          <w:p w:rsidR="00000000" w:rsidDel="00000000" w:rsidP="00000000" w:rsidRDefault="00000000" w:rsidRPr="00000000" w14:paraId="000002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Referensi Internal </w:t>
            </w:r>
          </w:p>
          <w:p w:rsidR="00000000" w:rsidDel="00000000" w:rsidP="00000000" w:rsidRDefault="00000000" w:rsidRPr="00000000" w14:paraId="000002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Organisasi dan Tata Kerja (ORTAKER) UIN FAS Bengkulu</w:t>
            </w:r>
          </w:p>
          <w:p w:rsidR="00000000" w:rsidDel="00000000" w:rsidP="00000000" w:rsidRDefault="00000000" w:rsidRPr="00000000" w14:paraId="000002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Statuta UIN FAS Bengkulu</w:t>
            </w:r>
          </w:p>
          <w:p w:rsidR="00000000" w:rsidDel="00000000" w:rsidP="00000000" w:rsidRDefault="00000000" w:rsidRPr="00000000" w14:paraId="000002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Rencana Induk Pengembangan (RIP) UIN FAS Bengkulu</w:t>
            </w:r>
          </w:p>
          <w:p w:rsidR="00000000" w:rsidDel="00000000" w:rsidP="00000000" w:rsidRDefault="00000000" w:rsidRPr="00000000" w14:paraId="000002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3"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Rencana Strategis (RENSTRA) UIN FAS Bengkulu</w:t>
            </w:r>
          </w:p>
          <w:p w:rsidR="00000000" w:rsidDel="00000000" w:rsidP="00000000" w:rsidRDefault="00000000" w:rsidRPr="00000000" w14:paraId="000002B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Pedoman Akademik UIN FAS Bengkulu</w:t>
            </w:r>
          </w:p>
        </w:tc>
      </w:tr>
    </w:tbl>
    <w:p w:rsidR="00000000" w:rsidDel="00000000" w:rsidP="00000000" w:rsidRDefault="00000000" w:rsidRPr="00000000" w14:paraId="000002B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360" w:hanging="360"/>
      </w:pPr>
      <w:rPr>
        <w:rFonts w:ascii="Bookman Old Style" w:cs="Bookman Old Style" w:eastAsia="Bookman Old Style" w:hAnsi="Bookman Old Style"/>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0">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360"/>
      </w:pPr>
      <w:rPr>
        <w:rFonts w:ascii="Times New Roman" w:cs="Times New Roman" w:eastAsia="Times New Roman" w:hAnsi="Times New Roman"/>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rFonts w:ascii="Bookman Old Style" w:cs="Bookman Old Style" w:eastAsia="Bookman Old Style" w:hAnsi="Bookman Old Sty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4">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6">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7">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8">
    <w:lvl w:ilvl="0">
      <w:start w:val="1"/>
      <w:numFmt w:val="lowerLetter"/>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360" w:hanging="360"/>
      </w:pPr>
      <w:rPr>
        <w:rFonts w:ascii="Bookman Old Style" w:cs="Bookman Old Style" w:eastAsia="Bookman Old Style" w:hAnsi="Bookman Old Sty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5">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360"/>
      </w:pPr>
      <w:rPr>
        <w:rFonts w:ascii="Times New Roman" w:cs="Times New Roman" w:eastAsia="Times New Roman" w:hAnsi="Times New Roman"/>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360"/>
      </w:pPr>
      <w:rPr>
        <w:rFonts w:ascii="Times New Roman" w:cs="Times New Roman" w:eastAsia="Times New Roman" w:hAnsi="Times New Roman"/>
      </w:rPr>
    </w:lvl>
  </w:abstractNum>
  <w:abstractNum w:abstractNumId="47">
    <w:lvl w:ilvl="0">
      <w:start w:val="1"/>
      <w:numFmt w:val="decimal"/>
      <w:lvlText w:val="%1."/>
      <w:lvlJc w:val="left"/>
      <w:pPr>
        <w:ind w:left="360" w:hanging="360"/>
      </w:pPr>
      <w:rPr>
        <w:rFonts w:ascii="Bookman Old Style" w:cs="Bookman Old Style" w:eastAsia="Bookman Old Style" w:hAnsi="Bookman Old Sty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360" w:hanging="360"/>
      </w:pPr>
      <w:rPr>
        <w:rFonts w:ascii="Bookman Old Style" w:cs="Bookman Old Style" w:eastAsia="Bookman Old Style" w:hAnsi="Bookman Old Sty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432" w:hanging="360"/>
      </w:pPr>
      <w:rPr/>
    </w:lvl>
    <w:lvl w:ilvl="1">
      <w:start w:val="1"/>
      <w:numFmt w:val="lowerLetter"/>
      <w:lvlText w:val="%2."/>
      <w:lvlJc w:val="left"/>
      <w:pPr>
        <w:ind w:left="1152" w:hanging="360"/>
      </w:pPr>
      <w:rPr/>
    </w:lvl>
    <w:lvl w:ilvl="2">
      <w:start w:val="1"/>
      <w:numFmt w:val="lowerRoman"/>
      <w:lvlText w:val="%3."/>
      <w:lvlJc w:val="right"/>
      <w:pPr>
        <w:ind w:left="1872" w:hanging="180"/>
      </w:pPr>
      <w:rPr/>
    </w:lvl>
    <w:lvl w:ilvl="3">
      <w:start w:val="1"/>
      <w:numFmt w:val="decimal"/>
      <w:lvlText w:val="%4."/>
      <w:lvlJc w:val="left"/>
      <w:pPr>
        <w:ind w:left="2592" w:hanging="360"/>
      </w:pPr>
      <w:rPr/>
    </w:lvl>
    <w:lvl w:ilvl="4">
      <w:start w:val="1"/>
      <w:numFmt w:val="lowerLetter"/>
      <w:lvlText w:val="%5."/>
      <w:lvlJc w:val="left"/>
      <w:pPr>
        <w:ind w:left="3312" w:hanging="360"/>
      </w:pPr>
      <w:rPr/>
    </w:lvl>
    <w:lvl w:ilvl="5">
      <w:start w:val="1"/>
      <w:numFmt w:val="lowerRoman"/>
      <w:lvlText w:val="%6."/>
      <w:lvlJc w:val="right"/>
      <w:pPr>
        <w:ind w:left="4032" w:hanging="180"/>
      </w:pPr>
      <w:rPr/>
    </w:lvl>
    <w:lvl w:ilvl="6">
      <w:start w:val="1"/>
      <w:numFmt w:val="decimal"/>
      <w:lvlText w:val="%7."/>
      <w:lvlJc w:val="left"/>
      <w:pPr>
        <w:ind w:left="4752" w:hanging="360"/>
      </w:pPr>
      <w:rPr/>
    </w:lvl>
    <w:lvl w:ilvl="7">
      <w:start w:val="1"/>
      <w:numFmt w:val="lowerLetter"/>
      <w:lvlText w:val="%8."/>
      <w:lvlJc w:val="left"/>
      <w:pPr>
        <w:ind w:left="5472" w:hanging="360"/>
      </w:pPr>
      <w:rPr/>
    </w:lvl>
    <w:lvl w:ilvl="8">
      <w:start w:val="1"/>
      <w:numFmt w:val="lowerRoman"/>
      <w:lvlText w:val="%9."/>
      <w:lvlJc w:val="right"/>
      <w:pPr>
        <w:ind w:left="6192"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360" w:hanging="360"/>
      </w:pPr>
      <w:rPr>
        <w:sz w:val="20"/>
        <w:szCs w:val="20"/>
      </w:rPr>
    </w:lvl>
    <w:lvl w:ilvl="1">
      <w:start w:val="1"/>
      <w:numFmt w:val="decimal"/>
      <w:lvlText w:val="%2."/>
      <w:lvlJc w:val="left"/>
      <w:pPr>
        <w:ind w:left="1080" w:hanging="360"/>
      </w:pPr>
      <w:rPr>
        <w:b w:val="0"/>
        <w:color w:val="00000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99"/>
    <w:qFormat w:val="1"/>
    <w:rsid w:val="0085683E"/>
    <w:pPr>
      <w:spacing w:after="200" w:line="276" w:lineRule="auto"/>
      <w:ind w:left="720"/>
      <w:contextualSpacing w:val="1"/>
    </w:pPr>
    <w:rPr>
      <w:rFonts w:ascii="Calibri" w:cs="Times New Roman" w:eastAsia="Calibri" w:hAnsi="Calibri"/>
    </w:rPr>
  </w:style>
  <w:style w:type="table" w:styleId="TableGrid">
    <w:name w:val="Table Grid"/>
    <w:basedOn w:val="TableNormal"/>
    <w:uiPriority w:val="39"/>
    <w:rsid w:val="00695B8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907EB"/>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nLkuz4RuaRi00mFPCTP8/0+/g==">CgMxLjAyCGguZ2pkZ3hzOAByITFSRXQ0UllGcExJMFlVeUtwaktBVUhGZ3J4ZEJNcVhqRg==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2024-06-02T06:16:00Z</dcterms:created>
  <dc:creator>Windows User</dc:creator>
</cp:coreProperties>
</file>