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6113" w14:textId="05DE67E1" w:rsidR="004C1D95" w:rsidRDefault="009F79D8" w:rsidP="004C1D95">
      <w:pPr>
        <w:pStyle w:val="Normal1"/>
        <w:spacing w:after="0" w:line="240" w:lineRule="auto"/>
        <w:ind w:left="426" w:right="425"/>
        <w:jc w:val="center"/>
        <w:rPr>
          <w:rFonts w:ascii="Garamond" w:eastAsia="Times New Roman" w:hAnsi="Garamond" w:cs="Times New Roman"/>
          <w:b/>
          <w:sz w:val="24"/>
          <w:szCs w:val="24"/>
          <w:lang w:val="id-ID"/>
        </w:rPr>
      </w:pPr>
      <w:r w:rsidRPr="009F79D8">
        <w:rPr>
          <w:rFonts w:ascii="Garamond" w:eastAsia="Times New Roman" w:hAnsi="Garamond" w:cs="Times New Roman"/>
          <w:b/>
          <w:sz w:val="24"/>
          <w:szCs w:val="24"/>
          <w:lang w:val="id-ID"/>
        </w:rPr>
        <w:t>Measuring the Welfare of Farmers in Bengkulu Province through the Farmer's Terms of Trade and Zakat-Based Social Groups</w:t>
      </w:r>
    </w:p>
    <w:p w14:paraId="67DCFA43" w14:textId="77777777" w:rsidR="009F79D8" w:rsidRDefault="009F79D8" w:rsidP="004C1D95">
      <w:pPr>
        <w:pStyle w:val="Normal1"/>
        <w:spacing w:after="0" w:line="240" w:lineRule="auto"/>
        <w:ind w:left="426" w:right="425"/>
        <w:jc w:val="center"/>
        <w:rPr>
          <w:rFonts w:ascii="Garamond" w:eastAsia="Times New Roman" w:hAnsi="Garamond" w:cs="Times New Roman"/>
          <w:b/>
          <w:sz w:val="24"/>
          <w:szCs w:val="24"/>
        </w:rPr>
      </w:pPr>
    </w:p>
    <w:p w14:paraId="2321CBCB" w14:textId="3C55AB09" w:rsidR="004C1D95" w:rsidRPr="00A02016" w:rsidRDefault="004C1D95" w:rsidP="004C1D95">
      <w:pPr>
        <w:pStyle w:val="Normal1"/>
        <w:spacing w:after="0" w:line="240" w:lineRule="auto"/>
        <w:ind w:left="426" w:right="425"/>
        <w:jc w:val="center"/>
        <w:rPr>
          <w:rFonts w:ascii="Garamond" w:eastAsia="Times New Roman" w:hAnsi="Garamond" w:cs="Times New Roman"/>
          <w:b/>
          <w:sz w:val="24"/>
          <w:szCs w:val="24"/>
        </w:rPr>
      </w:pPr>
      <w:r w:rsidRPr="00A02016">
        <w:rPr>
          <w:rFonts w:ascii="Garamond" w:eastAsia="Times New Roman" w:hAnsi="Garamond" w:cs="Times New Roman"/>
          <w:b/>
          <w:sz w:val="24"/>
          <w:szCs w:val="24"/>
        </w:rPr>
        <w:t xml:space="preserve">Nonie </w:t>
      </w:r>
      <w:proofErr w:type="spellStart"/>
      <w:r w:rsidRPr="00A02016">
        <w:rPr>
          <w:rFonts w:ascii="Garamond" w:eastAsia="Times New Roman" w:hAnsi="Garamond" w:cs="Times New Roman"/>
          <w:b/>
          <w:sz w:val="24"/>
          <w:szCs w:val="24"/>
        </w:rPr>
        <w:t>Afrianty</w:t>
      </w:r>
      <w:proofErr w:type="spellEnd"/>
      <w:r w:rsidRPr="00A02016">
        <w:rPr>
          <w:rFonts w:ascii="Garamond" w:eastAsia="Times New Roman" w:hAnsi="Garamond" w:cs="Times New Roman"/>
          <w:b/>
          <w:sz w:val="24"/>
          <w:szCs w:val="24"/>
        </w:rPr>
        <w:t xml:space="preserve">, </w:t>
      </w:r>
      <w:proofErr w:type="spellStart"/>
      <w:r w:rsidRPr="00A02016">
        <w:rPr>
          <w:rFonts w:ascii="Garamond" w:eastAsia="Times New Roman" w:hAnsi="Garamond" w:cs="Times New Roman"/>
          <w:b/>
          <w:sz w:val="24"/>
          <w:szCs w:val="24"/>
        </w:rPr>
        <w:t>Andang</w:t>
      </w:r>
      <w:proofErr w:type="spellEnd"/>
      <w:r w:rsidRPr="00A02016">
        <w:rPr>
          <w:rFonts w:ascii="Garamond" w:eastAsia="Times New Roman" w:hAnsi="Garamond" w:cs="Times New Roman"/>
          <w:b/>
          <w:sz w:val="24"/>
          <w:szCs w:val="24"/>
        </w:rPr>
        <w:t xml:space="preserve"> Sunarto, </w:t>
      </w:r>
      <w:proofErr w:type="spellStart"/>
      <w:r w:rsidRPr="00A02016">
        <w:rPr>
          <w:rFonts w:ascii="Garamond" w:eastAsia="Times New Roman" w:hAnsi="Garamond" w:cs="Times New Roman"/>
          <w:b/>
          <w:sz w:val="24"/>
          <w:szCs w:val="24"/>
        </w:rPr>
        <w:t>Nurlia</w:t>
      </w:r>
      <w:proofErr w:type="spellEnd"/>
      <w:r w:rsidRPr="00A02016">
        <w:rPr>
          <w:rFonts w:ascii="Garamond" w:eastAsia="Times New Roman" w:hAnsi="Garamond" w:cs="Times New Roman"/>
          <w:b/>
          <w:sz w:val="24"/>
          <w:szCs w:val="24"/>
        </w:rPr>
        <w:t xml:space="preserve"> Latifah </w:t>
      </w:r>
    </w:p>
    <w:p w14:paraId="023BCF7F" w14:textId="0515999B" w:rsidR="004C1D95" w:rsidRPr="00A02016" w:rsidRDefault="004C1D95" w:rsidP="004C1D95">
      <w:pPr>
        <w:pStyle w:val="Normal1"/>
        <w:spacing w:after="0" w:line="240" w:lineRule="auto"/>
        <w:ind w:left="426" w:right="425"/>
        <w:jc w:val="center"/>
        <w:rPr>
          <w:rFonts w:ascii="Garamond" w:eastAsia="Times New Roman" w:hAnsi="Garamond" w:cs="Times New Roman"/>
          <w:bCs/>
          <w:sz w:val="24"/>
          <w:szCs w:val="24"/>
          <w:lang w:val="id-ID"/>
        </w:rPr>
      </w:pPr>
      <w:r w:rsidRPr="00A02016">
        <w:rPr>
          <w:rFonts w:ascii="Garamond" w:eastAsia="Times New Roman" w:hAnsi="Garamond" w:cs="Times New Roman"/>
          <w:bCs/>
          <w:sz w:val="24"/>
          <w:szCs w:val="24"/>
          <w:lang w:val="id-ID"/>
        </w:rPr>
        <w:t xml:space="preserve">UIN Fatmawati Sukarno Bengkulu, Indonesia </w:t>
      </w:r>
    </w:p>
    <w:p w14:paraId="1D364B30" w14:textId="46EF27CF" w:rsidR="002F6B1B" w:rsidRPr="002F6B1B" w:rsidRDefault="004C1D95" w:rsidP="002F6B1B">
      <w:pPr>
        <w:pStyle w:val="Normal1"/>
        <w:spacing w:after="0" w:line="240" w:lineRule="auto"/>
        <w:ind w:left="426" w:right="425"/>
        <w:jc w:val="center"/>
        <w:rPr>
          <w:rFonts w:ascii="Garamond" w:hAnsi="Garamond" w:cs="Times New Roman"/>
          <w:sz w:val="24"/>
          <w:szCs w:val="24"/>
        </w:rPr>
      </w:pPr>
      <w:r w:rsidRPr="00A02016">
        <w:rPr>
          <w:rFonts w:ascii="Garamond" w:eastAsia="Times New Roman" w:hAnsi="Garamond" w:cs="Times New Roman"/>
          <w:bCs/>
          <w:sz w:val="24"/>
          <w:szCs w:val="24"/>
          <w:lang w:val="id-ID"/>
        </w:rPr>
        <w:t xml:space="preserve">Email: </w:t>
      </w:r>
      <w:r w:rsidRPr="00A02016">
        <w:rPr>
          <w:rFonts w:ascii="Garamond" w:eastAsia="Times New Roman" w:hAnsi="Garamond" w:cs="Times New Roman"/>
          <w:bCs/>
          <w:sz w:val="24"/>
          <w:szCs w:val="24"/>
          <w:lang w:val="id-ID"/>
        </w:rPr>
        <w:fldChar w:fldCharType="begin"/>
      </w:r>
      <w:r w:rsidRPr="00A02016">
        <w:rPr>
          <w:rFonts w:ascii="Garamond" w:eastAsia="Times New Roman" w:hAnsi="Garamond" w:cs="Times New Roman"/>
          <w:bCs/>
          <w:sz w:val="24"/>
          <w:szCs w:val="24"/>
          <w:lang w:val="id-ID"/>
        </w:rPr>
        <w:instrText>HYPERLINK "mailto:nonie.afrianty@mail.uinfasbengkulu.ac.id"</w:instrText>
      </w:r>
      <w:r w:rsidRPr="00A02016">
        <w:rPr>
          <w:rFonts w:ascii="Garamond" w:eastAsia="Times New Roman" w:hAnsi="Garamond" w:cs="Times New Roman"/>
          <w:bCs/>
          <w:sz w:val="24"/>
          <w:szCs w:val="24"/>
          <w:lang w:val="id-ID"/>
        </w:rPr>
      </w:r>
      <w:r w:rsidRPr="00A02016">
        <w:rPr>
          <w:rFonts w:ascii="Garamond" w:eastAsia="Times New Roman" w:hAnsi="Garamond" w:cs="Times New Roman"/>
          <w:bCs/>
          <w:sz w:val="24"/>
          <w:szCs w:val="24"/>
          <w:lang w:val="id-ID"/>
        </w:rPr>
        <w:fldChar w:fldCharType="separate"/>
      </w:r>
      <w:r w:rsidRPr="00A02016">
        <w:rPr>
          <w:rStyle w:val="Hyperlink"/>
          <w:rFonts w:ascii="Garamond" w:eastAsia="Times New Roman" w:hAnsi="Garamond" w:cs="Times New Roman"/>
          <w:bCs/>
          <w:sz w:val="24"/>
          <w:szCs w:val="24"/>
          <w:lang w:val="id-ID"/>
        </w:rPr>
        <w:t>nonie.afrianty@mail.uinfasbengkulu.ac.id</w:t>
      </w:r>
      <w:r w:rsidRPr="00A02016">
        <w:rPr>
          <w:rFonts w:ascii="Garamond" w:eastAsia="Times New Roman" w:hAnsi="Garamond" w:cs="Times New Roman"/>
          <w:bCs/>
          <w:sz w:val="24"/>
          <w:szCs w:val="24"/>
          <w:lang w:val="id-ID"/>
        </w:rPr>
        <w:fldChar w:fldCharType="end"/>
      </w:r>
      <w:r w:rsidRPr="00A02016">
        <w:rPr>
          <w:rFonts w:ascii="Garamond" w:eastAsia="Times New Roman" w:hAnsi="Garamond" w:cs="Times New Roman"/>
          <w:bCs/>
          <w:sz w:val="24"/>
          <w:szCs w:val="24"/>
          <w:lang w:val="id-ID"/>
        </w:rPr>
        <w:t xml:space="preserve">, </w:t>
      </w:r>
      <w:hyperlink r:id="rId8" w:history="1">
        <w:r w:rsidR="00A02016" w:rsidRPr="00A02016">
          <w:rPr>
            <w:rStyle w:val="Hyperlink"/>
            <w:rFonts w:ascii="Garamond" w:hAnsi="Garamond" w:cs="Times New Roman"/>
            <w:sz w:val="24"/>
            <w:szCs w:val="24"/>
          </w:rPr>
          <w:t>andangs@mail.uinfasbengkulu.ac.id</w:t>
        </w:r>
      </w:hyperlink>
      <w:r w:rsidR="002F6B1B">
        <w:rPr>
          <w:rFonts w:ascii="Garamond" w:hAnsi="Garamond" w:cs="Times New Roman"/>
          <w:sz w:val="24"/>
          <w:szCs w:val="24"/>
        </w:rPr>
        <w:t xml:space="preserve">, </w:t>
      </w:r>
      <w:hyperlink r:id="rId9" w:history="1">
        <w:r w:rsidR="002F6B1B" w:rsidRPr="0087241E">
          <w:rPr>
            <w:rStyle w:val="Hyperlink"/>
            <w:rFonts w:ascii="Garamond" w:hAnsi="Garamond" w:cs="Times New Roman"/>
            <w:sz w:val="24"/>
            <w:szCs w:val="24"/>
          </w:rPr>
          <w:t>nurlialatipah@mail.uinfasbengkulu.ac.id</w:t>
        </w:r>
      </w:hyperlink>
      <w:r w:rsidR="002F6B1B">
        <w:rPr>
          <w:rFonts w:ascii="Garamond" w:hAnsi="Garamond" w:cs="Times New Roman"/>
          <w:sz w:val="24"/>
          <w:szCs w:val="24"/>
        </w:rPr>
        <w:t xml:space="preserve"> </w:t>
      </w:r>
    </w:p>
    <w:p w14:paraId="24EC8907" w14:textId="5EC23ECD" w:rsidR="00F43949" w:rsidRPr="00A02016" w:rsidRDefault="00A02016" w:rsidP="000E2F8F">
      <w:pPr>
        <w:spacing w:after="0" w:line="240" w:lineRule="auto"/>
        <w:jc w:val="center"/>
        <w:rPr>
          <w:rFonts w:ascii="Times New Roman" w:hAnsi="Times New Roman" w:cs="Times New Roman"/>
        </w:rPr>
      </w:pPr>
      <w:r w:rsidRPr="00A02016">
        <w:rPr>
          <w:rFonts w:ascii="Garamond" w:hAnsi="Garamond" w:cs="Times New Roman"/>
        </w:rPr>
        <w:t>*</w:t>
      </w:r>
      <w:proofErr w:type="spellStart"/>
      <w:r w:rsidRPr="00A02016">
        <w:rPr>
          <w:rFonts w:ascii="Garamond" w:hAnsi="Garamond" w:cs="Times New Roman"/>
        </w:rPr>
        <w:t>Corespondence</w:t>
      </w:r>
      <w:proofErr w:type="spellEnd"/>
      <w:r w:rsidRPr="00A02016">
        <w:rPr>
          <w:rFonts w:ascii="Garamond" w:hAnsi="Garamond" w:cs="Times New Roman"/>
        </w:rPr>
        <w:t xml:space="preserve">: </w:t>
      </w:r>
      <w:hyperlink r:id="rId10" w:history="1">
        <w:r w:rsidRPr="00A02016">
          <w:rPr>
            <w:rStyle w:val="Hyperlink"/>
            <w:rFonts w:ascii="Garamond" w:hAnsi="Garamond" w:cs="Times New Roman"/>
          </w:rPr>
          <w:t>andangs@mail.uinfasbengkulu.ac.id</w:t>
        </w:r>
      </w:hyperlink>
      <w:r w:rsidRPr="00A02016">
        <w:rPr>
          <w:rFonts w:ascii="Times New Roman" w:hAnsi="Times New Roman" w:cs="Times New Roman"/>
        </w:rPr>
        <w:t xml:space="preserve"> </w:t>
      </w:r>
    </w:p>
    <w:p w14:paraId="0322F0B1" w14:textId="77777777" w:rsidR="005D799F" w:rsidRDefault="005D799F" w:rsidP="000E2F8F">
      <w:pPr>
        <w:spacing w:after="0" w:line="240" w:lineRule="auto"/>
        <w:jc w:val="center"/>
        <w:rPr>
          <w:rFonts w:ascii="Garamond" w:hAnsi="Garamond" w:cs="Times New Roman"/>
          <w:b/>
          <w:bCs/>
        </w:rPr>
      </w:pPr>
    </w:p>
    <w:p w14:paraId="67C18DA3" w14:textId="2F203F23" w:rsidR="000E2F8F" w:rsidRPr="005D799F" w:rsidRDefault="000E2F8F" w:rsidP="000E2F8F">
      <w:pPr>
        <w:spacing w:after="0" w:line="240" w:lineRule="auto"/>
        <w:jc w:val="center"/>
        <w:rPr>
          <w:rFonts w:ascii="Garamond" w:hAnsi="Garamond" w:cs="Times New Roman"/>
          <w:b/>
          <w:bCs/>
        </w:rPr>
      </w:pPr>
      <w:proofErr w:type="spellStart"/>
      <w:r w:rsidRPr="005D799F">
        <w:rPr>
          <w:rFonts w:ascii="Garamond" w:hAnsi="Garamond" w:cs="Times New Roman"/>
          <w:b/>
          <w:bCs/>
        </w:rPr>
        <w:t>Abstrak</w:t>
      </w:r>
      <w:proofErr w:type="spellEnd"/>
    </w:p>
    <w:p w14:paraId="3586100C" w14:textId="77C403A1" w:rsidR="000E2F8F" w:rsidRPr="005D799F" w:rsidRDefault="009F79D8" w:rsidP="009F79D8">
      <w:pPr>
        <w:spacing w:after="0" w:line="240" w:lineRule="auto"/>
        <w:jc w:val="both"/>
        <w:rPr>
          <w:rFonts w:ascii="Garamond" w:hAnsi="Garamond" w:cs="Times New Roman"/>
        </w:rPr>
      </w:pPr>
      <w:r w:rsidRPr="009F79D8">
        <w:rPr>
          <w:rFonts w:ascii="Garamond" w:hAnsi="Garamond" w:cs="Times New Roman"/>
        </w:rPr>
        <w:t xml:space="preserve">This study aims to measure the welfare of farmers in Bengkulu Province through the Farmer's Terms of Trade (NTP) approach and a zakat-based social group classification. The research employs a mixed methods approach, combining quantitative analysis using the ARIMA Box-Jenkins forecasting model on NTP time series data from January 2021 to December 2023, and qualitative analysis to examine farmers' welfare status based on zakat classifications: </w:t>
      </w:r>
      <w:proofErr w:type="spellStart"/>
      <w:r w:rsidRPr="009F79D8">
        <w:rPr>
          <w:rFonts w:ascii="Garamond" w:hAnsi="Garamond" w:cs="Times New Roman"/>
        </w:rPr>
        <w:t>muzakki</w:t>
      </w:r>
      <w:proofErr w:type="spellEnd"/>
      <w:r w:rsidRPr="009F79D8">
        <w:rPr>
          <w:rFonts w:ascii="Garamond" w:hAnsi="Garamond" w:cs="Times New Roman"/>
        </w:rPr>
        <w:t xml:space="preserve"> (zakat givers), middle class, and </w:t>
      </w:r>
      <w:proofErr w:type="spellStart"/>
      <w:r w:rsidRPr="009F79D8">
        <w:rPr>
          <w:rFonts w:ascii="Garamond" w:hAnsi="Garamond" w:cs="Times New Roman"/>
        </w:rPr>
        <w:t>mustahik</w:t>
      </w:r>
      <w:proofErr w:type="spellEnd"/>
      <w:r w:rsidRPr="009F79D8">
        <w:rPr>
          <w:rFonts w:ascii="Garamond" w:hAnsi="Garamond" w:cs="Times New Roman"/>
        </w:rPr>
        <w:t xml:space="preserve"> (zakat recipients from the eight </w:t>
      </w:r>
      <w:proofErr w:type="spellStart"/>
      <w:r w:rsidRPr="009F79D8">
        <w:rPr>
          <w:rFonts w:ascii="Garamond" w:hAnsi="Garamond" w:cs="Times New Roman"/>
        </w:rPr>
        <w:t>asnaf</w:t>
      </w:r>
      <w:proofErr w:type="spellEnd"/>
      <w:r w:rsidRPr="009F79D8">
        <w:rPr>
          <w:rFonts w:ascii="Garamond" w:hAnsi="Garamond" w:cs="Times New Roman"/>
        </w:rPr>
        <w:t xml:space="preserve"> categories).</w:t>
      </w:r>
      <w:r>
        <w:rPr>
          <w:rFonts w:ascii="Garamond" w:hAnsi="Garamond" w:cs="Times New Roman"/>
        </w:rPr>
        <w:t xml:space="preserve"> </w:t>
      </w:r>
      <w:r w:rsidRPr="009F79D8">
        <w:rPr>
          <w:rFonts w:ascii="Garamond" w:hAnsi="Garamond" w:cs="Times New Roman"/>
        </w:rPr>
        <w:t xml:space="preserve">The findings reveal that the ARIMA (1,0,0) model is the most suitable for forecasting NTP, with projections for 2024 indicating values ranging from 138.57 to 142.68. This suggests that farmers’ purchasing power remains stable and falls within the surplus category. However, the qualitative findings indicate that the majority of farmers in Bengkulu Province still fall under the </w:t>
      </w:r>
      <w:proofErr w:type="spellStart"/>
      <w:r w:rsidRPr="009F79D8">
        <w:rPr>
          <w:rFonts w:ascii="Garamond" w:hAnsi="Garamond" w:cs="Times New Roman"/>
        </w:rPr>
        <w:t>mustahik</w:t>
      </w:r>
      <w:proofErr w:type="spellEnd"/>
      <w:r w:rsidRPr="009F79D8">
        <w:rPr>
          <w:rFonts w:ascii="Garamond" w:hAnsi="Garamond" w:cs="Times New Roman"/>
        </w:rPr>
        <w:t xml:space="preserve"> category, suggesting that welfare among farmers remains unequal and that many are still zakat recipients.</w:t>
      </w:r>
      <w:r>
        <w:rPr>
          <w:rFonts w:ascii="Garamond" w:hAnsi="Garamond" w:cs="Times New Roman"/>
        </w:rPr>
        <w:t xml:space="preserve"> </w:t>
      </w:r>
      <w:r w:rsidRPr="009F79D8">
        <w:rPr>
          <w:rFonts w:ascii="Garamond" w:hAnsi="Garamond" w:cs="Times New Roman"/>
        </w:rPr>
        <w:t>This phenomenon underscores the importance of strengthening the role of productive zakat and fostering cross-sector collaboration as instruments for empowering the agricultural economy. The study recommends that agricultural development policies should not solely focus on economic indicators but also integrate socio-religious approaches to ensure sustainable farmer welfare</w:t>
      </w:r>
    </w:p>
    <w:p w14:paraId="065E1A2B" w14:textId="5954AC94" w:rsidR="005D799F" w:rsidRPr="005D799F" w:rsidRDefault="005D799F" w:rsidP="005D799F">
      <w:pPr>
        <w:spacing w:after="0" w:line="240" w:lineRule="auto"/>
        <w:jc w:val="both"/>
        <w:rPr>
          <w:rFonts w:ascii="Garamond" w:hAnsi="Garamond" w:cs="Times New Roman"/>
          <w:b/>
          <w:bCs/>
        </w:rPr>
      </w:pPr>
      <w:r w:rsidRPr="005D799F">
        <w:rPr>
          <w:rFonts w:ascii="Garamond" w:hAnsi="Garamond" w:cs="Times New Roman"/>
          <w:b/>
          <w:bCs/>
        </w:rPr>
        <w:t xml:space="preserve">Keywords: </w:t>
      </w:r>
      <w:r w:rsidR="009F79D8">
        <w:rPr>
          <w:rFonts w:ascii="Garamond" w:hAnsi="Garamond" w:cs="Times New Roman"/>
          <w:b/>
          <w:bCs/>
        </w:rPr>
        <w:t>Welfare, Welfare of Farmers, NTP, ARIMA, Zakat</w:t>
      </w:r>
    </w:p>
    <w:p w14:paraId="1576DDB7" w14:textId="77777777" w:rsidR="004C1D95" w:rsidRPr="00F43949" w:rsidRDefault="004C1D95" w:rsidP="000E2F8F">
      <w:pPr>
        <w:spacing w:after="0" w:line="240" w:lineRule="auto"/>
        <w:ind w:firstLine="851"/>
        <w:jc w:val="both"/>
        <w:rPr>
          <w:rFonts w:ascii="Times New Roman" w:hAnsi="Times New Roman" w:cs="Times New Roman"/>
        </w:rPr>
      </w:pPr>
    </w:p>
    <w:p w14:paraId="3668C89C" w14:textId="41EAC61A" w:rsidR="00A81589" w:rsidRPr="004C3A9F" w:rsidRDefault="000E2F8F" w:rsidP="004C1D95">
      <w:pPr>
        <w:pStyle w:val="ListParagraph"/>
        <w:numPr>
          <w:ilvl w:val="0"/>
          <w:numId w:val="1"/>
        </w:numPr>
        <w:spacing w:after="0" w:line="276" w:lineRule="auto"/>
        <w:ind w:left="284" w:hanging="284"/>
        <w:rPr>
          <w:rFonts w:ascii="Garamond" w:hAnsi="Garamond" w:cs="Times New Roman"/>
          <w:b/>
          <w:bCs/>
        </w:rPr>
      </w:pPr>
      <w:r w:rsidRPr="004C3A9F">
        <w:rPr>
          <w:rFonts w:ascii="Garamond" w:hAnsi="Garamond" w:cs="Times New Roman"/>
          <w:b/>
          <w:bCs/>
        </w:rPr>
        <w:t xml:space="preserve">Introduction </w:t>
      </w:r>
    </w:p>
    <w:p w14:paraId="479700BA" w14:textId="188589D5" w:rsidR="00B9143B" w:rsidRPr="004C3A9F" w:rsidRDefault="009F79D8"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id-ID"/>
        </w:rPr>
      </w:pPr>
      <w:r w:rsidRPr="009F79D8">
        <w:rPr>
          <w:rFonts w:ascii="Garamond" w:eastAsia="Times New Roman" w:hAnsi="Garamond" w:cs="Times New Roman"/>
          <w:sz w:val="24"/>
          <w:szCs w:val="24"/>
          <w:lang w:val="en-ID"/>
        </w:rPr>
        <w:t>Indonesia’s development policy is directed toward improving community welfare by taking into account the social and economic characteristics that form the fundamental basis of overall development</w:t>
      </w:r>
      <w:r w:rsidR="00570456" w:rsidRPr="004C3A9F">
        <w:rPr>
          <w:rFonts w:ascii="Garamond" w:eastAsia="Times New Roman" w:hAnsi="Garamond" w:cs="Times New Roman"/>
          <w:sz w:val="24"/>
          <w:szCs w:val="24"/>
          <w:lang w:val="id-ID"/>
        </w:rPr>
        <w:fldChar w:fldCharType="begin" w:fldLock="1"/>
      </w:r>
      <w:r w:rsidR="00570456" w:rsidRPr="004C3A9F">
        <w:rPr>
          <w:rFonts w:ascii="Garamond" w:eastAsia="Times New Roman" w:hAnsi="Garamond" w:cs="Times New Roman"/>
          <w:sz w:val="24"/>
          <w:szCs w:val="24"/>
          <w:lang w:val="id-ID"/>
        </w:rPr>
        <w:instrText>ADDIN CSL_CITATION {"citationItems":[{"id":"ITEM-1","itemData":{"DOI":"10.1088/1755-1315/653/1/012092","ISSN":"17551315","abstract":"Bandung Regency is a sizeable horticultural supplier for West Java and DKI Jakarta, Indonesia. Horticultural farming faces the constraints of expensive input prices and price fluctuations. This can reduce the welfare of farmers. This study aims to determine the welfare level of horticulture farmers families in Pengalengan Sub-District, Bandung Regency, from June-September 2019. The research method is a survey. Respondents were taken 10 % of the population, i.e., as many as 92 farmers families. The welfare level is measured based on eleven BPS indicators, namely income, expenses, living conditions, housing facilities, household member health, the ease of obtaining health services, the ease in education services, and obtaining transportation facilities, religious life, taste safe, and exercise ease. The poor criteria according to World Bank standard is family expenses of less than 1.9 USD per capita per day. The results show that average income was IDR 9,400,000 per capita per year. The average expenses were IDR 7,283,743 per capita per year. All of the respondents are categorized as non-poor and in the high welfare category.","author":[{"dropping-particle":"","family":"Hapsari","given":"H.","non-dropping-particle":"","parse-names":false,"suffix":""},{"dropping-particle":"","family":"Wulandari","given":"E.","non-dropping-particle":"","parse-names":false,"suffix":""},{"dropping-particle":"","family":"Suminartika","given":"E.","non-dropping-particle":"","parse-names":false,"suffix":""},{"dropping-particle":"","family":"Karyani","given":"T.","non-dropping-particle":"","parse-names":false,"suffix":""}],"container-title":"IOP Conference Series: Earth and Environmental Science","id":"ITEM-1","issue":"1","issued":{"date-parts":[["2021"]]},"page":"1-7","title":"The Family Welfare of Horticulture Farmers: Case in Pegalengan District, Bandung Regency, West Java","type":"article-journal","volume":"653"},"uris":["http://www.mendeley.com/documents/?uuid=a8044e71-7b7c-412c-a9f0-3c3d18b18c5a"]}],"mendeley":{"formattedCitation":"(Hapsari et al., 2021)","plainTextFormattedCitation":"(Hapsari et al., 2021)","previouslyFormattedCitation":"(Hapsari et al., 2021)"},"properties":{"noteIndex":0},"schema":"https://github.com/citation-style-language/schema/raw/master/csl-citation.json"}</w:instrText>
      </w:r>
      <w:r w:rsidR="00570456" w:rsidRPr="004C3A9F">
        <w:rPr>
          <w:rFonts w:ascii="Garamond" w:eastAsia="Times New Roman" w:hAnsi="Garamond" w:cs="Times New Roman"/>
          <w:sz w:val="24"/>
          <w:szCs w:val="24"/>
          <w:lang w:val="id-ID"/>
        </w:rPr>
        <w:fldChar w:fldCharType="separate"/>
      </w:r>
      <w:r w:rsidR="00570456" w:rsidRPr="004C3A9F">
        <w:rPr>
          <w:rFonts w:ascii="Garamond" w:eastAsia="Times New Roman" w:hAnsi="Garamond" w:cs="Times New Roman"/>
          <w:noProof/>
          <w:sz w:val="24"/>
          <w:szCs w:val="24"/>
          <w:lang w:val="id-ID"/>
        </w:rPr>
        <w:t>(Hapsari et al., 2021)</w:t>
      </w:r>
      <w:r w:rsidR="00570456" w:rsidRPr="004C3A9F">
        <w:rPr>
          <w:rFonts w:ascii="Garamond" w:eastAsia="Times New Roman" w:hAnsi="Garamond" w:cs="Times New Roman"/>
          <w:sz w:val="24"/>
          <w:szCs w:val="24"/>
          <w:lang w:val="id-ID"/>
        </w:rPr>
        <w:fldChar w:fldCharType="end"/>
      </w:r>
      <w:r w:rsidR="00570456" w:rsidRPr="004C3A9F">
        <w:rPr>
          <w:rFonts w:ascii="Garamond" w:eastAsia="Times New Roman" w:hAnsi="Garamond" w:cs="Times New Roman"/>
          <w:sz w:val="24"/>
          <w:szCs w:val="24"/>
          <w:lang w:val="id-ID"/>
        </w:rPr>
        <w:t>.</w:t>
      </w:r>
      <w:r w:rsidR="00B77F9B" w:rsidRPr="004C3A9F">
        <w:rPr>
          <w:rFonts w:ascii="Garamond" w:eastAsia="Times New Roman" w:hAnsi="Garamond" w:cs="Times New Roman"/>
          <w:sz w:val="24"/>
          <w:szCs w:val="24"/>
          <w:lang w:val="id-ID"/>
        </w:rPr>
        <w:t xml:space="preserve"> </w:t>
      </w:r>
      <w:r w:rsidRPr="009F79D8">
        <w:rPr>
          <w:rFonts w:ascii="Garamond" w:eastAsia="Times New Roman" w:hAnsi="Garamond" w:cs="Times New Roman"/>
          <w:sz w:val="24"/>
          <w:szCs w:val="24"/>
          <w:lang w:val="en-ID"/>
        </w:rPr>
        <w:t>The agricultural sector holds a strategic role and remains a national development priority, as evidenced by data showing that 43.6% of Indonesia’s population resides in rural areas, with most relying on agriculture for their livelihoods</w:t>
      </w:r>
      <w:r w:rsidR="00113B06" w:rsidRPr="004C3A9F">
        <w:rPr>
          <w:rFonts w:ascii="Garamond" w:eastAsia="Times New Roman" w:hAnsi="Garamond" w:cs="Times New Roman"/>
          <w:sz w:val="24"/>
          <w:szCs w:val="24"/>
          <w:lang w:val="id-ID"/>
        </w:rPr>
        <w:fldChar w:fldCharType="begin" w:fldLock="1"/>
      </w:r>
      <w:r w:rsidR="004C1D95" w:rsidRPr="004C3A9F">
        <w:rPr>
          <w:rFonts w:ascii="Garamond" w:eastAsia="Times New Roman" w:hAnsi="Garamond" w:cs="Times New Roman"/>
          <w:sz w:val="24"/>
          <w:szCs w:val="24"/>
          <w:lang w:val="id-ID"/>
        </w:rPr>
        <w:instrText>ADDIN CSL_CITATION {"citationItems":[{"id":"ITEM-1","itemData":{"URL":"https://sensus.bps.go.id/topik/tabular/sp2022/187/1/1200","author":[{"dropping-particle":"","family":"Statistik","given":"Badan Pusat","non-dropping-particle":"","parse-names":false,"suffix":""}],"id":"ITEM-1","issued":{"date-parts":[["2022"]]},"title":"Jumlah Penduduk Menurut Wilayah, Daerah Perkotaan/Perdesaan Indonesia Tahun 2022","type":"webpage"},"uris":["http://www.mendeley.com/documents/?uuid=3d03a046-3afe-40fc-a6bc-e51b51199bfd"]}],"mendeley":{"formattedCitation":"(Statistik, 2022)","plainTextFormattedCitation":"(Statistik, 2022)","previouslyFormattedCitation":"(Statistik, 2022)"},"properties":{"noteIndex":0},"schema":"https://github.com/citation-style-language/schema/raw/master/csl-citation.json"}</w:instrText>
      </w:r>
      <w:r w:rsidR="00113B06" w:rsidRPr="004C3A9F">
        <w:rPr>
          <w:rFonts w:ascii="Garamond" w:eastAsia="Times New Roman" w:hAnsi="Garamond" w:cs="Times New Roman"/>
          <w:sz w:val="24"/>
          <w:szCs w:val="24"/>
          <w:lang w:val="id-ID"/>
        </w:rPr>
        <w:fldChar w:fldCharType="separate"/>
      </w:r>
      <w:r w:rsidR="00113B06" w:rsidRPr="004C3A9F">
        <w:rPr>
          <w:rFonts w:ascii="Garamond" w:eastAsia="Times New Roman" w:hAnsi="Garamond" w:cs="Times New Roman"/>
          <w:noProof/>
          <w:sz w:val="24"/>
          <w:szCs w:val="24"/>
          <w:lang w:val="id-ID"/>
        </w:rPr>
        <w:t>(Statistik, 2022)</w:t>
      </w:r>
      <w:r w:rsidR="00113B06" w:rsidRPr="004C3A9F">
        <w:rPr>
          <w:rFonts w:ascii="Garamond" w:eastAsia="Times New Roman" w:hAnsi="Garamond" w:cs="Times New Roman"/>
          <w:sz w:val="24"/>
          <w:szCs w:val="24"/>
          <w:lang w:val="id-ID"/>
        </w:rPr>
        <w:fldChar w:fldCharType="end"/>
      </w:r>
      <w:r w:rsidR="00113B06" w:rsidRPr="004C3A9F">
        <w:rPr>
          <w:rFonts w:ascii="Garamond" w:eastAsia="Times New Roman" w:hAnsi="Garamond" w:cs="Times New Roman"/>
          <w:sz w:val="24"/>
          <w:szCs w:val="24"/>
          <w:lang w:val="id-ID"/>
        </w:rPr>
        <w:t xml:space="preserve">. </w:t>
      </w:r>
      <w:r w:rsidRPr="009F79D8">
        <w:rPr>
          <w:rFonts w:ascii="Garamond" w:eastAsia="Times New Roman" w:hAnsi="Garamond" w:cs="Times New Roman"/>
          <w:sz w:val="24"/>
          <w:szCs w:val="24"/>
          <w:lang w:val="en-ID"/>
        </w:rPr>
        <w:t>The agricultural industry plays a vital role in fulfilling food and nutrition needs and supporting community welfare</w:t>
      </w:r>
      <w:r w:rsidR="004C1D95" w:rsidRPr="004C3A9F">
        <w:rPr>
          <w:rFonts w:ascii="Garamond" w:eastAsia="Times New Roman" w:hAnsi="Garamond" w:cs="Times New Roman"/>
          <w:sz w:val="24"/>
          <w:szCs w:val="24"/>
          <w:lang w:val="id-ID"/>
        </w:rPr>
        <w:fldChar w:fldCharType="begin" w:fldLock="1"/>
      </w:r>
      <w:r w:rsidR="004C1D95" w:rsidRPr="004C3A9F">
        <w:rPr>
          <w:rFonts w:ascii="Garamond" w:eastAsia="Times New Roman" w:hAnsi="Garamond" w:cs="Times New Roman"/>
          <w:sz w:val="24"/>
          <w:szCs w:val="24"/>
          <w:lang w:val="id-ID"/>
        </w:rPr>
        <w:instrText>ADDIN CSL_CITATION {"citationItems":[{"id":"ITEM-1","itemData":{"URL":"https://www.worldbank.org/en/topic/agriculture/overview","accessed":{"date-parts":[["2025","6","17"]]},"author":[{"dropping-particle":"","family":"Group","given":"World Bank","non-dropping-particle":"","parse-names":false,"suffix":""}],"container-title":"World Bank","id":"ITEM-1","issued":{"date-parts":[["2025"]]},"title":"Agriculture and Food: Overview","type":"webpage"},"uris":["http://www.mendeley.com/documents/?uuid=81dd656d-75f6-4917-9781-116006939411"]},{"id":"ITEM-2","itemData":{"ISBN":"978-92-5-109551-5","author":[{"dropping-particle":"","family":"FAO","given":"","non-dropping-particle":"","parse-names":false,"suffix":""}],"id":"ITEM-2","issued":{"date-parts":[["2017"]]},"number-of-pages":"11","publisher":"Food and Agriculture Organization of The United Nations","publisher-place":"Rome","title":"The Future of Food and Agriculture: Trends and Challenges","type":"book"},"uris":["http://www.mendeley.com/documents/?uuid=77653b89-0a6d-4356-861a-ef2fbbd4948c"]}],"mendeley":{"formattedCitation":"(FAO, 2017; Group, 2025)","plainTextFormattedCitation":"(FAO, 2017; Group, 2025)","previouslyFormattedCitation":"(FAO, 2017; Group, 2025)"},"properties":{"noteIndex":0},"schema":"https://github.com/citation-style-language/schema/raw/master/csl-citation.json"}</w:instrText>
      </w:r>
      <w:r w:rsidR="004C1D95" w:rsidRPr="004C3A9F">
        <w:rPr>
          <w:rFonts w:ascii="Garamond" w:eastAsia="Times New Roman" w:hAnsi="Garamond" w:cs="Times New Roman"/>
          <w:sz w:val="24"/>
          <w:szCs w:val="24"/>
          <w:lang w:val="id-ID"/>
        </w:rPr>
        <w:fldChar w:fldCharType="separate"/>
      </w:r>
      <w:r w:rsidR="004C1D95" w:rsidRPr="004C3A9F">
        <w:rPr>
          <w:rFonts w:ascii="Garamond" w:eastAsia="Times New Roman" w:hAnsi="Garamond" w:cs="Times New Roman"/>
          <w:noProof/>
          <w:sz w:val="24"/>
          <w:szCs w:val="24"/>
          <w:lang w:val="id-ID"/>
        </w:rPr>
        <w:t>(FAO, 2017; Group, 2025)</w:t>
      </w:r>
      <w:r w:rsidR="004C1D95" w:rsidRPr="004C3A9F">
        <w:rPr>
          <w:rFonts w:ascii="Garamond" w:eastAsia="Times New Roman" w:hAnsi="Garamond" w:cs="Times New Roman"/>
          <w:sz w:val="24"/>
          <w:szCs w:val="24"/>
          <w:lang w:val="id-ID"/>
        </w:rPr>
        <w:fldChar w:fldCharType="end"/>
      </w:r>
      <w:r w:rsidRPr="009F79D8">
        <w:rPr>
          <w:rFonts w:ascii="Garamond" w:eastAsia="Times New Roman" w:hAnsi="Garamond" w:cs="Times New Roman"/>
          <w:sz w:val="24"/>
          <w:szCs w:val="24"/>
          <w:lang w:val="en-ID"/>
        </w:rPr>
        <w:t>. This sector encompasses various sub-sectors such as food crops, horticulture, livestock, fisheries, and plantations</w:t>
      </w:r>
      <w:r w:rsidR="004C1D95" w:rsidRPr="004C3A9F">
        <w:rPr>
          <w:rFonts w:ascii="Garamond" w:eastAsia="Times New Roman" w:hAnsi="Garamond" w:cs="Times New Roman"/>
          <w:sz w:val="24"/>
          <w:szCs w:val="24"/>
          <w:lang w:val="id-ID"/>
        </w:rPr>
        <w:fldChar w:fldCharType="begin" w:fldLock="1"/>
      </w:r>
      <w:r w:rsidR="007910BD" w:rsidRPr="004C3A9F">
        <w:rPr>
          <w:rFonts w:ascii="Garamond" w:eastAsia="Times New Roman" w:hAnsi="Garamond" w:cs="Times New Roman"/>
          <w:sz w:val="24"/>
          <w:szCs w:val="24"/>
          <w:lang w:val="id-ID"/>
        </w:rPr>
        <w:instrText>ADDIN CSL_CITATION {"citationItems":[{"id":"ITEM-1","itemData":{"author":[{"dropping-particle":"","family":"Khadarisna","given":"Sofiatul","non-dropping-particle":"","parse-names":false,"suffix":""},{"dropping-particle":"","family":"Agustono","given":"","non-dropping-particle":"","parse-names":false,"suffix":""},{"dropping-particle":"","family":"Qonita","given":"Aulia","non-dropping-particle":"","parse-names":false,"suffix":""}],"container-title":"AGRISTA","id":"ITEM-1","issue":"4","issued":{"date-parts":[["2022"]]},"page":"97-111","title":"Identifikasi Kinerja Subsektor Tanaman Pangan, Hortikultura, Perkebunan, Perternakan dan Jasa Pertanian dalam Pembangunan Perekonomian di Kabupaten Tulungagung","type":"article-journal","volume":"10"},"uris":["http://www.mendeley.com/documents/?uuid=66799a4c-0220-41fe-a46d-c9f73b7d0364"]}],"mendeley":{"formattedCitation":"(Khadarisna et al., 2022)","plainTextFormattedCitation":"(Khadarisna et al., 2022)","previouslyFormattedCitation":"(Khadarisna et al., 2022)"},"properties":{"noteIndex":0},"schema":"https://github.com/citation-style-language/schema/raw/master/csl-citation.json"}</w:instrText>
      </w:r>
      <w:r w:rsidR="004C1D95" w:rsidRPr="004C3A9F">
        <w:rPr>
          <w:rFonts w:ascii="Garamond" w:eastAsia="Times New Roman" w:hAnsi="Garamond" w:cs="Times New Roman"/>
          <w:sz w:val="24"/>
          <w:szCs w:val="24"/>
          <w:lang w:val="id-ID"/>
        </w:rPr>
        <w:fldChar w:fldCharType="separate"/>
      </w:r>
      <w:r w:rsidR="004C1D95" w:rsidRPr="004C3A9F">
        <w:rPr>
          <w:rFonts w:ascii="Garamond" w:eastAsia="Times New Roman" w:hAnsi="Garamond" w:cs="Times New Roman"/>
          <w:noProof/>
          <w:sz w:val="24"/>
          <w:szCs w:val="24"/>
          <w:lang w:val="id-ID"/>
        </w:rPr>
        <w:t>(Khadarisna et al., 2022)</w:t>
      </w:r>
      <w:r w:rsidR="004C1D95" w:rsidRPr="004C3A9F">
        <w:rPr>
          <w:rFonts w:ascii="Garamond" w:eastAsia="Times New Roman" w:hAnsi="Garamond" w:cs="Times New Roman"/>
          <w:sz w:val="24"/>
          <w:szCs w:val="24"/>
          <w:lang w:val="id-ID"/>
        </w:rPr>
        <w:fldChar w:fldCharType="end"/>
      </w:r>
      <w:r w:rsidR="00113B06" w:rsidRPr="004C3A9F">
        <w:rPr>
          <w:rFonts w:ascii="Garamond" w:eastAsia="Times New Roman" w:hAnsi="Garamond" w:cs="Times New Roman"/>
          <w:sz w:val="24"/>
          <w:szCs w:val="24"/>
          <w:lang w:val="id-ID"/>
        </w:rPr>
        <w:t xml:space="preserve">. </w:t>
      </w:r>
    </w:p>
    <w:p w14:paraId="0CCF38B5" w14:textId="7B1C249B" w:rsidR="00113B06" w:rsidRPr="004C3A9F" w:rsidRDefault="007910BD" w:rsidP="009F79D8">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id-ID"/>
        </w:rPr>
      </w:pPr>
      <w:r w:rsidRPr="004C3A9F">
        <w:rPr>
          <w:rFonts w:ascii="Garamond" w:eastAsia="Times New Roman" w:hAnsi="Garamond" w:cs="Times New Roman"/>
          <w:sz w:val="24"/>
          <w:szCs w:val="24"/>
          <w:lang w:val="id-ID"/>
        </w:rPr>
        <w:t>Pemanfaatan sumber daya lokal menjadi kunci bagi industri pertanian untuk mewujudkan keberlanjutan dan ketahanan terhadap krisis</w:t>
      </w:r>
      <w:r w:rsidRPr="004C3A9F">
        <w:rPr>
          <w:rFonts w:ascii="Garamond" w:eastAsia="Times New Roman" w:hAnsi="Garamond" w:cs="Times New Roman"/>
          <w:sz w:val="24"/>
          <w:szCs w:val="24"/>
          <w:lang w:val="id-ID"/>
        </w:rPr>
        <w:fldChar w:fldCharType="begin" w:fldLock="1"/>
      </w:r>
      <w:r w:rsidR="003C7CD5" w:rsidRPr="004C3A9F">
        <w:rPr>
          <w:rFonts w:ascii="Garamond" w:eastAsia="Times New Roman" w:hAnsi="Garamond" w:cs="Times New Roman"/>
          <w:sz w:val="24"/>
          <w:szCs w:val="24"/>
          <w:lang w:val="id-ID"/>
        </w:rPr>
        <w:instrText>ADDIN CSL_CITATION {"citationItems":[{"id":"ITEM-1","itemData":{"DOI":"10.56338/jks.v8i1.6792","author":[{"dropping-particle":"","family":"Sari","given":"Maya","non-dropping-particle":"","parse-names":false,"suffix":""},{"dropping-particle":"","family":"Uwi","given":"M","non-dropping-particle":"","parse-names":false,"suffix":""}],"container-title":"Jurnal Kolaboratif Sains","id":"ITEM-1","issue":"1","issued":{"date-parts":[["2025"]]},"page":"264-270","title":"Optimizing Local Resources in Sustainable Agricultural Systems for Rural Poverty Alleviation","type":"article-journal","volume":"8"},"uris":["http://www.mendeley.com/documents/?uuid=6f715ab3-c063-4c6a-b3d4-72e6835dcf92"]}],"mendeley":{"formattedCitation":"(Sari &amp; Uwi, 2025)","plainTextFormattedCitation":"(Sari &amp; Uwi, 2025)","previouslyFormattedCitation":"(Sari &amp; Uwi, 2025)"},"properties":{"noteIndex":0},"schema":"https://github.com/citation-style-language/schema/raw/master/csl-citation.json"}</w:instrText>
      </w:r>
      <w:r w:rsidRPr="004C3A9F">
        <w:rPr>
          <w:rFonts w:ascii="Garamond" w:eastAsia="Times New Roman" w:hAnsi="Garamond" w:cs="Times New Roman"/>
          <w:sz w:val="24"/>
          <w:szCs w:val="24"/>
          <w:lang w:val="id-ID"/>
        </w:rPr>
        <w:fldChar w:fldCharType="separate"/>
      </w:r>
      <w:r w:rsidRPr="004C3A9F">
        <w:rPr>
          <w:rFonts w:ascii="Garamond" w:eastAsia="Times New Roman" w:hAnsi="Garamond" w:cs="Times New Roman"/>
          <w:noProof/>
          <w:sz w:val="24"/>
          <w:szCs w:val="24"/>
          <w:lang w:val="id-ID"/>
        </w:rPr>
        <w:t>(Sari &amp; Uwi, 2025)</w:t>
      </w:r>
      <w:r w:rsidRPr="004C3A9F">
        <w:rPr>
          <w:rFonts w:ascii="Garamond" w:eastAsia="Times New Roman" w:hAnsi="Garamond" w:cs="Times New Roman"/>
          <w:sz w:val="24"/>
          <w:szCs w:val="24"/>
          <w:lang w:val="id-ID"/>
        </w:rPr>
        <w:fldChar w:fldCharType="end"/>
      </w:r>
      <w:r w:rsidRPr="004C3A9F">
        <w:rPr>
          <w:rFonts w:ascii="Garamond" w:eastAsia="Times New Roman" w:hAnsi="Garamond" w:cs="Times New Roman"/>
          <w:sz w:val="24"/>
          <w:szCs w:val="24"/>
          <w:lang w:val="id-ID"/>
        </w:rPr>
        <w:t>.</w:t>
      </w:r>
      <w:r w:rsidR="00113B06" w:rsidRPr="004C3A9F">
        <w:rPr>
          <w:rFonts w:ascii="Garamond" w:eastAsia="Times New Roman" w:hAnsi="Garamond" w:cs="Times New Roman"/>
          <w:sz w:val="24"/>
          <w:szCs w:val="24"/>
          <w:lang w:val="id-ID"/>
        </w:rPr>
        <w:t xml:space="preserve"> </w:t>
      </w:r>
      <w:r w:rsidR="005B5A1D" w:rsidRPr="005B5A1D">
        <w:rPr>
          <w:rFonts w:ascii="Garamond" w:eastAsia="Times New Roman" w:hAnsi="Garamond" w:cs="Times New Roman"/>
          <w:sz w:val="24"/>
          <w:szCs w:val="24"/>
          <w:lang w:val="en-ID"/>
        </w:rPr>
        <w:t>For instance, the study by</w:t>
      </w:r>
      <w:r w:rsidR="00B9143B" w:rsidRPr="004C3A9F">
        <w:rPr>
          <w:rFonts w:ascii="Garamond" w:eastAsia="Times New Roman" w:hAnsi="Garamond" w:cs="Times New Roman"/>
          <w:sz w:val="24"/>
          <w:szCs w:val="24"/>
          <w:lang w:val="id-ID"/>
        </w:rPr>
        <w:t xml:space="preserve"> </w:t>
      </w:r>
      <w:r w:rsidR="009F79D8">
        <w:rPr>
          <w:rFonts w:ascii="Garamond" w:eastAsia="Times New Roman" w:hAnsi="Garamond" w:cs="Times New Roman"/>
          <w:sz w:val="24"/>
          <w:szCs w:val="24"/>
          <w:lang w:val="id-ID"/>
        </w:rPr>
        <w:fldChar w:fldCharType="begin" w:fldLock="1"/>
      </w:r>
      <w:r w:rsidR="009F79D8">
        <w:rPr>
          <w:rFonts w:ascii="Garamond" w:eastAsia="Times New Roman" w:hAnsi="Garamond" w:cs="Times New Roman"/>
          <w:sz w:val="24"/>
          <w:szCs w:val="24"/>
          <w:lang w:val="id-ID"/>
        </w:rPr>
        <w:instrText>ADDIN CSL_CITATION {"citationItems":[{"id":"ITEM-1","itemData":{"author":[{"dropping-particle":"","family":"Simatupang","given":"D.S","non-dropping-particle":"","parse-names":false,"suffix":""}],"id":"ITEM-1","issued":{"date-parts":[["2008"]]},"title":"Berbagai Mikroorganisme Rizosfer pada Tanaman Pepaya (Carica papaya L.) di Pusat Kajian Buah-buahan Tropika (PKBT) IPB Desa Ciomas, Kecamatan Pasirkuda, Kabupaten Bogor, Jawa Barat","type":"article-journal"},"uris":["http://www.mendeley.com/documents/?uuid=ee566e8c-3b55-41e3-a0f7-4e951591cba9"]}],"mendeley":{"formattedCitation":"(Simatupang, 2008)","manualFormatting":"Simatupang (2008)","plainTextFormattedCitation":"(Simatupang, 2008)"},"properties":{"noteIndex":0},"schema":"https://github.com/citation-style-language/schema/raw/master/csl-citation.json"}</w:instrText>
      </w:r>
      <w:r w:rsidR="009F79D8">
        <w:rPr>
          <w:rFonts w:ascii="Garamond" w:eastAsia="Times New Roman" w:hAnsi="Garamond" w:cs="Times New Roman"/>
          <w:sz w:val="24"/>
          <w:szCs w:val="24"/>
          <w:lang w:val="id-ID"/>
        </w:rPr>
        <w:fldChar w:fldCharType="separate"/>
      </w:r>
      <w:r w:rsidR="009F79D8" w:rsidRPr="009F79D8">
        <w:rPr>
          <w:rFonts w:ascii="Garamond" w:eastAsia="Times New Roman" w:hAnsi="Garamond" w:cs="Times New Roman"/>
          <w:noProof/>
          <w:sz w:val="24"/>
          <w:szCs w:val="24"/>
          <w:lang w:val="id-ID"/>
        </w:rPr>
        <w:t xml:space="preserve">Simatupang </w:t>
      </w:r>
      <w:r w:rsidR="009F79D8">
        <w:rPr>
          <w:rFonts w:ascii="Garamond" w:eastAsia="Times New Roman" w:hAnsi="Garamond" w:cs="Times New Roman"/>
          <w:noProof/>
          <w:sz w:val="24"/>
          <w:szCs w:val="24"/>
          <w:lang w:val="id-ID"/>
        </w:rPr>
        <w:t>(</w:t>
      </w:r>
      <w:r w:rsidR="009F79D8" w:rsidRPr="009F79D8">
        <w:rPr>
          <w:rFonts w:ascii="Garamond" w:eastAsia="Times New Roman" w:hAnsi="Garamond" w:cs="Times New Roman"/>
          <w:noProof/>
          <w:sz w:val="24"/>
          <w:szCs w:val="24"/>
          <w:lang w:val="id-ID"/>
        </w:rPr>
        <w:t>2008)</w:t>
      </w:r>
      <w:r w:rsidR="009F79D8">
        <w:rPr>
          <w:rFonts w:ascii="Garamond" w:eastAsia="Times New Roman" w:hAnsi="Garamond" w:cs="Times New Roman"/>
          <w:sz w:val="24"/>
          <w:szCs w:val="24"/>
          <w:lang w:val="id-ID"/>
        </w:rPr>
        <w:fldChar w:fldCharType="end"/>
      </w:r>
      <w:r w:rsidR="009F79D8">
        <w:rPr>
          <w:rFonts w:ascii="Garamond" w:eastAsia="Times New Roman" w:hAnsi="Garamond" w:cs="Times New Roman"/>
          <w:sz w:val="24"/>
          <w:szCs w:val="24"/>
          <w:lang w:val="id-ID"/>
        </w:rPr>
        <w:t xml:space="preserve"> </w:t>
      </w:r>
      <w:r w:rsidR="005B5A1D" w:rsidRPr="005B5A1D">
        <w:rPr>
          <w:rFonts w:ascii="Garamond" w:eastAsia="Times New Roman" w:hAnsi="Garamond" w:cs="Times New Roman"/>
          <w:sz w:val="24"/>
          <w:szCs w:val="24"/>
          <w:lang w:val="en-ID"/>
        </w:rPr>
        <w:t>showed that Indonesia’s rice production resilience during the economic crisis was largely due to the government’s success in strengthening local infrastructure and extension systems. This reinforces the notion that public policy must prioritize the optimization of local potential as a crucial foundation for the sustainable development of the national agricultural sector</w:t>
      </w:r>
      <w:r w:rsidR="00B9143B" w:rsidRPr="004C3A9F">
        <w:rPr>
          <w:rFonts w:ascii="Garamond" w:eastAsia="Times New Roman" w:hAnsi="Garamond" w:cs="Times New Roman"/>
          <w:sz w:val="24"/>
          <w:szCs w:val="24"/>
          <w:lang w:val="id-ID"/>
        </w:rPr>
        <w:t>.</w:t>
      </w:r>
    </w:p>
    <w:p w14:paraId="5FD0D090" w14:textId="1FF7D1BE" w:rsidR="00B77F9B" w:rsidRPr="004C3A9F" w:rsidRDefault="005B5A1D"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rPr>
      </w:pPr>
      <w:r w:rsidRPr="005B5A1D">
        <w:rPr>
          <w:rFonts w:ascii="Garamond" w:eastAsia="Times New Roman" w:hAnsi="Garamond" w:cs="Times New Roman"/>
          <w:sz w:val="24"/>
          <w:szCs w:val="24"/>
          <w:lang w:val="en-ID"/>
        </w:rPr>
        <w:t>In Bengkulu Province, 67% of the population lives in rural areas and depends on agriculture</w:t>
      </w:r>
      <w:r w:rsidRPr="005B5A1D">
        <w:rPr>
          <w:rFonts w:ascii="Garamond" w:eastAsia="Times New Roman" w:hAnsi="Garamond" w:cs="Times New Roman"/>
          <w:sz w:val="24"/>
          <w:szCs w:val="24"/>
          <w:lang w:val="id-ID"/>
        </w:rPr>
        <w:t xml:space="preserve"> </w:t>
      </w:r>
      <w:r w:rsidR="003C7CD5" w:rsidRPr="004C3A9F">
        <w:rPr>
          <w:rFonts w:ascii="Garamond" w:eastAsia="Times New Roman" w:hAnsi="Garamond" w:cs="Times New Roman"/>
          <w:sz w:val="24"/>
          <w:szCs w:val="24"/>
          <w:lang w:val="id-ID"/>
        </w:rPr>
        <w:fldChar w:fldCharType="begin" w:fldLock="1"/>
      </w:r>
      <w:r w:rsidR="00207DB9" w:rsidRPr="004C3A9F">
        <w:rPr>
          <w:rFonts w:ascii="Garamond" w:eastAsia="Times New Roman" w:hAnsi="Garamond" w:cs="Times New Roman"/>
          <w:sz w:val="24"/>
          <w:szCs w:val="24"/>
          <w:lang w:val="id-ID"/>
        </w:rPr>
        <w:instrText>ADDIN CSL_CITATION {"citationItems":[{"id":"ITEM-1","itemData":{"URL":"https://sensus.bps.go.id/topik/tabular/sp2022/187/1/1200","author":[{"dropping-particle":"","family":"Statistik","given":"Badan Pusat","non-dropping-particle":"","parse-names":false,"suffix":""}],"id":"ITEM-1","issued":{"date-parts":[["2022"]]},"title":"Jumlah Penduduk Menurut Wilayah, Daerah Perkotaan/Perdesaan Indonesia Tahun 2022","type":"webpage"},"uris":["http://www.mendeley.com/documents/?uuid=3d03a046-3afe-40fc-a6bc-e51b51199bfd"]}],"mendeley":{"formattedCitation":"(Statistik, 2022)","manualFormatting":"(BPS, 2022)","plainTextFormattedCitation":"(Statistik, 2022)","previouslyFormattedCitation":"(Statistik, 2022)"},"properties":{"noteIndex":0},"schema":"https://github.com/citation-style-language/schema/raw/master/csl-citation.json"}</w:instrText>
      </w:r>
      <w:r w:rsidR="003C7CD5" w:rsidRPr="004C3A9F">
        <w:rPr>
          <w:rFonts w:ascii="Garamond" w:eastAsia="Times New Roman" w:hAnsi="Garamond" w:cs="Times New Roman"/>
          <w:sz w:val="24"/>
          <w:szCs w:val="24"/>
          <w:lang w:val="id-ID"/>
        </w:rPr>
        <w:fldChar w:fldCharType="separate"/>
      </w:r>
      <w:r w:rsidR="003C7CD5" w:rsidRPr="004C3A9F">
        <w:rPr>
          <w:rFonts w:ascii="Garamond" w:eastAsia="Times New Roman" w:hAnsi="Garamond" w:cs="Times New Roman"/>
          <w:noProof/>
          <w:sz w:val="24"/>
          <w:szCs w:val="24"/>
          <w:lang w:val="id-ID"/>
        </w:rPr>
        <w:t>(BPS, 2022)</w:t>
      </w:r>
      <w:r w:rsidR="003C7CD5" w:rsidRPr="004C3A9F">
        <w:rPr>
          <w:rFonts w:ascii="Garamond" w:eastAsia="Times New Roman" w:hAnsi="Garamond" w:cs="Times New Roman"/>
          <w:sz w:val="24"/>
          <w:szCs w:val="24"/>
          <w:lang w:val="id-ID"/>
        </w:rPr>
        <w:fldChar w:fldCharType="end"/>
      </w:r>
      <w:r w:rsidR="003C7CD5" w:rsidRPr="004C3A9F">
        <w:rPr>
          <w:rFonts w:ascii="Garamond" w:eastAsia="Times New Roman" w:hAnsi="Garamond" w:cs="Times New Roman"/>
          <w:sz w:val="24"/>
          <w:szCs w:val="24"/>
          <w:lang w:val="id-ID"/>
        </w:rPr>
        <w:t xml:space="preserve">. </w:t>
      </w:r>
      <w:r w:rsidR="001F362F" w:rsidRPr="001F362F">
        <w:rPr>
          <w:rFonts w:ascii="Garamond" w:eastAsia="Times New Roman" w:hAnsi="Garamond" w:cs="Times New Roman"/>
          <w:sz w:val="24"/>
          <w:szCs w:val="24"/>
          <w:lang w:val="en-ID"/>
        </w:rPr>
        <w:t>According to the 2022 Gross Regional Domestic Product (GRDP) data, the regional economy of Bengkulu grew by 6.58%, with the agricultural sector contributing 20% to this growth</w:t>
      </w:r>
      <w:r w:rsidR="00207DB9" w:rsidRPr="004C3A9F">
        <w:rPr>
          <w:rFonts w:ascii="Garamond" w:eastAsia="Times New Roman" w:hAnsi="Garamond" w:cs="Times New Roman"/>
          <w:sz w:val="24"/>
          <w:szCs w:val="24"/>
        </w:rPr>
        <w:fldChar w:fldCharType="begin" w:fldLock="1"/>
      </w:r>
      <w:r w:rsidR="005A1B37" w:rsidRPr="004C3A9F">
        <w:rPr>
          <w:rFonts w:ascii="Garamond" w:eastAsia="Times New Roman" w:hAnsi="Garamond" w:cs="Times New Roman"/>
          <w:sz w:val="24"/>
          <w:szCs w:val="24"/>
        </w:rPr>
        <w:instrText>ADDIN CSL_CITATION {"citationItems":[{"id":"ITEM-1","itemData":{"author":[{"dropping-particle":"","family":"BPS","given":"","non-dropping-particle":"","parse-names":false,"suffix":""}],"id":"ITEM-1","issued":{"date-parts":[["2024"]]},"number-of-pages":"29","title":"Produk Domestik Regional Bruto Provinsi-Provinsi di Indonesia Menurut Pengeluaran Tahun 2019-2023","type":"report"},"uris":["http://www.mendeley.com/documents/?uuid=d9097725-3a90-4aef-ad86-e4c8152ced3c"]}],"mendeley":{"formattedCitation":"(BPS, 2024)","plainTextFormattedCitation":"(BPS, 2024)","previouslyFormattedCitation":"(BPS, 2024)"},"properties":{"noteIndex":0},"schema":"https://github.com/citation-style-language/schema/raw/master/csl-citation.json"}</w:instrText>
      </w:r>
      <w:r w:rsidR="00207DB9" w:rsidRPr="004C3A9F">
        <w:rPr>
          <w:rFonts w:ascii="Garamond" w:eastAsia="Times New Roman" w:hAnsi="Garamond" w:cs="Times New Roman"/>
          <w:sz w:val="24"/>
          <w:szCs w:val="24"/>
        </w:rPr>
        <w:fldChar w:fldCharType="separate"/>
      </w:r>
      <w:r w:rsidR="00207DB9" w:rsidRPr="004C3A9F">
        <w:rPr>
          <w:rFonts w:ascii="Garamond" w:eastAsia="Times New Roman" w:hAnsi="Garamond" w:cs="Times New Roman"/>
          <w:noProof/>
          <w:sz w:val="24"/>
          <w:szCs w:val="24"/>
        </w:rPr>
        <w:t>(BPS, 2024)</w:t>
      </w:r>
      <w:r w:rsidR="00207DB9" w:rsidRPr="004C3A9F">
        <w:rPr>
          <w:rFonts w:ascii="Garamond" w:eastAsia="Times New Roman" w:hAnsi="Garamond" w:cs="Times New Roman"/>
          <w:sz w:val="24"/>
          <w:szCs w:val="24"/>
        </w:rPr>
        <w:fldChar w:fldCharType="end"/>
      </w:r>
      <w:r w:rsidR="00B77F9B" w:rsidRPr="004C3A9F">
        <w:rPr>
          <w:rFonts w:ascii="Garamond" w:eastAsia="Times New Roman" w:hAnsi="Garamond" w:cs="Times New Roman"/>
          <w:sz w:val="24"/>
          <w:szCs w:val="24"/>
          <w:lang w:val="id-ID"/>
        </w:rPr>
        <w:t xml:space="preserve">. </w:t>
      </w:r>
      <w:r w:rsidR="006D0849" w:rsidRPr="006D0849">
        <w:rPr>
          <w:rFonts w:ascii="Garamond" w:eastAsia="Times New Roman" w:hAnsi="Garamond" w:cs="Times New Roman"/>
          <w:sz w:val="24"/>
          <w:szCs w:val="24"/>
          <w:lang w:val="en-ID"/>
        </w:rPr>
        <w:t xml:space="preserve">These data suggest that the majority of Bengkulu’s population </w:t>
      </w:r>
      <w:r w:rsidR="006D0849" w:rsidRPr="006D0849">
        <w:rPr>
          <w:rFonts w:ascii="Garamond" w:eastAsia="Times New Roman" w:hAnsi="Garamond" w:cs="Times New Roman"/>
          <w:sz w:val="24"/>
          <w:szCs w:val="24"/>
          <w:lang w:val="en-ID"/>
        </w:rPr>
        <w:lastRenderedPageBreak/>
        <w:t>remains dependent on agriculture. Enhancing the added value of agriculture requires industrial transformation through infrastructure provision, price stabilization, and farmer protection policies</w:t>
      </w:r>
      <w:r w:rsidR="00FB053D" w:rsidRPr="004C3A9F">
        <w:rPr>
          <w:rFonts w:ascii="Garamond" w:eastAsia="Times New Roman" w:hAnsi="Garamond" w:cs="Times New Roman"/>
          <w:sz w:val="24"/>
          <w:szCs w:val="24"/>
        </w:rPr>
        <w:t xml:space="preserve">. </w:t>
      </w:r>
    </w:p>
    <w:p w14:paraId="2FD75E5C" w14:textId="1E523BA2" w:rsidR="00954727" w:rsidRPr="004C3A9F" w:rsidRDefault="006D0849"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en-ID"/>
        </w:rPr>
      </w:pPr>
      <w:r w:rsidRPr="006D0849">
        <w:rPr>
          <w:rFonts w:ascii="Garamond" w:eastAsia="Times New Roman" w:hAnsi="Garamond" w:cs="Times New Roman"/>
          <w:sz w:val="24"/>
          <w:szCs w:val="24"/>
          <w:lang w:val="en-ID"/>
        </w:rPr>
        <w:t xml:space="preserve">The impact of agricultural sector transformation on farmers' livelihoods can be assessed through measurements that represent their welfare in a real, objective, and measurable manner. In Indonesia, farmer welfare is commonly measured using the </w:t>
      </w:r>
      <w:r w:rsidRPr="006D0849">
        <w:rPr>
          <w:rFonts w:ascii="Garamond" w:eastAsia="Times New Roman" w:hAnsi="Garamond" w:cs="Times New Roman"/>
          <w:b/>
          <w:bCs/>
          <w:sz w:val="24"/>
          <w:szCs w:val="24"/>
          <w:lang w:val="en-ID"/>
        </w:rPr>
        <w:t>Farmer's Terms of Trade</w:t>
      </w:r>
      <w:r w:rsidRPr="006D0849">
        <w:rPr>
          <w:rFonts w:ascii="Garamond" w:eastAsia="Times New Roman" w:hAnsi="Garamond" w:cs="Times New Roman"/>
          <w:sz w:val="24"/>
          <w:szCs w:val="24"/>
          <w:lang w:val="en-ID"/>
        </w:rPr>
        <w:t xml:space="preserve"> </w:t>
      </w:r>
      <w:r w:rsidR="005A1B37" w:rsidRPr="004C3A9F">
        <w:rPr>
          <w:rFonts w:ascii="Garamond" w:eastAsia="Times New Roman" w:hAnsi="Garamond" w:cs="Times New Roman"/>
          <w:sz w:val="24"/>
          <w:szCs w:val="24"/>
          <w:lang w:val="en-ID"/>
        </w:rPr>
        <w:t>(NTP)</w:t>
      </w:r>
      <w:r w:rsidRPr="006D0849">
        <w:rPr>
          <w:rFonts w:asciiTheme="minorHAnsi" w:eastAsiaTheme="minorHAnsi" w:hAnsiTheme="minorHAnsi" w:cstheme="minorBidi"/>
          <w:kern w:val="2"/>
          <w:sz w:val="24"/>
          <w:szCs w:val="24"/>
          <w:lang w:val="en-ID"/>
          <w14:ligatures w14:val="standardContextual"/>
        </w:rPr>
        <w:t xml:space="preserve"> </w:t>
      </w:r>
      <w:r w:rsidRPr="006D0849">
        <w:rPr>
          <w:rFonts w:ascii="Garamond" w:eastAsia="Times New Roman" w:hAnsi="Garamond" w:cs="Times New Roman"/>
          <w:sz w:val="24"/>
          <w:szCs w:val="24"/>
          <w:lang w:val="en-ID"/>
        </w:rPr>
        <w:t>approach</w:t>
      </w:r>
      <w:r w:rsidRPr="006D0849">
        <w:rPr>
          <w:rFonts w:ascii="Garamond" w:eastAsia="Times New Roman" w:hAnsi="Garamond" w:cs="Times New Roman"/>
          <w:sz w:val="24"/>
          <w:szCs w:val="24"/>
          <w:lang w:val="en-ID"/>
        </w:rPr>
        <w:t xml:space="preserve"> </w:t>
      </w:r>
      <w:r w:rsidR="005A1B37" w:rsidRPr="004C3A9F">
        <w:rPr>
          <w:rFonts w:ascii="Garamond" w:eastAsia="Times New Roman" w:hAnsi="Garamond" w:cs="Times New Roman"/>
          <w:sz w:val="24"/>
          <w:szCs w:val="24"/>
          <w:lang w:val="en-ID"/>
        </w:rPr>
        <w:fldChar w:fldCharType="begin" w:fldLock="1"/>
      </w:r>
      <w:r w:rsidR="00F63226" w:rsidRPr="004C3A9F">
        <w:rPr>
          <w:rFonts w:ascii="Garamond" w:eastAsia="Times New Roman" w:hAnsi="Garamond" w:cs="Times New Roman"/>
          <w:sz w:val="24"/>
          <w:szCs w:val="24"/>
          <w:lang w:val="en-ID"/>
        </w:rPr>
        <w:instrText>ADDIN CSL_CITATION {"citationItems":[{"id":"ITEM-1","itemData":{"DOI":"DOI: https://doi.org/10.20961/agritexts.v45i2.57364","author":[{"dropping-particle":"","family":"Tenriawaru","given":"Andi Nixia","non-dropping-particle":"","parse-names":false,"suffix":""},{"dropping-particle":"","family":"Arsyad","given":"Muhammad","non-dropping-particle":"","parse-names":false,"suffix":""},{"dropping-particle":"","family":"Amuriddin","given":"Achmad","non-dropping-particle":"","parse-names":false,"suffix":""},{"dropping-particle":"","family":"Viantika","given":"Ni Made","non-dropping-particle":"","parse-names":false,"suffix":""},{"dropping-particle":"","family":"Meilani","given":"Nurul Hikmah","non-dropping-particle":"","parse-names":false,"suffix":""}],"container-title":"Agritexts: Journal of Agricultural Extension","id":"ITEM-1","issue":"2","issued":{"date-parts":[["2021"]]},"page":"146-151","title":"Analisis dan Deteminan Nilai Tukar Petani Tanaman Pangan (NTPP) di Provinsi Sulawesi Selatan","type":"article-journal","volume":"45"},"uris":["http://www.mendeley.com/documents/?uuid=1301fdd8-80dc-4f72-ad02-fc17081c6a57"]}],"mendeley":{"formattedCitation":"(Tenriawaru et al., 2021)","plainTextFormattedCitation":"(Tenriawaru et al., 2021)","previouslyFormattedCitation":"(Tenriawaru et al., 2021)"},"properties":{"noteIndex":0},"schema":"https://github.com/citation-style-language/schema/raw/master/csl-citation.json"}</w:instrText>
      </w:r>
      <w:r w:rsidR="005A1B37" w:rsidRPr="004C3A9F">
        <w:rPr>
          <w:rFonts w:ascii="Garamond" w:eastAsia="Times New Roman" w:hAnsi="Garamond" w:cs="Times New Roman"/>
          <w:sz w:val="24"/>
          <w:szCs w:val="24"/>
          <w:lang w:val="en-ID"/>
        </w:rPr>
        <w:fldChar w:fldCharType="separate"/>
      </w:r>
      <w:r w:rsidR="005A1B37" w:rsidRPr="004C3A9F">
        <w:rPr>
          <w:rFonts w:ascii="Garamond" w:eastAsia="Times New Roman" w:hAnsi="Garamond" w:cs="Times New Roman"/>
          <w:noProof/>
          <w:sz w:val="24"/>
          <w:szCs w:val="24"/>
          <w:lang w:val="en-ID"/>
        </w:rPr>
        <w:t>(Tenriawaru et al., 2021)</w:t>
      </w:r>
      <w:r w:rsidR="005A1B37" w:rsidRPr="004C3A9F">
        <w:rPr>
          <w:rFonts w:ascii="Garamond" w:eastAsia="Times New Roman" w:hAnsi="Garamond" w:cs="Times New Roman"/>
          <w:sz w:val="24"/>
          <w:szCs w:val="24"/>
          <w:lang w:val="en-ID"/>
        </w:rPr>
        <w:fldChar w:fldCharType="end"/>
      </w:r>
      <w:r w:rsidR="005A1B37" w:rsidRPr="004C3A9F">
        <w:rPr>
          <w:rFonts w:ascii="Garamond" w:eastAsia="Times New Roman" w:hAnsi="Garamond" w:cs="Times New Roman"/>
          <w:sz w:val="24"/>
          <w:szCs w:val="24"/>
          <w:lang w:val="en-ID"/>
        </w:rPr>
        <w:t xml:space="preserve">. </w:t>
      </w:r>
      <w:r w:rsidRPr="006D0849">
        <w:rPr>
          <w:rFonts w:ascii="Garamond" w:eastAsia="Times New Roman" w:hAnsi="Garamond" w:cs="Times New Roman"/>
          <w:sz w:val="24"/>
          <w:szCs w:val="24"/>
          <w:lang w:val="en-ID"/>
        </w:rPr>
        <w:t>NTP is calculated as the ratio between the Price Index Received by Farmers (It) and the Price Index Paid by Farmers (</w:t>
      </w:r>
      <w:proofErr w:type="spellStart"/>
      <w:r w:rsidRPr="006D0849">
        <w:rPr>
          <w:rFonts w:ascii="Garamond" w:eastAsia="Times New Roman" w:hAnsi="Garamond" w:cs="Times New Roman"/>
          <w:sz w:val="24"/>
          <w:szCs w:val="24"/>
          <w:lang w:val="en-ID"/>
        </w:rPr>
        <w:t>Ib</w:t>
      </w:r>
      <w:proofErr w:type="spellEnd"/>
      <w:r w:rsidRPr="006D0849">
        <w:rPr>
          <w:rFonts w:ascii="Garamond" w:eastAsia="Times New Roman" w:hAnsi="Garamond" w:cs="Times New Roman"/>
          <w:sz w:val="24"/>
          <w:szCs w:val="24"/>
          <w:lang w:val="en-ID"/>
        </w:rPr>
        <w:t>). When NTP &gt; 100, it indicates a surplus where farmers' income exceeds their expenditures. Conversely, NTP &lt; 100 signals a deficit</w:t>
      </w:r>
      <w:r w:rsidRPr="006D0849">
        <w:rPr>
          <w:rFonts w:ascii="Garamond" w:eastAsia="Times New Roman" w:hAnsi="Garamond" w:cs="Times New Roman"/>
          <w:sz w:val="24"/>
          <w:szCs w:val="24"/>
          <w:lang w:val="en-ID"/>
        </w:rPr>
        <w:t xml:space="preserve"> </w:t>
      </w:r>
      <w:r w:rsidR="00F63226" w:rsidRPr="004C3A9F">
        <w:rPr>
          <w:rFonts w:ascii="Garamond" w:eastAsia="Times New Roman" w:hAnsi="Garamond" w:cs="Times New Roman"/>
          <w:sz w:val="24"/>
          <w:szCs w:val="24"/>
          <w:lang w:val="en-ID"/>
        </w:rPr>
        <w:fldChar w:fldCharType="begin" w:fldLock="1"/>
      </w:r>
      <w:r w:rsidR="00F63226" w:rsidRPr="004C3A9F">
        <w:rPr>
          <w:rFonts w:ascii="Garamond" w:eastAsia="Times New Roman" w:hAnsi="Garamond" w:cs="Times New Roman"/>
          <w:sz w:val="24"/>
          <w:szCs w:val="24"/>
          <w:lang w:val="en-ID"/>
        </w:rPr>
        <w:instrText>ADDIN CSL_CITATION {"citationItems":[{"id":"ITEM-1","itemData":{"DOI":"10.32639/jasrd.v2i2.363","author":[{"dropping-particle":"","family":"Saridewi","given":"Larasati Puspita","non-dropping-particle":"","parse-names":false,"suffix":""},{"dropping-particle":"","family":"Hidayati","given":"Ade Khusnul","non-dropping-particle":"","parse-names":false,"suffix":""}],"container-title":"Journal of Agribusiness Science and Rural Development","id":"ITEM-1","issue":"2","issued":{"date-parts":[["2023"]]},"page":"15-24","title":"Analisis Nilai Tukar Petani Komoditas Kedelai di Yogyakarta","type":"article-journal","volume":"2"},"uris":["http://www.mendeley.com/documents/?uuid=99cc9e1b-fc4f-4f56-afcf-6b58ccc346b5"]}],"mendeley":{"formattedCitation":"(Saridewi &amp; Hidayati, 2023)","plainTextFormattedCitation":"(Saridewi &amp; Hidayati, 2023)","previouslyFormattedCitation":"(Saridewi &amp; Hidayati, 2023)"},"properties":{"noteIndex":0},"schema":"https://github.com/citation-style-language/schema/raw/master/csl-citation.json"}</w:instrText>
      </w:r>
      <w:r w:rsidR="00F63226" w:rsidRPr="004C3A9F">
        <w:rPr>
          <w:rFonts w:ascii="Garamond" w:eastAsia="Times New Roman" w:hAnsi="Garamond" w:cs="Times New Roman"/>
          <w:sz w:val="24"/>
          <w:szCs w:val="24"/>
          <w:lang w:val="en-ID"/>
        </w:rPr>
        <w:fldChar w:fldCharType="separate"/>
      </w:r>
      <w:r w:rsidR="00F63226" w:rsidRPr="004C3A9F">
        <w:rPr>
          <w:rFonts w:ascii="Garamond" w:eastAsia="Times New Roman" w:hAnsi="Garamond" w:cs="Times New Roman"/>
          <w:noProof/>
          <w:sz w:val="24"/>
          <w:szCs w:val="24"/>
          <w:lang w:val="en-ID"/>
        </w:rPr>
        <w:t>(Saridewi &amp; Hidayati, 2023)</w:t>
      </w:r>
      <w:r w:rsidR="00F63226" w:rsidRPr="004C3A9F">
        <w:rPr>
          <w:rFonts w:ascii="Garamond" w:eastAsia="Times New Roman" w:hAnsi="Garamond" w:cs="Times New Roman"/>
          <w:sz w:val="24"/>
          <w:szCs w:val="24"/>
          <w:lang w:val="en-ID"/>
        </w:rPr>
        <w:fldChar w:fldCharType="end"/>
      </w:r>
      <w:r w:rsidR="005A1B37" w:rsidRPr="004C3A9F">
        <w:rPr>
          <w:rFonts w:ascii="Garamond" w:eastAsia="Times New Roman" w:hAnsi="Garamond" w:cs="Times New Roman"/>
          <w:sz w:val="24"/>
          <w:szCs w:val="24"/>
          <w:lang w:val="en-ID"/>
        </w:rPr>
        <w:t xml:space="preserve">. </w:t>
      </w:r>
      <w:r w:rsidRPr="006D0849">
        <w:rPr>
          <w:rFonts w:ascii="Garamond" w:eastAsia="Times New Roman" w:hAnsi="Garamond" w:cs="Times New Roman"/>
          <w:sz w:val="24"/>
          <w:szCs w:val="24"/>
          <w:lang w:val="en-ID"/>
        </w:rPr>
        <w:t>NTP also reflects the exchange capacity of farmers and the balance between income from agricultural production and household consumption and production costs</w:t>
      </w:r>
      <w:r w:rsidRPr="006D0849">
        <w:rPr>
          <w:rFonts w:ascii="Garamond" w:eastAsia="Times New Roman" w:hAnsi="Garamond" w:cs="Times New Roman"/>
          <w:sz w:val="24"/>
          <w:szCs w:val="24"/>
          <w:lang w:val="en-ID"/>
        </w:rPr>
        <w:t xml:space="preserve"> </w:t>
      </w:r>
      <w:r w:rsidR="00F63226" w:rsidRPr="004C3A9F">
        <w:rPr>
          <w:rFonts w:ascii="Garamond" w:eastAsia="Times New Roman" w:hAnsi="Garamond" w:cs="Times New Roman"/>
          <w:sz w:val="24"/>
          <w:szCs w:val="24"/>
          <w:lang w:val="en-ID"/>
        </w:rPr>
        <w:fldChar w:fldCharType="begin" w:fldLock="1"/>
      </w:r>
      <w:r w:rsidR="00EB77C4" w:rsidRPr="004C3A9F">
        <w:rPr>
          <w:rFonts w:ascii="Garamond" w:eastAsia="Times New Roman" w:hAnsi="Garamond" w:cs="Times New Roman"/>
          <w:sz w:val="24"/>
          <w:szCs w:val="24"/>
          <w:lang w:val="en-ID"/>
        </w:rPr>
        <w:instrText>ADDIN CSL_CITATION {"citationItems":[{"id":"ITEM-1","itemData":{"DOI":"10.13189/ujar.2024.120220","author":[{"dropping-particle":"","family":"Arhan","given":"Tria Namirah","non-dropping-particle":"","parse-names":false,"suffix":""},{"dropping-particle":"","family":"Darma","given":"Rahim","non-dropping-particle":"","parse-names":false,"suffix":""},{"dropping-particle":"","family":"Munir","given":"Abdul Razak","non-dropping-particle":"","parse-names":false,"suffix":""}],"container-title":"Universal Journal of Agricultural Research","id":"ITEM-1","issue":"2","issued":{"date-parts":[["2024"]]},"page":"422","title":"Analyzing Factors Influencing Farmer Term of Trade for Food Crops: A Case Study of South Sulawesi, Indonesia","type":"article-journal","volume":"12"},"uris":["http://www.mendeley.com/documents/?uuid=b1cda404-b5e2-400f-96c8-3b8b3056abf7"]}],"mendeley":{"formattedCitation":"(Arhan et al., 2024)","plainTextFormattedCitation":"(Arhan et al., 2024)","previouslyFormattedCitation":"(Arhan et al., 2024)"},"properties":{"noteIndex":0},"schema":"https://github.com/citation-style-language/schema/raw/master/csl-citation.json"}</w:instrText>
      </w:r>
      <w:r w:rsidR="00F63226" w:rsidRPr="004C3A9F">
        <w:rPr>
          <w:rFonts w:ascii="Garamond" w:eastAsia="Times New Roman" w:hAnsi="Garamond" w:cs="Times New Roman"/>
          <w:sz w:val="24"/>
          <w:szCs w:val="24"/>
          <w:lang w:val="en-ID"/>
        </w:rPr>
        <w:fldChar w:fldCharType="separate"/>
      </w:r>
      <w:r w:rsidR="00F63226" w:rsidRPr="004C3A9F">
        <w:rPr>
          <w:rFonts w:ascii="Garamond" w:eastAsia="Times New Roman" w:hAnsi="Garamond" w:cs="Times New Roman"/>
          <w:noProof/>
          <w:sz w:val="24"/>
          <w:szCs w:val="24"/>
          <w:lang w:val="en-ID"/>
        </w:rPr>
        <w:t>(Arhan et al., 2024)</w:t>
      </w:r>
      <w:r w:rsidR="00F63226" w:rsidRPr="004C3A9F">
        <w:rPr>
          <w:rFonts w:ascii="Garamond" w:eastAsia="Times New Roman" w:hAnsi="Garamond" w:cs="Times New Roman"/>
          <w:sz w:val="24"/>
          <w:szCs w:val="24"/>
          <w:lang w:val="en-ID"/>
        </w:rPr>
        <w:fldChar w:fldCharType="end"/>
      </w:r>
      <w:r w:rsidR="005A1B37" w:rsidRPr="004C3A9F">
        <w:rPr>
          <w:rFonts w:ascii="Garamond" w:eastAsia="Times New Roman" w:hAnsi="Garamond" w:cs="Times New Roman"/>
          <w:sz w:val="24"/>
          <w:szCs w:val="24"/>
          <w:lang w:val="en-ID"/>
        </w:rPr>
        <w:t>.</w:t>
      </w:r>
    </w:p>
    <w:p w14:paraId="71BB6680" w14:textId="122B3E0D" w:rsidR="00B339B9" w:rsidRPr="004C3A9F" w:rsidRDefault="006D0849"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en-ID"/>
        </w:rPr>
      </w:pPr>
      <w:r w:rsidRPr="006D0849">
        <w:rPr>
          <w:rFonts w:ascii="Garamond" w:eastAsia="Times New Roman" w:hAnsi="Garamond" w:cs="Times New Roman"/>
          <w:sz w:val="24"/>
          <w:szCs w:val="24"/>
          <w:lang w:val="en-ID"/>
        </w:rPr>
        <w:t>NTP is influenced by several macroeconomic and sectoral policy factors. High inflation rates can reduce farmers' purchasing powe</w:t>
      </w:r>
      <w:r>
        <w:rPr>
          <w:rFonts w:ascii="Garamond" w:eastAsia="Times New Roman" w:hAnsi="Garamond" w:cs="Times New Roman"/>
          <w:sz w:val="24"/>
          <w:szCs w:val="24"/>
          <w:lang w:val="en-ID"/>
        </w:rPr>
        <w:t>r</w:t>
      </w:r>
      <w:r w:rsidRPr="006D0849">
        <w:rPr>
          <w:rFonts w:ascii="Garamond" w:eastAsia="Times New Roman" w:hAnsi="Garamond" w:cs="Times New Roman"/>
          <w:sz w:val="24"/>
          <w:szCs w:val="24"/>
          <w:lang w:val="en-ID"/>
        </w:rPr>
        <w:t xml:space="preserve"> </w:t>
      </w:r>
      <w:r w:rsidR="00EB77C4" w:rsidRPr="004C3A9F">
        <w:rPr>
          <w:rFonts w:ascii="Garamond" w:eastAsia="Times New Roman" w:hAnsi="Garamond" w:cs="Times New Roman"/>
          <w:sz w:val="24"/>
          <w:szCs w:val="24"/>
          <w:lang w:val="en-ID"/>
        </w:rPr>
        <w:fldChar w:fldCharType="begin" w:fldLock="1"/>
      </w:r>
      <w:r w:rsidR="00730862" w:rsidRPr="004C3A9F">
        <w:rPr>
          <w:rFonts w:ascii="Garamond" w:eastAsia="Times New Roman" w:hAnsi="Garamond" w:cs="Times New Roman"/>
          <w:sz w:val="24"/>
          <w:szCs w:val="24"/>
          <w:lang w:val="en-ID"/>
        </w:rPr>
        <w:instrText>ADDIN CSL_CITATION {"citationItems":[{"id":"ITEM-1","itemData":{"DOI":"10.1088/1755-1315/782/2/022050","author":[{"dropping-particle":"","family":"Ramadhani","given":"R","non-dropping-particle":"","parse-names":false,"suffix":""},{"dropping-particle":"","family":"Ginting","given":"R","non-dropping-particle":"","parse-names":false,"suffix":""},{"dropping-particle":"","family":"Ayu","given":"S.F","non-dropping-particle":"","parse-names":false,"suffix":""}],"container-title":"IOP Conference Series: Earth and Environmental Science","id":"ITEM-1","issued":{"date-parts":[["2021"]]},"title":"Analysis of factors affecting farmer exchange rate in North Sumatera Province","type":"article-journal","volume":"782"},"uris":["http://www.mendeley.com/documents/?uuid=c456bbcf-6c5e-44e6-ad29-c049a688df8e"]}],"mendeley":{"formattedCitation":"(Ramadhani et al., 2021)","plainTextFormattedCitation":"(Ramadhani et al., 2021)","previouslyFormattedCitation":"(Ramadhani et al., 2021)"},"properties":{"noteIndex":0},"schema":"https://github.com/citation-style-language/schema/raw/master/csl-citation.json"}</w:instrText>
      </w:r>
      <w:r w:rsidR="00EB77C4" w:rsidRPr="004C3A9F">
        <w:rPr>
          <w:rFonts w:ascii="Garamond" w:eastAsia="Times New Roman" w:hAnsi="Garamond" w:cs="Times New Roman"/>
          <w:sz w:val="24"/>
          <w:szCs w:val="24"/>
          <w:lang w:val="en-ID"/>
        </w:rPr>
        <w:fldChar w:fldCharType="separate"/>
      </w:r>
      <w:r w:rsidR="00EB77C4" w:rsidRPr="004C3A9F">
        <w:rPr>
          <w:rFonts w:ascii="Garamond" w:eastAsia="Times New Roman" w:hAnsi="Garamond" w:cs="Times New Roman"/>
          <w:noProof/>
          <w:sz w:val="24"/>
          <w:szCs w:val="24"/>
          <w:lang w:val="en-ID"/>
        </w:rPr>
        <w:t>(Ramadhani et al., 2021)</w:t>
      </w:r>
      <w:r w:rsidR="00EB77C4" w:rsidRPr="004C3A9F">
        <w:rPr>
          <w:rFonts w:ascii="Garamond" w:eastAsia="Times New Roman" w:hAnsi="Garamond" w:cs="Times New Roman"/>
          <w:sz w:val="24"/>
          <w:szCs w:val="24"/>
          <w:lang w:val="en-ID"/>
        </w:rPr>
        <w:fldChar w:fldCharType="end"/>
      </w:r>
      <w:r w:rsidR="00791525" w:rsidRPr="004C3A9F">
        <w:rPr>
          <w:rFonts w:ascii="Garamond" w:eastAsia="Times New Roman" w:hAnsi="Garamond" w:cs="Times New Roman"/>
          <w:sz w:val="24"/>
          <w:szCs w:val="24"/>
          <w:lang w:val="en-ID"/>
        </w:rPr>
        <w:t xml:space="preserve">. </w:t>
      </w:r>
      <w:proofErr w:type="spellStart"/>
      <w:r w:rsidRPr="006D0849">
        <w:rPr>
          <w:rFonts w:ascii="Garamond" w:eastAsia="Times New Roman" w:hAnsi="Garamond" w:cs="Times New Roman"/>
          <w:sz w:val="24"/>
          <w:szCs w:val="24"/>
          <w:lang w:val="en-ID"/>
        </w:rPr>
        <w:t>xchange</w:t>
      </w:r>
      <w:proofErr w:type="spellEnd"/>
      <w:r w:rsidRPr="006D0849">
        <w:rPr>
          <w:rFonts w:ascii="Garamond" w:eastAsia="Times New Roman" w:hAnsi="Garamond" w:cs="Times New Roman"/>
          <w:sz w:val="24"/>
          <w:szCs w:val="24"/>
          <w:lang w:val="en-ID"/>
        </w:rPr>
        <w:t xml:space="preserve"> rate fluctuations, such as domestic currency depreciation, may lower NTP due to higher import costs, while currency appreciation can increase NTP by reducing input costs</w:t>
      </w:r>
      <w:r w:rsidR="00730862" w:rsidRPr="004C3A9F">
        <w:rPr>
          <w:rFonts w:ascii="Garamond" w:eastAsia="Times New Roman" w:hAnsi="Garamond" w:cs="Times New Roman"/>
          <w:sz w:val="24"/>
          <w:szCs w:val="24"/>
          <w:lang w:val="en-ID"/>
        </w:rPr>
        <w:t xml:space="preserve"> </w:t>
      </w:r>
      <w:r w:rsidR="00730862" w:rsidRPr="004C3A9F">
        <w:rPr>
          <w:rFonts w:ascii="Garamond" w:eastAsia="Times New Roman" w:hAnsi="Garamond" w:cs="Times New Roman"/>
          <w:sz w:val="24"/>
          <w:szCs w:val="24"/>
          <w:lang w:val="en-ID"/>
        </w:rPr>
        <w:fldChar w:fldCharType="begin" w:fldLock="1"/>
      </w:r>
      <w:r w:rsidR="0010078F" w:rsidRPr="004C3A9F">
        <w:rPr>
          <w:rFonts w:ascii="Garamond" w:eastAsia="Times New Roman" w:hAnsi="Garamond" w:cs="Times New Roman"/>
          <w:sz w:val="24"/>
          <w:szCs w:val="24"/>
          <w:lang w:val="en-ID"/>
        </w:rPr>
        <w:instrText>ADDIN CSL_CITATION {"citationItems":[{"id":"ITEM-1","itemData":{"DOI":"10.1088/1755-1315/782/2/022050","author":[{"dropping-particle":"","family":"Ramadhani","given":"R","non-dropping-particle":"","parse-names":false,"suffix":""},{"dropping-particle":"","family":"Ginting","given":"R","non-dropping-particle":"","parse-names":false,"suffix":""},{"dropping-particle":"","family":"Ayu","given":"S.F","non-dropping-particle":"","parse-names":false,"suffix":""}],"container-title":"IOP Conference Series: Earth and Environmental Science","id":"ITEM-1","issued":{"date-parts":[["2021"]]},"title":"Analysis of factors affecting farmer exchange rate in North Sumatera Province","type":"article-journal","volume":"782"},"uris":["http://www.mendeley.com/documents/?uuid=c456bbcf-6c5e-44e6-ad29-c049a688df8e"]},{"id":"ITEM-2","itemData":{"DOI":"10.1088/1755-1315/466/1/012017","author":[{"dropping-particle":"","family":"Sulaksana","given":"J","non-dropping-particle":"","parse-names":false,"suffix":""}],"container-title":"IOP Conference Series: Earth and Environmental Science","id":"ITEM-2","issued":{"date-parts":[["2019"]]},"title":"Analysis of Factors Affecting The Farmer's Term of Trade of Fruit Farmers","type":"article-journal","volume":"466"},"uris":["http://www.mendeley.com/documents/?uuid=d1ebc54f-6a75-45dc-9214-1f639e6db33f"]},{"id":"ITEM-3","itemData":{"DOI":"10.36956/rwae.v6i1.1305","author":[{"dropping-particle":"","family":"Arintoko","given":"","non-dropping-particle":"","parse-names":false,"suffix":""},{"dropping-particle":"","family":"Sambodo","given":"Herman","non-dropping-particle":"","parse-names":false,"suffix":""},{"dropping-particle":"","family":"Priyono","given":"Rakhmat","non-dropping-particle":"","parse-names":false,"suffix":""}],"container-title":"Research on World Agricultural Economy","id":"ITEM-3","issue":"1","issued":{"date-parts":[["2025"]]},"page":"71-87","title":"Do International Oil Prices, Exchange Rates and Agricultural Credit Matter for Farmers’ Term of Trade in Indonesia? Empirical Evidence of Multiple Thresholds and Asymmetric Effects","type":"article-journal","volume":"6"},"uris":["http://www.mendeley.com/documents/?uuid=b72e57c4-f431-48aa-b79d-2a14c3f77477"]}],"mendeley":{"formattedCitation":"(Arintoko et al., 2025; Ramadhani et al., 2021; Sulaksana, 2019)","plainTextFormattedCitation":"(Arintoko et al., 2025; Ramadhani et al., 2021; Sulaksana, 2019)","previouslyFormattedCitation":"(Arintoko et al., 2025; Ramadhani et al., 2021; Sulaksana, 2019)"},"properties":{"noteIndex":0},"schema":"https://github.com/citation-style-language/schema/raw/master/csl-citation.json"}</w:instrText>
      </w:r>
      <w:r w:rsidR="00730862" w:rsidRPr="004C3A9F">
        <w:rPr>
          <w:rFonts w:ascii="Garamond" w:eastAsia="Times New Roman" w:hAnsi="Garamond" w:cs="Times New Roman"/>
          <w:sz w:val="24"/>
          <w:szCs w:val="24"/>
          <w:lang w:val="en-ID"/>
        </w:rPr>
        <w:fldChar w:fldCharType="separate"/>
      </w:r>
      <w:r w:rsidR="00730862" w:rsidRPr="004C3A9F">
        <w:rPr>
          <w:rFonts w:ascii="Garamond" w:eastAsia="Times New Roman" w:hAnsi="Garamond" w:cs="Times New Roman"/>
          <w:noProof/>
          <w:sz w:val="24"/>
          <w:szCs w:val="24"/>
          <w:lang w:val="en-ID"/>
        </w:rPr>
        <w:t>(Arintoko et al., 2025; Ramadhani et al., 2021; Sulaksana, 2019)</w:t>
      </w:r>
      <w:r w:rsidR="00730862" w:rsidRPr="004C3A9F">
        <w:rPr>
          <w:rFonts w:ascii="Garamond" w:eastAsia="Times New Roman" w:hAnsi="Garamond" w:cs="Times New Roman"/>
          <w:sz w:val="24"/>
          <w:szCs w:val="24"/>
          <w:lang w:val="en-ID"/>
        </w:rPr>
        <w:fldChar w:fldCharType="end"/>
      </w:r>
      <w:r w:rsidR="00791525" w:rsidRPr="004C3A9F">
        <w:rPr>
          <w:rFonts w:ascii="Garamond" w:eastAsia="Times New Roman" w:hAnsi="Garamond" w:cs="Times New Roman"/>
          <w:sz w:val="24"/>
          <w:szCs w:val="24"/>
          <w:lang w:val="en-ID"/>
        </w:rPr>
        <w:t xml:space="preserve">. </w:t>
      </w:r>
      <w:r w:rsidRPr="006D0849">
        <w:rPr>
          <w:rFonts w:ascii="Garamond" w:eastAsia="Times New Roman" w:hAnsi="Garamond" w:cs="Times New Roman"/>
          <w:sz w:val="24"/>
          <w:szCs w:val="24"/>
          <w:lang w:val="en-ID"/>
        </w:rPr>
        <w:t>In terms of policy, government interventions through fertilizer subsidies, fuel subsidies, and general agricultural spending can increase NTP by lowering production costs and boosting agricultural output</w:t>
      </w:r>
      <w:r w:rsidR="0010078F" w:rsidRPr="004C3A9F">
        <w:rPr>
          <w:rFonts w:ascii="Garamond" w:eastAsia="Times New Roman" w:hAnsi="Garamond" w:cs="Times New Roman"/>
          <w:sz w:val="24"/>
          <w:szCs w:val="24"/>
          <w:lang w:val="en-ID"/>
        </w:rPr>
        <w:fldChar w:fldCharType="begin" w:fldLock="1"/>
      </w:r>
      <w:r w:rsidR="00622556" w:rsidRPr="004C3A9F">
        <w:rPr>
          <w:rFonts w:ascii="Garamond" w:eastAsia="Times New Roman" w:hAnsi="Garamond" w:cs="Times New Roman"/>
          <w:sz w:val="24"/>
          <w:szCs w:val="24"/>
          <w:lang w:val="en-ID"/>
        </w:rPr>
        <w:instrText>ADDIN CSL_CITATION {"citationItems":[{"id":"ITEM-1","itemData":{"DOI":"10.36956/rwae.v6i1.1305","author":[{"dropping-particle":"","family":"Arintoko","given":"","non-dropping-particle":"","parse-names":false,"suffix":""},{"dropping-particle":"","family":"Sambodo","given":"Herman","non-dropping-particle":"","parse-names":false,"suffix":""},{"dropping-particle":"","family":"Priyono","given":"Rakhmat","non-dropping-particle":"","parse-names":false,"suffix":""}],"container-title":"Research on World Agricultural Economy","id":"ITEM-1","issue":"1","issued":{"date-parts":[["2025"]]},"page":"71-87","title":"Do International Oil Prices, Exchange Rates and Agricultural Credit Matter for Farmers’ Term of Trade in Indonesia? Empirical Evidence of Multiple Thresholds and Asymmetric Effects","type":"article-journal","volume":"6"},"uris":["http://www.mendeley.com/documents/?uuid=b72e57c4-f431-48aa-b79d-2a14c3f77477"]},{"id":"ITEM-2","itemData":{"author":[{"dropping-particle":"","family":"Jaroensathapornkul","given":"Jirawat","non-dropping-particle":"","parse-names":false,"suffix":""},{"dropping-particle":"","family":"Tongpan","given":"Sopin","non-dropping-particle":"","parse-names":false,"suffix":""}],"container-title":"Kasetsart Journal of Soial Science","id":"ITEM-2","issue":"3","issued":{"date-parts":[["2007"]]},"page":"385-395","title":"Impacts of Government Spending on Thailand's Agricultural Sector","type":"article-journal","volume":"28"},"uris":["http://www.mendeley.com/documents/?uuid=507b5093-3fe2-43d2-b33d-7e520a5a54fb"]}],"mendeley":{"formattedCitation":"(Arintoko et al., 2025; Jaroensathapornkul &amp; Tongpan, 2007)","plainTextFormattedCitation":"(Arintoko et al., 2025; Jaroensathapornkul &amp; Tongpan, 2007)","previouslyFormattedCitation":"(Arintoko et al., 2025; Jaroensathapornkul &amp; Tongpan, 2007)"},"properties":{"noteIndex":0},"schema":"https://github.com/citation-style-language/schema/raw/master/csl-citation.json"}</w:instrText>
      </w:r>
      <w:r w:rsidR="0010078F" w:rsidRPr="004C3A9F">
        <w:rPr>
          <w:rFonts w:ascii="Garamond" w:eastAsia="Times New Roman" w:hAnsi="Garamond" w:cs="Times New Roman"/>
          <w:sz w:val="24"/>
          <w:szCs w:val="24"/>
          <w:lang w:val="en-ID"/>
        </w:rPr>
        <w:fldChar w:fldCharType="separate"/>
      </w:r>
      <w:r w:rsidR="0010078F" w:rsidRPr="004C3A9F">
        <w:rPr>
          <w:rFonts w:ascii="Garamond" w:eastAsia="Times New Roman" w:hAnsi="Garamond" w:cs="Times New Roman"/>
          <w:noProof/>
          <w:sz w:val="24"/>
          <w:szCs w:val="24"/>
          <w:lang w:val="en-ID"/>
        </w:rPr>
        <w:t>(</w:t>
      </w:r>
      <w:proofErr w:type="spellStart"/>
      <w:r w:rsidR="0010078F" w:rsidRPr="004C3A9F">
        <w:rPr>
          <w:rFonts w:ascii="Garamond" w:eastAsia="Times New Roman" w:hAnsi="Garamond" w:cs="Times New Roman"/>
          <w:noProof/>
          <w:sz w:val="24"/>
          <w:szCs w:val="24"/>
          <w:lang w:val="en-ID"/>
        </w:rPr>
        <w:t>Arintoko</w:t>
      </w:r>
      <w:proofErr w:type="spellEnd"/>
      <w:r w:rsidR="0010078F" w:rsidRPr="004C3A9F">
        <w:rPr>
          <w:rFonts w:ascii="Garamond" w:eastAsia="Times New Roman" w:hAnsi="Garamond" w:cs="Times New Roman"/>
          <w:noProof/>
          <w:sz w:val="24"/>
          <w:szCs w:val="24"/>
          <w:lang w:val="en-ID"/>
        </w:rPr>
        <w:t xml:space="preserve"> et al., 2025; Jaroensathapornkul &amp; Tongpan, 2007)</w:t>
      </w:r>
      <w:r w:rsidR="0010078F" w:rsidRPr="004C3A9F">
        <w:rPr>
          <w:rFonts w:ascii="Garamond" w:eastAsia="Times New Roman" w:hAnsi="Garamond" w:cs="Times New Roman"/>
          <w:sz w:val="24"/>
          <w:szCs w:val="24"/>
          <w:lang w:val="en-ID"/>
        </w:rPr>
        <w:fldChar w:fldCharType="end"/>
      </w:r>
      <w:r w:rsidR="00791525" w:rsidRPr="004C3A9F">
        <w:rPr>
          <w:rFonts w:ascii="Garamond" w:eastAsia="Times New Roman" w:hAnsi="Garamond" w:cs="Times New Roman"/>
          <w:sz w:val="24"/>
          <w:szCs w:val="24"/>
          <w:lang w:val="en-ID"/>
        </w:rPr>
        <w:t xml:space="preserve">. </w:t>
      </w:r>
    </w:p>
    <w:p w14:paraId="54E02A41" w14:textId="61BC49EA" w:rsidR="00B77F9B" w:rsidRPr="004C3A9F" w:rsidRDefault="006D0849" w:rsidP="004C3A9F">
      <w:pPr>
        <w:pStyle w:val="Normal1"/>
        <w:pBdr>
          <w:top w:val="nil"/>
          <w:left w:val="nil"/>
          <w:bottom w:val="nil"/>
          <w:right w:val="nil"/>
          <w:between w:val="nil"/>
        </w:pBdr>
        <w:shd w:val="clear" w:color="auto" w:fill="FFFFFF"/>
        <w:spacing w:after="0"/>
        <w:ind w:left="284" w:firstLine="850"/>
        <w:jc w:val="both"/>
        <w:rPr>
          <w:rFonts w:ascii="Garamond" w:hAnsi="Garamond"/>
          <w:sz w:val="24"/>
          <w:szCs w:val="24"/>
          <w:lang w:val="id-ID"/>
        </w:rPr>
      </w:pPr>
      <w:r w:rsidRPr="006D0849">
        <w:rPr>
          <w:rFonts w:ascii="Garamond" w:eastAsia="Times New Roman" w:hAnsi="Garamond" w:cs="Times New Roman"/>
          <w:sz w:val="24"/>
          <w:szCs w:val="24"/>
          <w:lang w:val="en-ID"/>
        </w:rPr>
        <w:t xml:space="preserve">One of the methods used to forecast NTP values is the Autoregressive Integrated Moving Average (ARIMA) model. This model is effective for </w:t>
      </w:r>
      <w:proofErr w:type="spellStart"/>
      <w:r w:rsidRPr="006D0849">
        <w:rPr>
          <w:rFonts w:ascii="Garamond" w:eastAsia="Times New Roman" w:hAnsi="Garamond" w:cs="Times New Roman"/>
          <w:sz w:val="24"/>
          <w:szCs w:val="24"/>
          <w:lang w:val="en-ID"/>
        </w:rPr>
        <w:t>analyzing</w:t>
      </w:r>
      <w:proofErr w:type="spellEnd"/>
      <w:r w:rsidRPr="006D0849">
        <w:rPr>
          <w:rFonts w:ascii="Garamond" w:eastAsia="Times New Roman" w:hAnsi="Garamond" w:cs="Times New Roman"/>
          <w:sz w:val="24"/>
          <w:szCs w:val="24"/>
          <w:lang w:val="en-ID"/>
        </w:rPr>
        <w:t xml:space="preserve"> time series data with no clear pattern</w:t>
      </w:r>
      <w:r w:rsidR="00EB77C4" w:rsidRPr="004C3A9F">
        <w:rPr>
          <w:rFonts w:ascii="Garamond" w:eastAsia="Times New Roman" w:hAnsi="Garamond" w:cs="Times New Roman"/>
          <w:sz w:val="24"/>
          <w:szCs w:val="24"/>
          <w:lang w:val="en-ID"/>
        </w:rPr>
        <w:fldChar w:fldCharType="begin" w:fldLock="1"/>
      </w:r>
      <w:r w:rsidR="00EB77C4" w:rsidRPr="004C3A9F">
        <w:rPr>
          <w:rFonts w:ascii="Garamond" w:eastAsia="Times New Roman" w:hAnsi="Garamond" w:cs="Times New Roman"/>
          <w:sz w:val="24"/>
          <w:szCs w:val="24"/>
          <w:lang w:val="en-ID"/>
        </w:rPr>
        <w:instrText>ADDIN CSL_CITATION {"citationItems":[{"id":"ITEM-1","itemData":{"DOI":"10.1088/1742-6596/1503/1/012002","author":[{"dropping-particle":"","family":"Pratiwi","given":"Dinda","non-dropping-particle":"","parse-names":false,"suffix":""},{"dropping-particle":"","family":"Agustini","given":"Sisilia M.U","non-dropping-particle":"","parse-names":false,"suffix":""},{"dropping-particle":"","family":"Windasari","given":"Wiwin","non-dropping-particle":"","parse-names":false,"suffix":""},{"dropping-particle":"","family":"Kencana","given":"Eka N.","non-dropping-particle":"","parse-names":false,"suffix":""}],"container-title":"Journal of Physics","id":"ITEM-1","issued":{"date-parts":[["2020"]]},"title":"Forecasting Farmer Exchange Rate in Bali Province Using Seasonal Autoregressive Integrated Moving Average (SARIMA) Method","type":"article-journal","volume":"1503"},"uris":["http://www.mendeley.com/documents/?uuid=3426ab13-26ad-4b02-bdb3-838ade0e0475"]}],"mendeley":{"formattedCitation":"(Pratiwi et al., 2020)","plainTextFormattedCitation":"(Pratiwi et al., 2020)","previouslyFormattedCitation":"(Pratiwi et al., 2020)"},"properties":{"noteIndex":0},"schema":"https://github.com/citation-style-language/schema/raw/master/csl-citation.json"}</w:instrText>
      </w:r>
      <w:r w:rsidR="00EB77C4" w:rsidRPr="004C3A9F">
        <w:rPr>
          <w:rFonts w:ascii="Garamond" w:eastAsia="Times New Roman" w:hAnsi="Garamond" w:cs="Times New Roman"/>
          <w:sz w:val="24"/>
          <w:szCs w:val="24"/>
          <w:lang w:val="en-ID"/>
        </w:rPr>
        <w:fldChar w:fldCharType="separate"/>
      </w:r>
      <w:r w:rsidR="00EB77C4" w:rsidRPr="004C3A9F">
        <w:rPr>
          <w:rFonts w:ascii="Garamond" w:eastAsia="Times New Roman" w:hAnsi="Garamond" w:cs="Times New Roman"/>
          <w:noProof/>
          <w:sz w:val="24"/>
          <w:szCs w:val="24"/>
          <w:lang w:val="en-ID"/>
        </w:rPr>
        <w:t>(Pratiwi et al., 2020)</w:t>
      </w:r>
      <w:r w:rsidR="00EB77C4" w:rsidRPr="004C3A9F">
        <w:rPr>
          <w:rFonts w:ascii="Garamond" w:eastAsia="Times New Roman" w:hAnsi="Garamond" w:cs="Times New Roman"/>
          <w:sz w:val="24"/>
          <w:szCs w:val="24"/>
          <w:lang w:val="en-ID"/>
        </w:rPr>
        <w:fldChar w:fldCharType="end"/>
      </w:r>
      <w:r w:rsidR="00EB77C4" w:rsidRPr="004C3A9F">
        <w:rPr>
          <w:rFonts w:ascii="Garamond" w:eastAsia="Times New Roman" w:hAnsi="Garamond" w:cs="Times New Roman"/>
          <w:sz w:val="24"/>
          <w:szCs w:val="24"/>
          <w:lang w:val="en-ID"/>
        </w:rPr>
        <w:t>.</w:t>
      </w:r>
      <w:r w:rsidR="00681986" w:rsidRPr="004C3A9F">
        <w:rPr>
          <w:rFonts w:ascii="Garamond" w:eastAsia="Times New Roman" w:hAnsi="Garamond" w:cs="Times New Roman"/>
          <w:sz w:val="24"/>
          <w:szCs w:val="24"/>
          <w:lang w:val="en-ID"/>
        </w:rPr>
        <w:t xml:space="preserve"> </w:t>
      </w:r>
      <w:r w:rsidRPr="006D0849">
        <w:rPr>
          <w:rFonts w:ascii="Garamond" w:eastAsia="Times New Roman" w:hAnsi="Garamond" w:cs="Times New Roman"/>
          <w:sz w:val="24"/>
          <w:szCs w:val="24"/>
          <w:lang w:val="en-ID"/>
        </w:rPr>
        <w:t xml:space="preserve">ARIMA explicitly considers the time dimension, where data is collected periodically and </w:t>
      </w:r>
      <w:proofErr w:type="spellStart"/>
      <w:r w:rsidRPr="006D0849">
        <w:rPr>
          <w:rFonts w:ascii="Garamond" w:eastAsia="Times New Roman" w:hAnsi="Garamond" w:cs="Times New Roman"/>
          <w:sz w:val="24"/>
          <w:szCs w:val="24"/>
          <w:lang w:val="en-ID"/>
        </w:rPr>
        <w:t>analyzed</w:t>
      </w:r>
      <w:proofErr w:type="spellEnd"/>
      <w:r w:rsidRPr="006D0849">
        <w:rPr>
          <w:rFonts w:ascii="Garamond" w:eastAsia="Times New Roman" w:hAnsi="Garamond" w:cs="Times New Roman"/>
          <w:sz w:val="24"/>
          <w:szCs w:val="24"/>
          <w:lang w:val="en-ID"/>
        </w:rPr>
        <w:t xml:space="preserve"> based on historical patterns that develop systematically over time </w:t>
      </w:r>
      <w:r w:rsidR="00974F45" w:rsidRPr="004C3A9F">
        <w:rPr>
          <w:rStyle w:val="FootnoteReference"/>
          <w:rFonts w:ascii="Garamond" w:hAnsi="Garamond"/>
          <w:sz w:val="24"/>
          <w:szCs w:val="24"/>
          <w:lang w:val="id-ID"/>
        </w:rPr>
        <w:fldChar w:fldCharType="begin" w:fldLock="1"/>
      </w:r>
      <w:r w:rsidR="00570456" w:rsidRPr="004C3A9F">
        <w:rPr>
          <w:rFonts w:ascii="Garamond" w:hAnsi="Garamond"/>
          <w:sz w:val="24"/>
          <w:szCs w:val="24"/>
          <w:lang w:val="id-ID"/>
        </w:rPr>
        <w:instrText>ADDIN CSL_CITATION {"citationItems":[{"id":"ITEM-1","itemData":{"author":[{"dropping-particle":"","family":"Makridarkis","given":"Spyros","non-dropping-particle":"","parse-names":false,"suffix":""},{"dropping-particle":"","family":"Wheelwrigth","given":"","non-dropping-particle":"","parse-names":false,"suffix":""},{"dropping-particle":"","family":"McG.","given":"","non-dropping-particle":"","parse-names":false,"suffix":""}],"id":"ITEM-1","issued":{"date-parts":[["1999"]]},"publisher":"Erlangga","publisher-place":"Jakarta","title":"Metode dan Aplikasi Peramalan","type":"book"},"uris":["http://www.mendeley.com/documents/?uuid=01b4b278-1f73-472d-824d-94fd171ffdb3"]}],"mendeley":{"formattedCitation":"(Makridarkis et al., 1999)","plainTextFormattedCitation":"(Makridarkis et al., 1999)","previouslyFormattedCitation":"(Makridarkis et al., 1999)"},"properties":{"noteIndex":0},"schema":"https://github.com/citation-style-language/schema/raw/master/csl-citation.json"}</w:instrText>
      </w:r>
      <w:r w:rsidR="00974F45" w:rsidRPr="004C3A9F">
        <w:rPr>
          <w:rStyle w:val="FootnoteReference"/>
          <w:rFonts w:ascii="Garamond" w:hAnsi="Garamond"/>
          <w:sz w:val="24"/>
          <w:szCs w:val="24"/>
          <w:lang w:val="id-ID"/>
        </w:rPr>
        <w:fldChar w:fldCharType="separate"/>
      </w:r>
      <w:r w:rsidR="00974F45" w:rsidRPr="004C3A9F">
        <w:rPr>
          <w:rFonts w:ascii="Garamond" w:hAnsi="Garamond"/>
          <w:noProof/>
          <w:sz w:val="24"/>
          <w:szCs w:val="24"/>
          <w:lang w:val="id-ID"/>
        </w:rPr>
        <w:t>(Makridarkis et al., 1999)</w:t>
      </w:r>
      <w:r w:rsidR="00974F45" w:rsidRPr="004C3A9F">
        <w:rPr>
          <w:rStyle w:val="FootnoteReference"/>
          <w:rFonts w:ascii="Garamond" w:hAnsi="Garamond"/>
          <w:sz w:val="24"/>
          <w:szCs w:val="24"/>
          <w:lang w:val="id-ID"/>
        </w:rPr>
        <w:fldChar w:fldCharType="end"/>
      </w:r>
      <w:r w:rsidR="00681986" w:rsidRPr="004C3A9F">
        <w:rPr>
          <w:rFonts w:ascii="Garamond" w:hAnsi="Garamond"/>
          <w:sz w:val="24"/>
          <w:szCs w:val="24"/>
          <w:lang w:val="id-ID"/>
        </w:rPr>
        <w:t>.</w:t>
      </w:r>
    </w:p>
    <w:p w14:paraId="33DDD0AA" w14:textId="7E0D1BFE" w:rsidR="000E2F8F" w:rsidRPr="004C3A9F" w:rsidRDefault="006D0849" w:rsidP="0076345D">
      <w:pPr>
        <w:pStyle w:val="Normal1"/>
        <w:pBdr>
          <w:top w:val="nil"/>
          <w:left w:val="nil"/>
          <w:bottom w:val="nil"/>
          <w:right w:val="nil"/>
          <w:between w:val="nil"/>
        </w:pBdr>
        <w:shd w:val="clear" w:color="auto" w:fill="FFFFFF"/>
        <w:spacing w:after="0"/>
        <w:ind w:left="284" w:firstLine="850"/>
        <w:jc w:val="both"/>
        <w:rPr>
          <w:rFonts w:ascii="Garamond" w:hAnsi="Garamond" w:cs="Times New Roman"/>
          <w:sz w:val="24"/>
          <w:szCs w:val="24"/>
        </w:rPr>
      </w:pPr>
      <w:r w:rsidRPr="006D0849">
        <w:rPr>
          <w:rFonts w:ascii="Garamond" w:hAnsi="Garamond"/>
          <w:sz w:val="24"/>
          <w:szCs w:val="24"/>
          <w:lang w:val="en-ID"/>
        </w:rPr>
        <w:t xml:space="preserve">However, conventional economic approaches, such as income and consumption, have limitations in measuring welfare among farmers in the informal sector. In Islamic economics, welfare is not solely defined by income or consumption, but also by spiritual well-being. Measuring welfare through income can be problematic due to the dominance of informal employment, which makes it difficult to capture accurate earnings. Likewise, measuring welfare through consumption faces challenges due to differing consumption patterns among communities. Therefore, Islamic economics offers a different perspective by </w:t>
      </w:r>
      <w:proofErr w:type="spellStart"/>
      <w:r w:rsidRPr="006D0849">
        <w:rPr>
          <w:rFonts w:ascii="Garamond" w:hAnsi="Garamond"/>
          <w:sz w:val="24"/>
          <w:szCs w:val="24"/>
          <w:lang w:val="en-ID"/>
        </w:rPr>
        <w:t>analyzing</w:t>
      </w:r>
      <w:proofErr w:type="spellEnd"/>
      <w:r w:rsidRPr="006D0849">
        <w:rPr>
          <w:rFonts w:ascii="Garamond" w:hAnsi="Garamond"/>
          <w:sz w:val="24"/>
          <w:szCs w:val="24"/>
          <w:lang w:val="en-ID"/>
        </w:rPr>
        <w:t xml:space="preserve"> welfare based on social status through the </w:t>
      </w:r>
      <w:r w:rsidRPr="006D0849">
        <w:rPr>
          <w:rFonts w:ascii="Garamond" w:hAnsi="Garamond"/>
          <w:b/>
          <w:bCs/>
          <w:sz w:val="24"/>
          <w:szCs w:val="24"/>
          <w:lang w:val="en-ID"/>
        </w:rPr>
        <w:t>zakat</w:t>
      </w:r>
      <w:r w:rsidRPr="006D0849">
        <w:rPr>
          <w:rFonts w:ascii="Garamond" w:hAnsi="Garamond"/>
          <w:sz w:val="24"/>
          <w:szCs w:val="24"/>
          <w:lang w:val="en-ID"/>
        </w:rPr>
        <w:t xml:space="preserve"> framework, classifying individuals into wealthy, middle-income, and the </w:t>
      </w:r>
      <w:proofErr w:type="spellStart"/>
      <w:r w:rsidRPr="006D0849">
        <w:rPr>
          <w:rFonts w:ascii="Garamond" w:hAnsi="Garamond"/>
          <w:i/>
          <w:iCs/>
          <w:sz w:val="24"/>
          <w:szCs w:val="24"/>
          <w:lang w:val="en-ID"/>
        </w:rPr>
        <w:t>Ashnaf</w:t>
      </w:r>
      <w:proofErr w:type="spellEnd"/>
      <w:r w:rsidRPr="006D0849">
        <w:rPr>
          <w:rFonts w:ascii="Garamond" w:hAnsi="Garamond"/>
          <w:i/>
          <w:iCs/>
          <w:sz w:val="24"/>
          <w:szCs w:val="24"/>
          <w:lang w:val="en-ID"/>
        </w:rPr>
        <w:t xml:space="preserve"> </w:t>
      </w:r>
      <w:proofErr w:type="spellStart"/>
      <w:r w:rsidRPr="006D0849">
        <w:rPr>
          <w:rFonts w:ascii="Garamond" w:hAnsi="Garamond"/>
          <w:i/>
          <w:iCs/>
          <w:sz w:val="24"/>
          <w:szCs w:val="24"/>
          <w:lang w:val="en-ID"/>
        </w:rPr>
        <w:t>Tsamaniyah</w:t>
      </w:r>
      <w:proofErr w:type="spellEnd"/>
      <w:r w:rsidRPr="006D0849">
        <w:rPr>
          <w:rFonts w:ascii="Garamond" w:hAnsi="Garamond"/>
          <w:sz w:val="24"/>
          <w:szCs w:val="24"/>
          <w:lang w:val="en-ID"/>
        </w:rPr>
        <w:t xml:space="preserve"> </w:t>
      </w:r>
      <w:r w:rsidR="00974F45" w:rsidRPr="004C3A9F">
        <w:rPr>
          <w:rStyle w:val="FootnoteReference"/>
          <w:rFonts w:ascii="Garamond" w:eastAsia="Times New Roman" w:hAnsi="Garamond" w:cs="Times New Roman"/>
          <w:sz w:val="24"/>
          <w:szCs w:val="24"/>
          <w:lang w:val="id-ID"/>
        </w:rPr>
        <w:fldChar w:fldCharType="begin" w:fldLock="1"/>
      </w:r>
      <w:r w:rsidR="00570456" w:rsidRPr="004C3A9F">
        <w:rPr>
          <w:rFonts w:ascii="Garamond" w:eastAsia="Times New Roman" w:hAnsi="Garamond" w:cs="Times New Roman"/>
          <w:sz w:val="24"/>
          <w:szCs w:val="24"/>
          <w:lang w:val="id-ID"/>
        </w:rPr>
        <w:instrText>ADDIN CSL_CITATION {"citationItems":[{"id":"ITEM-1","itemData":{"author":[{"dropping-particle":"","family":"Sodiq","given":"Amirus","non-dropping-particle":"","parse-names":false,"suffix":""}],"container-title":"Equilibrium","id":"ITEM-1","issue":"2","issued":{"date-parts":[["2015"]]},"page":"383","title":"Konsep Kesejahteraan dalam Islam","type":"article-journal","volume":"3"},"uris":["http://www.mendeley.com/documents/?uuid=56ffc9a7-943a-415d-b671-8aee762cd580"]}],"mendeley":{"formattedCitation":"(Sodiq, 2015)","plainTextFormattedCitation":"(Sodiq, 2015)","previouslyFormattedCitation":"(Sodiq, 2015)"},"properties":{"noteIndex":0},"schema":"https://github.com/citation-style-language/schema/raw/master/csl-citation.json"}</w:instrText>
      </w:r>
      <w:r w:rsidR="00974F45" w:rsidRPr="004C3A9F">
        <w:rPr>
          <w:rStyle w:val="FootnoteReference"/>
          <w:rFonts w:ascii="Garamond" w:eastAsia="Times New Roman" w:hAnsi="Garamond" w:cs="Times New Roman"/>
          <w:sz w:val="24"/>
          <w:szCs w:val="24"/>
          <w:lang w:val="id-ID"/>
        </w:rPr>
        <w:fldChar w:fldCharType="separate"/>
      </w:r>
      <w:r w:rsidR="00974F45" w:rsidRPr="004C3A9F">
        <w:rPr>
          <w:rFonts w:ascii="Garamond" w:eastAsia="Times New Roman" w:hAnsi="Garamond" w:cs="Times New Roman"/>
          <w:bCs/>
          <w:noProof/>
          <w:sz w:val="24"/>
          <w:szCs w:val="24"/>
        </w:rPr>
        <w:t>(Sodiq, 2015)</w:t>
      </w:r>
      <w:r w:rsidR="00974F45" w:rsidRPr="004C3A9F">
        <w:rPr>
          <w:rStyle w:val="FootnoteReference"/>
          <w:rFonts w:ascii="Garamond" w:eastAsia="Times New Roman" w:hAnsi="Garamond" w:cs="Times New Roman"/>
          <w:sz w:val="24"/>
          <w:szCs w:val="24"/>
          <w:lang w:val="id-ID"/>
        </w:rPr>
        <w:fldChar w:fldCharType="end"/>
      </w:r>
      <w:r w:rsidR="000E2F8F" w:rsidRPr="004C3A9F">
        <w:rPr>
          <w:rFonts w:ascii="Garamond" w:hAnsi="Garamond" w:cs="Times New Roman"/>
          <w:sz w:val="24"/>
          <w:szCs w:val="24"/>
        </w:rPr>
        <w:t xml:space="preserve">. </w:t>
      </w:r>
    </w:p>
    <w:p w14:paraId="61E01925" w14:textId="6D2F3233" w:rsidR="001C52D3" w:rsidRDefault="006D0849"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en-ID"/>
        </w:rPr>
      </w:pPr>
      <w:r w:rsidRPr="006D0849">
        <w:rPr>
          <w:rFonts w:ascii="Garamond" w:eastAsia="Times New Roman" w:hAnsi="Garamond" w:cs="Times New Roman"/>
          <w:sz w:val="24"/>
          <w:szCs w:val="24"/>
          <w:lang w:val="en-ID"/>
        </w:rPr>
        <w:t>This study aims to formulate the optimal time series model (ARIMA) to forecast the NTP in Bengkulu Province for the period of January 2021 to December 2023 using Minitab 16 software and to assess farmers' welfare levels by combining the NTP (or Farmer Exchange Rate) approach with an Islamic socio-economic approach based on the zakat status of farmers across all regencies and cities in Bengkulu Province. The results of this research are expected to serve as a reference in designing inclusive and sustainable agricultural development policies that reflect the principles of social, economic, and spiritual justice within the framework of Islamic economics</w:t>
      </w:r>
      <w:r w:rsidR="001C52D3" w:rsidRPr="004C3A9F">
        <w:rPr>
          <w:rFonts w:ascii="Garamond" w:eastAsia="Times New Roman" w:hAnsi="Garamond" w:cs="Times New Roman"/>
          <w:sz w:val="24"/>
          <w:szCs w:val="24"/>
          <w:lang w:val="en-ID"/>
        </w:rPr>
        <w:t>.</w:t>
      </w:r>
    </w:p>
    <w:p w14:paraId="2529CEB4" w14:textId="77777777" w:rsidR="00DA63C0" w:rsidRDefault="00DA63C0"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id-ID"/>
        </w:rPr>
      </w:pPr>
    </w:p>
    <w:p w14:paraId="62C56B85" w14:textId="77777777" w:rsidR="006D0849" w:rsidRDefault="006D0849"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id-ID"/>
        </w:rPr>
      </w:pPr>
    </w:p>
    <w:p w14:paraId="76FEABF1" w14:textId="77777777" w:rsidR="006D0849" w:rsidRPr="004C3A9F" w:rsidRDefault="006D0849" w:rsidP="004C3A9F">
      <w:pPr>
        <w:pStyle w:val="Normal1"/>
        <w:pBdr>
          <w:top w:val="nil"/>
          <w:left w:val="nil"/>
          <w:bottom w:val="nil"/>
          <w:right w:val="nil"/>
          <w:between w:val="nil"/>
        </w:pBdr>
        <w:shd w:val="clear" w:color="auto" w:fill="FFFFFF"/>
        <w:spacing w:after="0"/>
        <w:ind w:left="284" w:firstLine="850"/>
        <w:jc w:val="both"/>
        <w:rPr>
          <w:rFonts w:ascii="Garamond" w:eastAsia="Times New Roman" w:hAnsi="Garamond" w:cs="Times New Roman"/>
          <w:sz w:val="24"/>
          <w:szCs w:val="24"/>
          <w:lang w:val="id-ID"/>
        </w:rPr>
      </w:pPr>
    </w:p>
    <w:p w14:paraId="3BB17F33" w14:textId="104C83AE" w:rsidR="000E2F8F" w:rsidRPr="004C3A9F" w:rsidRDefault="000E2F8F" w:rsidP="004C3A9F">
      <w:pPr>
        <w:pStyle w:val="ListParagraph"/>
        <w:numPr>
          <w:ilvl w:val="0"/>
          <w:numId w:val="1"/>
        </w:numPr>
        <w:spacing w:after="0" w:line="276" w:lineRule="auto"/>
        <w:ind w:left="284" w:hanging="284"/>
        <w:rPr>
          <w:rFonts w:ascii="Garamond" w:hAnsi="Garamond" w:cs="Times New Roman"/>
          <w:b/>
          <w:bCs/>
        </w:rPr>
      </w:pPr>
      <w:r w:rsidRPr="004C3A9F">
        <w:rPr>
          <w:rFonts w:ascii="Garamond" w:hAnsi="Garamond" w:cs="Times New Roman"/>
          <w:b/>
          <w:bCs/>
        </w:rPr>
        <w:t xml:space="preserve">Method </w:t>
      </w:r>
    </w:p>
    <w:p w14:paraId="09495B4E" w14:textId="21054C23" w:rsidR="00B77F9B" w:rsidRPr="004C3A9F" w:rsidRDefault="006D0849" w:rsidP="004C3A9F">
      <w:pPr>
        <w:spacing w:after="0" w:line="276" w:lineRule="auto"/>
        <w:ind w:left="284" w:firstLine="850"/>
        <w:contextualSpacing/>
        <w:jc w:val="both"/>
        <w:rPr>
          <w:rFonts w:ascii="Garamond" w:eastAsia="Calibri" w:hAnsi="Garamond" w:cs="Times New Roman"/>
          <w:kern w:val="0"/>
          <w14:ligatures w14:val="none"/>
        </w:rPr>
      </w:pPr>
      <w:r w:rsidRPr="006D0849">
        <w:rPr>
          <w:rFonts w:ascii="Garamond" w:eastAsia="Times New Roman" w:hAnsi="Garamond" w:cs="Times New Roman"/>
          <w:kern w:val="0"/>
          <w14:ligatures w14:val="none"/>
        </w:rPr>
        <w:t xml:space="preserve">This study employs a mixed methods research approach that integrates both quantitative and qualitative methods to </w:t>
      </w:r>
      <w:proofErr w:type="spellStart"/>
      <w:r w:rsidRPr="006D0849">
        <w:rPr>
          <w:rFonts w:ascii="Garamond" w:eastAsia="Times New Roman" w:hAnsi="Garamond" w:cs="Times New Roman"/>
          <w:kern w:val="0"/>
          <w14:ligatures w14:val="none"/>
        </w:rPr>
        <w:t>analyze</w:t>
      </w:r>
      <w:proofErr w:type="spellEnd"/>
      <w:r w:rsidRPr="006D0849">
        <w:rPr>
          <w:rFonts w:ascii="Garamond" w:eastAsia="Times New Roman" w:hAnsi="Garamond" w:cs="Times New Roman"/>
          <w:kern w:val="0"/>
          <w14:ligatures w14:val="none"/>
        </w:rPr>
        <w:t xml:space="preserve"> the welfare of farmers in Bengkulu Province</w:t>
      </w:r>
      <w:r w:rsidRPr="006D0849">
        <w:rPr>
          <w:rFonts w:ascii="Garamond" w:eastAsia="Times New Roman" w:hAnsi="Garamond" w:cs="Times New Roman"/>
          <w:kern w:val="0"/>
          <w14:ligatures w14:val="none"/>
        </w:rPr>
        <w:t xml:space="preserve"> </w:t>
      </w:r>
      <w:r w:rsidR="00974F45" w:rsidRPr="004C3A9F">
        <w:rPr>
          <w:rFonts w:ascii="Garamond" w:eastAsia="Times New Roman" w:hAnsi="Garamond" w:cs="Times New Roman"/>
          <w:kern w:val="0"/>
          <w14:ligatures w14:val="none"/>
        </w:rPr>
        <w:fldChar w:fldCharType="begin" w:fldLock="1"/>
      </w:r>
      <w:r w:rsidR="00570456" w:rsidRPr="004C3A9F">
        <w:rPr>
          <w:rFonts w:ascii="Garamond" w:eastAsia="Times New Roman" w:hAnsi="Garamond" w:cs="Times New Roman"/>
          <w:kern w:val="0"/>
          <w14:ligatures w14:val="none"/>
        </w:rPr>
        <w:instrText>ADDIN CSL_CITATION {"citationItems":[{"id":"ITEM-1","itemData":{"author":[{"dropping-particle":"","family":"Sugiyono","given":"","non-dropping-particle":"","parse-names":false,"suffix":""}],"id":"ITEM-1","issued":{"date-parts":[["2016"]]},"number-of-pages":"85","publisher":"Alfabeta","publisher-place":"Bandung","title":"Metode Penelitian Kuantitatif Kualitatif R&amp;D","type":"book"},"uris":["http://www.mendeley.com/documents/?uuid=11786527-6e53-4b7e-82bd-a5152317de02"]}],"mendeley":{"formattedCitation":"(Sugiyono, 2016)","plainTextFormattedCitation":"(Sugiyono, 2016)","previouslyFormattedCitation":"(Sugiyono, 2016)"},"properties":{"noteIndex":0},"schema":"https://github.com/citation-style-language/schema/raw/master/csl-citation.json"}</w:instrText>
      </w:r>
      <w:r w:rsidR="00974F45" w:rsidRPr="004C3A9F">
        <w:rPr>
          <w:rFonts w:ascii="Garamond" w:eastAsia="Times New Roman" w:hAnsi="Garamond" w:cs="Times New Roman"/>
          <w:kern w:val="0"/>
          <w14:ligatures w14:val="none"/>
        </w:rPr>
        <w:fldChar w:fldCharType="separate"/>
      </w:r>
      <w:r w:rsidR="00974F45" w:rsidRPr="004C3A9F">
        <w:rPr>
          <w:rFonts w:ascii="Garamond" w:eastAsia="Times New Roman" w:hAnsi="Garamond" w:cs="Times New Roman"/>
          <w:noProof/>
          <w:kern w:val="0"/>
          <w14:ligatures w14:val="none"/>
        </w:rPr>
        <w:t>(Sugiyono, 2016)</w:t>
      </w:r>
      <w:r w:rsidR="00974F45" w:rsidRPr="004C3A9F">
        <w:rPr>
          <w:rFonts w:ascii="Garamond" w:eastAsia="Times New Roman" w:hAnsi="Garamond" w:cs="Times New Roman"/>
          <w:kern w:val="0"/>
          <w14:ligatures w14:val="none"/>
        </w:rPr>
        <w:fldChar w:fldCharType="end"/>
      </w:r>
      <w:r w:rsidR="007A3F60" w:rsidRPr="004C3A9F">
        <w:rPr>
          <w:rFonts w:ascii="Garamond" w:eastAsia="Times New Roman" w:hAnsi="Garamond" w:cs="Times New Roman"/>
          <w:kern w:val="0"/>
          <w14:ligatures w14:val="none"/>
        </w:rPr>
        <w:t xml:space="preserve">. </w:t>
      </w:r>
      <w:r w:rsidRPr="006D0849">
        <w:rPr>
          <w:rFonts w:ascii="Garamond" w:eastAsia="Times New Roman" w:hAnsi="Garamond" w:cs="Times New Roman"/>
          <w:kern w:val="0"/>
          <w14:ligatures w14:val="none"/>
        </w:rPr>
        <w:t xml:space="preserve">The quantitative research approach is employed to </w:t>
      </w:r>
      <w:proofErr w:type="spellStart"/>
      <w:r w:rsidRPr="006D0849">
        <w:rPr>
          <w:rFonts w:ascii="Garamond" w:eastAsia="Times New Roman" w:hAnsi="Garamond" w:cs="Times New Roman"/>
          <w:kern w:val="0"/>
          <w14:ligatures w14:val="none"/>
        </w:rPr>
        <w:t>analyze</w:t>
      </w:r>
      <w:proofErr w:type="spellEnd"/>
      <w:r w:rsidRPr="006D0849">
        <w:rPr>
          <w:rFonts w:ascii="Garamond" w:eastAsia="Times New Roman" w:hAnsi="Garamond" w:cs="Times New Roman"/>
          <w:kern w:val="0"/>
          <w14:ligatures w14:val="none"/>
        </w:rPr>
        <w:t xml:space="preserve"> time series data on the Farmer's Terms of Trade (NTP) using the ARIMA Box-Jenkins forecasting method, while the qualitative approach is used to examine farmer welfare based on zakat-based social group classifications. This combined approach is chosen for its ability to integrate numerical analysis with a holistic socio-religious perspective</w:t>
      </w:r>
      <w:r w:rsidR="00622556" w:rsidRPr="004C3A9F">
        <w:rPr>
          <w:rFonts w:ascii="Garamond" w:eastAsia="Calibri" w:hAnsi="Garamond" w:cs="Times New Roman"/>
          <w:kern w:val="0"/>
          <w14:ligatures w14:val="none"/>
        </w:rPr>
        <w:fldChar w:fldCharType="begin" w:fldLock="1"/>
      </w:r>
      <w:r w:rsidR="002259F8">
        <w:rPr>
          <w:rFonts w:ascii="Garamond" w:eastAsia="Calibri" w:hAnsi="Garamond" w:cs="Times New Roman"/>
          <w:kern w:val="0"/>
          <w14:ligatures w14:val="none"/>
        </w:rPr>
        <w:instrText>ADDIN CSL_CITATION {"citationItems":[{"id":"ITEM-1","itemData":{"author":[{"dropping-particle":"","family":"W.Creswel","given":"John","non-dropping-particle":"","parse-names":false,"suffix":""}],"id":"ITEM-1","issued":{"date-parts":[["2008"]]},"publisher":"Sage Publication","title":"Research Design: Qualitative, Quantitative and Mix Method Approach","type":"book"},"uris":["http://www.mendeley.com/documents/?uuid=f1239865-6975-4887-a72a-f0ffe28a9542"]},{"id":"ITEM-2","itemData":{"author":[{"dropping-particle":"","family":"Sugiyono","given":"","non-dropping-particle":"","parse-names":false,"suffix":""}],"id":"ITEM-2","issued":{"date-parts":[["2016"]]},"number-of-pages":"85","publisher":"Alfabeta","publisher-place":"Bandung","title":"Metode Penelitian Kuantitatif Kualitatif R&amp;D","type":"book"},"uris":["http://www.mendeley.com/documents/?uuid=11786527-6e53-4b7e-82bd-a5152317de02"]}],"mendeley":{"formattedCitation":"(Sugiyono, 2016; W.Creswel, 2008)","plainTextFormattedCitation":"(Sugiyono, 2016; W.Creswel, 2008)","previouslyFormattedCitation":"(Sugiyono, 2016; W.Creswel, 2008)"},"properties":{"noteIndex":0},"schema":"https://github.com/citation-style-language/schema/raw/master/csl-citation.json"}</w:instrText>
      </w:r>
      <w:r w:rsidR="00622556" w:rsidRPr="004C3A9F">
        <w:rPr>
          <w:rFonts w:ascii="Garamond" w:eastAsia="Calibri" w:hAnsi="Garamond" w:cs="Times New Roman"/>
          <w:kern w:val="0"/>
          <w14:ligatures w14:val="none"/>
        </w:rPr>
        <w:fldChar w:fldCharType="separate"/>
      </w:r>
      <w:r w:rsidR="00622556" w:rsidRPr="004C3A9F">
        <w:rPr>
          <w:rFonts w:ascii="Garamond" w:eastAsia="Calibri" w:hAnsi="Garamond" w:cs="Times New Roman"/>
          <w:noProof/>
          <w:kern w:val="0"/>
          <w14:ligatures w14:val="none"/>
        </w:rPr>
        <w:t>(</w:t>
      </w:r>
      <w:proofErr w:type="spellStart"/>
      <w:r w:rsidR="00622556" w:rsidRPr="004C3A9F">
        <w:rPr>
          <w:rFonts w:ascii="Garamond" w:eastAsia="Calibri" w:hAnsi="Garamond" w:cs="Times New Roman"/>
          <w:noProof/>
          <w:kern w:val="0"/>
          <w14:ligatures w14:val="none"/>
        </w:rPr>
        <w:t>Sugiyono</w:t>
      </w:r>
      <w:proofErr w:type="spellEnd"/>
      <w:r w:rsidR="00622556" w:rsidRPr="004C3A9F">
        <w:rPr>
          <w:rFonts w:ascii="Garamond" w:eastAsia="Calibri" w:hAnsi="Garamond" w:cs="Times New Roman"/>
          <w:noProof/>
          <w:kern w:val="0"/>
          <w14:ligatures w14:val="none"/>
        </w:rPr>
        <w:t>, 2016; W.Creswel, 2008)</w:t>
      </w:r>
      <w:r w:rsidR="00622556" w:rsidRPr="004C3A9F">
        <w:rPr>
          <w:rFonts w:ascii="Garamond" w:eastAsia="Calibri" w:hAnsi="Garamond" w:cs="Times New Roman"/>
          <w:kern w:val="0"/>
          <w14:ligatures w14:val="none"/>
        </w:rPr>
        <w:fldChar w:fldCharType="end"/>
      </w:r>
      <w:r w:rsidR="00622556" w:rsidRPr="004C3A9F">
        <w:rPr>
          <w:rFonts w:ascii="Garamond" w:eastAsia="Calibri" w:hAnsi="Garamond" w:cs="Times New Roman"/>
          <w:kern w:val="0"/>
          <w14:ligatures w14:val="none"/>
        </w:rPr>
        <w:t xml:space="preserve">. </w:t>
      </w:r>
    </w:p>
    <w:p w14:paraId="7A6DA253" w14:textId="32DC7D01" w:rsidR="00782075" w:rsidRPr="004C3A9F" w:rsidRDefault="006D0849" w:rsidP="004C3A9F">
      <w:pPr>
        <w:spacing w:after="0" w:line="276" w:lineRule="auto"/>
        <w:ind w:left="284" w:firstLine="850"/>
        <w:contextualSpacing/>
        <w:jc w:val="both"/>
        <w:rPr>
          <w:rFonts w:ascii="Garamond" w:eastAsia="Cambria" w:hAnsi="Garamond" w:cs="Times New Roman"/>
          <w:noProof/>
          <w:kern w:val="0"/>
          <w:lang w:val="id-ID"/>
          <w14:ligatures w14:val="none"/>
        </w:rPr>
      </w:pPr>
      <w:r w:rsidRPr="006D0849">
        <w:rPr>
          <w:rFonts w:ascii="Garamond" w:eastAsia="Calibri" w:hAnsi="Garamond" w:cs="Times New Roman"/>
          <w:kern w:val="0"/>
          <w14:ligatures w14:val="none"/>
        </w:rPr>
        <w:t xml:space="preserve">The data sources for this study include the Central Bureau of Statistics (Badan Pusat </w:t>
      </w:r>
      <w:proofErr w:type="spellStart"/>
      <w:r w:rsidRPr="006D0849">
        <w:rPr>
          <w:rFonts w:ascii="Garamond" w:eastAsia="Calibri" w:hAnsi="Garamond" w:cs="Times New Roman"/>
          <w:kern w:val="0"/>
          <w14:ligatures w14:val="none"/>
        </w:rPr>
        <w:t>Statistik</w:t>
      </w:r>
      <w:proofErr w:type="spellEnd"/>
      <w:r w:rsidRPr="006D0849">
        <w:rPr>
          <w:rFonts w:ascii="Garamond" w:eastAsia="Calibri" w:hAnsi="Garamond" w:cs="Times New Roman"/>
          <w:kern w:val="0"/>
          <w14:ligatures w14:val="none"/>
        </w:rPr>
        <w:t xml:space="preserve">), providing monthly time series data on the Farmer's Terms of Trade (NTP) in Bengkulu Province from January 2021 to December 2023, as well as zakat distribution data obtained from the Bengkulu Provincial Zakat Agency (BAZNAS), the Bengkulu City Zakat Agency, </w:t>
      </w:r>
      <w:proofErr w:type="spellStart"/>
      <w:r w:rsidRPr="006D0849">
        <w:rPr>
          <w:rFonts w:ascii="Garamond" w:eastAsia="Calibri" w:hAnsi="Garamond" w:cs="Times New Roman"/>
          <w:kern w:val="0"/>
          <w14:ligatures w14:val="none"/>
        </w:rPr>
        <w:t>Dompet</w:t>
      </w:r>
      <w:proofErr w:type="spellEnd"/>
      <w:r w:rsidRPr="006D0849">
        <w:rPr>
          <w:rFonts w:ascii="Garamond" w:eastAsia="Calibri" w:hAnsi="Garamond" w:cs="Times New Roman"/>
          <w:kern w:val="0"/>
          <w14:ligatures w14:val="none"/>
        </w:rPr>
        <w:t xml:space="preserve"> </w:t>
      </w:r>
      <w:proofErr w:type="spellStart"/>
      <w:r w:rsidRPr="006D0849">
        <w:rPr>
          <w:rFonts w:ascii="Garamond" w:eastAsia="Calibri" w:hAnsi="Garamond" w:cs="Times New Roman"/>
          <w:kern w:val="0"/>
          <w14:ligatures w14:val="none"/>
        </w:rPr>
        <w:t>Dhuafa</w:t>
      </w:r>
      <w:proofErr w:type="spellEnd"/>
      <w:r w:rsidRPr="006D0849">
        <w:rPr>
          <w:rFonts w:ascii="Garamond" w:eastAsia="Calibri" w:hAnsi="Garamond" w:cs="Times New Roman"/>
          <w:kern w:val="0"/>
          <w14:ligatures w14:val="none"/>
        </w:rPr>
        <w:t xml:space="preserve"> Bengkulu, </w:t>
      </w:r>
      <w:proofErr w:type="spellStart"/>
      <w:r w:rsidRPr="006D0849">
        <w:rPr>
          <w:rFonts w:ascii="Garamond" w:eastAsia="Calibri" w:hAnsi="Garamond" w:cs="Times New Roman"/>
          <w:kern w:val="0"/>
          <w14:ligatures w14:val="none"/>
        </w:rPr>
        <w:t>Inisiatif</w:t>
      </w:r>
      <w:proofErr w:type="spellEnd"/>
      <w:r w:rsidRPr="006D0849">
        <w:rPr>
          <w:rFonts w:ascii="Garamond" w:eastAsia="Calibri" w:hAnsi="Garamond" w:cs="Times New Roman"/>
          <w:kern w:val="0"/>
          <w14:ligatures w14:val="none"/>
        </w:rPr>
        <w:t xml:space="preserve"> Zakat Indonesia (IZI) Bengkulu, and DT </w:t>
      </w:r>
      <w:proofErr w:type="spellStart"/>
      <w:r w:rsidRPr="006D0849">
        <w:rPr>
          <w:rFonts w:ascii="Garamond" w:eastAsia="Calibri" w:hAnsi="Garamond" w:cs="Times New Roman"/>
          <w:kern w:val="0"/>
          <w14:ligatures w14:val="none"/>
        </w:rPr>
        <w:t>Peduli</w:t>
      </w:r>
      <w:proofErr w:type="spellEnd"/>
      <w:r w:rsidRPr="006D0849">
        <w:rPr>
          <w:rFonts w:ascii="Garamond" w:eastAsia="Calibri" w:hAnsi="Garamond" w:cs="Times New Roman"/>
          <w:kern w:val="0"/>
          <w14:ligatures w14:val="none"/>
        </w:rPr>
        <w:t xml:space="preserve"> Bengkulu</w:t>
      </w:r>
      <w:r w:rsidR="00622556" w:rsidRPr="004C3A9F">
        <w:rPr>
          <w:rFonts w:ascii="Garamond" w:eastAsia="Calibri" w:hAnsi="Garamond" w:cs="Times New Roman"/>
          <w:kern w:val="0"/>
          <w14:ligatures w14:val="none"/>
        </w:rPr>
        <w:t>.</w:t>
      </w:r>
    </w:p>
    <w:p w14:paraId="2827DC7F" w14:textId="4B16C48E" w:rsidR="00782075" w:rsidRPr="004C3A9F" w:rsidRDefault="006D0849" w:rsidP="004C3A9F">
      <w:pPr>
        <w:spacing w:after="0" w:line="276" w:lineRule="auto"/>
        <w:ind w:left="284" w:firstLine="850"/>
        <w:contextualSpacing/>
        <w:jc w:val="both"/>
        <w:rPr>
          <w:rFonts w:ascii="Garamond" w:eastAsia="Calibri" w:hAnsi="Garamond" w:cs="Times New Roman"/>
          <w:kern w:val="0"/>
          <w14:ligatures w14:val="none"/>
        </w:rPr>
      </w:pPr>
      <w:r w:rsidRPr="006D0849">
        <w:rPr>
          <w:rFonts w:ascii="Garamond" w:eastAsia="Calibri" w:hAnsi="Garamond" w:cs="Times New Roman"/>
          <w:kern w:val="0"/>
          <w14:ligatures w14:val="none"/>
        </w:rPr>
        <w:t>The data analysis technique used in this study is time series analysis with a forecasting method, specifically the ARIMA Box-Jenkins model. The analysis process is carried out in several stages, including:</w:t>
      </w:r>
      <w:r w:rsidR="00DA63C0">
        <w:rPr>
          <w:rFonts w:ascii="Garamond" w:eastAsia="Calibri" w:hAnsi="Garamond" w:cs="Times New Roman"/>
          <w:kern w:val="0"/>
          <w14:ligatures w14:val="none"/>
        </w:rPr>
        <w:fldChar w:fldCharType="begin" w:fldLock="1"/>
      </w:r>
      <w:r w:rsidR="00DA63C0">
        <w:rPr>
          <w:rFonts w:ascii="Garamond" w:eastAsia="Calibri" w:hAnsi="Garamond" w:cs="Times New Roman"/>
          <w:kern w:val="0"/>
          <w14:ligatures w14:val="none"/>
        </w:rPr>
        <w:instrText>ADDIN CSL_CITATION {"citationItems":[{"id":"ITEM-1","itemData":{"DOI":"10.1088/1742-6596/1503/1/012002","author":[{"dropping-particle":"","family":"Pratiwi","given":"Dinda","non-dropping-particle":"","parse-names":false,"suffix":""},{"dropping-particle":"","family":"Agustini","given":"Sisilia M.U","non-dropping-particle":"","parse-names":false,"suffix":""},{"dropping-particle":"","family":"Windasari","given":"Wiwin","non-dropping-particle":"","parse-names":false,"suffix":""},{"dropping-particle":"","family":"Kencana","given":"Eka N.","non-dropping-particle":"","parse-names":false,"suffix":""}],"container-title":"Journal of Physics","id":"ITEM-1","issued":{"date-parts":[["2020"]]},"title":"Forecasting Farmer Exchange Rate in Bali Province Using Seasonal Autoregressive Integrated Moving Average (SARIMA) Method","type":"article-journal","volume":"1503"},"uris":["http://www.mendeley.com/documents/?uuid=3426ab13-26ad-4b02-bdb3-838ade0e0475"]},{"id":"ITEM-2","itemData":{"ISBN":"978-1-118-67502-1","author":[{"dropping-particle":"","family":"Box","given":"George E. P.","non-dropping-particle":"","parse-names":false,"suffix":""},{"dropping-particle":"","family":"Jenkins","given":"Gwilym M.","non-dropping-particle":"","parse-names":false,"suffix":""},{"dropping-particle":"","family":"Reinsel","given":"Gregory C.","non-dropping-particle":"","parse-names":false,"suffix":""},{"dropping-particle":"","family":"Ljung","given":"Greta M.","non-dropping-particle":"","parse-names":false,"suffix":""}],"id":"ITEM-2","issued":{"date-parts":[["2015"]]},"number-of-pages":"712","publisher":"ohn Wiley and Sons Inc","publisher-place":"New Jersey","title":"Time Series Analysis: Forecasting and Control","type":"book"},"uris":["http://www.mendeley.com/documents/?uuid=d6c80d73-17af-4196-9efd-c91d32c85fe3"]},{"id":"ITEM-3","itemData":{"author":[{"dropping-particle":"","family":"J.Brocwell","given":"Peter","non-dropping-particle":"","parse-names":false,"suffix":""},{"dropping-particle":"","family":"A.Davis","given":"Richard","non-dropping-particle":"","parse-names":false,"suffix":""}],"id":"ITEM-3","issued":{"date-parts":[["2016"]]},"publisher":"Springer","title":"Introduction to Time Series and Forecasting","type":"book"},"uris":["http://www.mendeley.com/documents/?uuid=4622e277-2677-4df7-9514-2e809a655535"]}],"mendeley":{"formattedCitation":"(Box et al., 2015; J.Brocwell &amp; A.Davis, 2016; Pratiwi et al., 2020)","plainTextFormattedCitation":"(Box et al., 2015; J.Brocwell &amp; A.Davis, 2016; Pratiwi et al., 2020)","previouslyFormattedCitation":"(Box et al., 2015; J.Brocwell &amp; A.Davis, 2016; Pratiwi et al., 2020)"},"properties":{"noteIndex":0},"schema":"https://github.com/citation-style-language/schema/raw/master/csl-citation.json"}</w:instrText>
      </w:r>
      <w:r w:rsidR="00DA63C0">
        <w:rPr>
          <w:rFonts w:ascii="Garamond" w:eastAsia="Calibri" w:hAnsi="Garamond" w:cs="Times New Roman"/>
          <w:kern w:val="0"/>
          <w14:ligatures w14:val="none"/>
        </w:rPr>
        <w:fldChar w:fldCharType="separate"/>
      </w:r>
      <w:r w:rsidR="00DA63C0" w:rsidRPr="00DA63C0">
        <w:rPr>
          <w:rFonts w:ascii="Garamond" w:eastAsia="Calibri" w:hAnsi="Garamond" w:cs="Times New Roman"/>
          <w:noProof/>
          <w:kern w:val="0"/>
          <w14:ligatures w14:val="none"/>
        </w:rPr>
        <w:t>(Box et al., 2015; J.Brocwell &amp; A.Davis, 2016; Pratiwi et al., 2020)</w:t>
      </w:r>
      <w:r w:rsidR="00DA63C0">
        <w:rPr>
          <w:rFonts w:ascii="Garamond" w:eastAsia="Calibri" w:hAnsi="Garamond" w:cs="Times New Roman"/>
          <w:kern w:val="0"/>
          <w14:ligatures w14:val="none"/>
        </w:rPr>
        <w:fldChar w:fldCharType="end"/>
      </w:r>
      <w:r w:rsidR="00782075" w:rsidRPr="004C3A9F">
        <w:rPr>
          <w:rFonts w:ascii="Garamond" w:eastAsia="Calibri" w:hAnsi="Garamond" w:cs="Times New Roman"/>
          <w:kern w:val="0"/>
          <w14:ligatures w14:val="none"/>
        </w:rPr>
        <w:t xml:space="preserve">: </w:t>
      </w:r>
      <w:r w:rsidRPr="006D0849">
        <w:rPr>
          <w:rFonts w:ascii="Garamond" w:eastAsia="Calibri" w:hAnsi="Garamond" w:cs="Times New Roman"/>
          <w:kern w:val="0"/>
          <w14:ligatures w14:val="none"/>
        </w:rPr>
        <w:t>(1) Testing the stationarity of the data using seasonal and non-seasonal differencing methods; (2) Identifying the initial model through the Autocorrelation Function (ACF) and Partial Autocorrelation Function (PACF) plots; (3) Selecting the optimal model based on the Akaike Information Criterion (AIC) and Schwarz Bayesian Criterion (SBC); (4) Verifying the model through residual and normality tests; and (5) Forecasting the NTP for future periods using Minitab 16 software. The analysis and forecasting of the Farmer’s Terms of Trade (NTP) in Bengkulu Province for the period of January to December 2024 can be carried out through the following steps</w:t>
      </w:r>
      <w:r w:rsidRPr="006D0849">
        <w:rPr>
          <w:rFonts w:ascii="Garamond" w:eastAsia="Calibri" w:hAnsi="Garamond" w:cs="Times New Roman"/>
          <w:kern w:val="0"/>
          <w14:ligatures w14:val="none"/>
        </w:rPr>
        <w:t xml:space="preserve"> </w:t>
      </w:r>
      <w:r w:rsidR="002259F8">
        <w:rPr>
          <w:rFonts w:ascii="Garamond" w:eastAsia="Calibri" w:hAnsi="Garamond" w:cs="Times New Roman"/>
          <w:kern w:val="0"/>
          <w14:ligatures w14:val="none"/>
        </w:rPr>
        <w:fldChar w:fldCharType="begin" w:fldLock="1"/>
      </w:r>
      <w:r w:rsidR="00DA63C0">
        <w:rPr>
          <w:rFonts w:ascii="Garamond" w:eastAsia="Calibri" w:hAnsi="Garamond" w:cs="Times New Roman"/>
          <w:kern w:val="0"/>
          <w14:ligatures w14:val="none"/>
        </w:rPr>
        <w:instrText>ADDIN CSL_CITATION {"citationItems":[{"id":"ITEM-1","itemData":{"DOI":"10.18052/www.scipress.com/BSMaSS.3.46","author":[{"dropping-particle":"","family":"Etuk","given":"Ette","non-dropping-particle":"","parse-names":false,"suffix":""}],"container-title":"The Bulletin of Society for Mathematical Services and Standards","id":"ITEM-1","issued":{"date-parts":[["2012"]]},"page":"46-53","title":"A Multiplicative Seasonal Arima Model for Nigerian Unemployment Rates","type":"article-journal","volume":"3"},"uris":["http://www.mendeley.com/documents/?uuid=b867fcf4-3ecf-4deb-a85a-3afb196e2589"]}],"mendeley":{"formattedCitation":"(Etuk, 2012)","plainTextFormattedCitation":"(Etuk, 2012)","previouslyFormattedCitation":"(Etuk, 2012)"},"properties":{"noteIndex":0},"schema":"https://github.com/citation-style-language/schema/raw/master/csl-citation.json"}</w:instrText>
      </w:r>
      <w:r w:rsidR="002259F8">
        <w:rPr>
          <w:rFonts w:ascii="Garamond" w:eastAsia="Calibri" w:hAnsi="Garamond" w:cs="Times New Roman"/>
          <w:kern w:val="0"/>
          <w14:ligatures w14:val="none"/>
        </w:rPr>
        <w:fldChar w:fldCharType="separate"/>
      </w:r>
      <w:r w:rsidR="002259F8" w:rsidRPr="002259F8">
        <w:rPr>
          <w:rFonts w:ascii="Garamond" w:eastAsia="Calibri" w:hAnsi="Garamond" w:cs="Times New Roman"/>
          <w:noProof/>
          <w:kern w:val="0"/>
          <w14:ligatures w14:val="none"/>
        </w:rPr>
        <w:t>(Etuk, 2012)</w:t>
      </w:r>
      <w:r w:rsidR="002259F8">
        <w:rPr>
          <w:rFonts w:ascii="Garamond" w:eastAsia="Calibri" w:hAnsi="Garamond" w:cs="Times New Roman"/>
          <w:kern w:val="0"/>
          <w14:ligatures w14:val="none"/>
        </w:rPr>
        <w:fldChar w:fldCharType="end"/>
      </w:r>
      <w:r w:rsidR="007479FA" w:rsidRPr="004C3A9F">
        <w:rPr>
          <w:rFonts w:ascii="Garamond" w:eastAsia="Calibri" w:hAnsi="Garamond" w:cs="Times New Roman"/>
          <w:kern w:val="0"/>
          <w14:ligatures w14:val="none"/>
        </w:rPr>
        <w:t xml:space="preserve">: </w:t>
      </w:r>
    </w:p>
    <w:p w14:paraId="53AED8AC" w14:textId="70C4E0FE" w:rsidR="007479FA" w:rsidRPr="004C3A9F" w:rsidRDefault="006D0849" w:rsidP="004C3A9F">
      <w:pPr>
        <w:pStyle w:val="ListParagraph"/>
        <w:numPr>
          <w:ilvl w:val="0"/>
          <w:numId w:val="35"/>
        </w:numPr>
        <w:spacing w:after="0" w:line="276" w:lineRule="auto"/>
        <w:ind w:left="567" w:hanging="283"/>
        <w:jc w:val="both"/>
        <w:rPr>
          <w:rFonts w:ascii="Garamond" w:eastAsia="Calibri" w:hAnsi="Garamond" w:cs="Times New Roman"/>
          <w:kern w:val="0"/>
          <w14:ligatures w14:val="none"/>
        </w:rPr>
      </w:pPr>
      <w:r w:rsidRPr="006D0849">
        <w:rPr>
          <w:rFonts w:ascii="Garamond" w:eastAsiaTheme="majorEastAsia" w:hAnsi="Garamond"/>
        </w:rPr>
        <w:t>Testing Data Stationarity using time series plots and the Augmented Dickey-Fuller (ADF) test to assess whether the data is stationary. If not, differencing is applied</w:t>
      </w:r>
      <w:r>
        <w:rPr>
          <w:rFonts w:ascii="Garamond" w:eastAsiaTheme="majorEastAsia" w:hAnsi="Garamond"/>
        </w:rPr>
        <w:t xml:space="preserve"> </w:t>
      </w:r>
      <w:r w:rsidR="007479FA" w:rsidRPr="004C3A9F">
        <w:rPr>
          <w:rFonts w:ascii="Garamond" w:hAnsi="Garamond"/>
        </w:rPr>
        <w:t>(</w:t>
      </w:r>
      <w:r w:rsidR="007479FA" w:rsidRPr="004C3A9F">
        <w:rPr>
          <w:rFonts w:ascii="Cambria Math" w:hAnsi="Cambria Math" w:cs="Cambria Math"/>
        </w:rPr>
        <w:t>∇</w:t>
      </w:r>
      <w:r w:rsidR="007479FA" w:rsidRPr="004C3A9F">
        <w:rPr>
          <w:rFonts w:ascii="Garamond" w:hAnsi="Garamond"/>
        </w:rPr>
        <w:t xml:space="preserve">d </w:t>
      </w:r>
      <w:r>
        <w:rPr>
          <w:rFonts w:ascii="Garamond" w:hAnsi="Garamond"/>
        </w:rPr>
        <w:t>or</w:t>
      </w:r>
      <w:r w:rsidR="007479FA" w:rsidRPr="004C3A9F">
        <w:rPr>
          <w:rFonts w:ascii="Garamond" w:hAnsi="Garamond"/>
        </w:rPr>
        <w:t xml:space="preserve"> </w:t>
      </w:r>
      <w:r w:rsidR="007479FA" w:rsidRPr="004C3A9F">
        <w:rPr>
          <w:rFonts w:ascii="Cambria Math" w:hAnsi="Cambria Math" w:cs="Cambria Math"/>
        </w:rPr>
        <w:t>∇</w:t>
      </w:r>
      <w:r w:rsidR="007479FA" w:rsidRPr="004C3A9F">
        <w:rPr>
          <w:rFonts w:ascii="Garamond" w:hAnsi="Garamond"/>
        </w:rPr>
        <w:t>D</w:t>
      </w:r>
      <w:r w:rsidR="007479FA" w:rsidRPr="004C3A9F">
        <w:rPr>
          <w:rFonts w:ascii="Cambria Math" w:hAnsi="Cambria Math" w:cs="Cambria Math"/>
        </w:rPr>
        <w:t>ₛ</w:t>
      </w:r>
      <w:r w:rsidR="007479FA" w:rsidRPr="004C3A9F">
        <w:rPr>
          <w:rFonts w:ascii="Garamond" w:hAnsi="Garamond"/>
        </w:rPr>
        <w:t>).</w:t>
      </w:r>
    </w:p>
    <w:p w14:paraId="304A39FE" w14:textId="25F51D49" w:rsidR="007479FA" w:rsidRPr="004C3A9F" w:rsidRDefault="006E675B" w:rsidP="004C3A9F">
      <w:pPr>
        <w:pStyle w:val="ListParagraph"/>
        <w:numPr>
          <w:ilvl w:val="0"/>
          <w:numId w:val="35"/>
        </w:numPr>
        <w:spacing w:after="0" w:line="276" w:lineRule="auto"/>
        <w:ind w:left="567" w:hanging="283"/>
        <w:jc w:val="both"/>
        <w:rPr>
          <w:rFonts w:ascii="Garamond" w:eastAsia="Calibri" w:hAnsi="Garamond" w:cs="Times New Roman"/>
          <w:kern w:val="0"/>
          <w14:ligatures w14:val="none"/>
        </w:rPr>
      </w:pPr>
      <w:r w:rsidRPr="006E675B">
        <w:rPr>
          <w:rFonts w:ascii="Garamond" w:eastAsiaTheme="majorEastAsia" w:hAnsi="Garamond"/>
        </w:rPr>
        <w:t>Identifying the appropriate model using ACF and PACF plots to determine the parameter values of p, d, q (non-seasonal) and P, D, Q, s (seasonal</w:t>
      </w:r>
      <w:r>
        <w:rPr>
          <w:rFonts w:ascii="Garamond" w:eastAsiaTheme="majorEastAsia" w:hAnsi="Garamond"/>
        </w:rPr>
        <w:t>)</w:t>
      </w:r>
      <w:r w:rsidR="007479FA" w:rsidRPr="004C3A9F">
        <w:rPr>
          <w:rFonts w:ascii="Garamond" w:hAnsi="Garamond"/>
        </w:rPr>
        <w:t>.</w:t>
      </w:r>
    </w:p>
    <w:p w14:paraId="7C60B640" w14:textId="4DDF9FE5" w:rsidR="007479FA" w:rsidRPr="004C3A9F" w:rsidRDefault="006E675B" w:rsidP="004C3A9F">
      <w:pPr>
        <w:pStyle w:val="ListParagraph"/>
        <w:numPr>
          <w:ilvl w:val="0"/>
          <w:numId w:val="35"/>
        </w:numPr>
        <w:spacing w:after="0" w:line="276" w:lineRule="auto"/>
        <w:ind w:left="567" w:hanging="283"/>
        <w:jc w:val="both"/>
        <w:rPr>
          <w:rFonts w:ascii="Garamond" w:eastAsia="Calibri" w:hAnsi="Garamond" w:cs="Times New Roman"/>
          <w:kern w:val="0"/>
          <w14:ligatures w14:val="none"/>
        </w:rPr>
      </w:pPr>
      <w:r w:rsidRPr="006E675B">
        <w:rPr>
          <w:rFonts w:ascii="Garamond" w:eastAsiaTheme="majorEastAsia" w:hAnsi="Garamond"/>
        </w:rPr>
        <w:t>Selecting the Best Model based on the Akaike Information Criterion (AIC) and the Schwarz Information Criterion (SIC). The model with the lowest AIC and SIC values is selected as the optimal model</w:t>
      </w:r>
      <w:r w:rsidR="007479FA" w:rsidRPr="004C3A9F">
        <w:rPr>
          <w:rFonts w:ascii="Garamond" w:hAnsi="Garamond"/>
        </w:rPr>
        <w:t>.</w:t>
      </w:r>
    </w:p>
    <w:p w14:paraId="6869FE9B" w14:textId="245B5EA9" w:rsidR="007479FA" w:rsidRPr="004C3A9F" w:rsidRDefault="006E675B" w:rsidP="004C3A9F">
      <w:pPr>
        <w:pStyle w:val="ListParagraph"/>
        <w:numPr>
          <w:ilvl w:val="0"/>
          <w:numId w:val="35"/>
        </w:numPr>
        <w:spacing w:after="0" w:line="276" w:lineRule="auto"/>
        <w:ind w:left="567" w:hanging="283"/>
        <w:jc w:val="both"/>
        <w:rPr>
          <w:rFonts w:ascii="Garamond" w:eastAsia="Calibri" w:hAnsi="Garamond" w:cs="Times New Roman"/>
          <w:kern w:val="0"/>
          <w14:ligatures w14:val="none"/>
        </w:rPr>
      </w:pPr>
      <w:r w:rsidRPr="006E675B">
        <w:rPr>
          <w:rFonts w:ascii="Garamond" w:eastAsiaTheme="majorEastAsia" w:hAnsi="Garamond"/>
        </w:rPr>
        <w:t>Verifying the Model through residual tests, including normality test, autocorrelation test, and heteroscedasticity test</w:t>
      </w:r>
      <w:r w:rsidR="007479FA" w:rsidRPr="004C3A9F">
        <w:rPr>
          <w:rFonts w:ascii="Garamond" w:hAnsi="Garamond"/>
        </w:rPr>
        <w:t>.</w:t>
      </w:r>
    </w:p>
    <w:p w14:paraId="2CDFE6EE" w14:textId="54FFBD5E" w:rsidR="007479FA" w:rsidRPr="00DA63C0" w:rsidRDefault="006E675B" w:rsidP="004C3A9F">
      <w:pPr>
        <w:pStyle w:val="ListParagraph"/>
        <w:numPr>
          <w:ilvl w:val="0"/>
          <w:numId w:val="35"/>
        </w:numPr>
        <w:spacing w:after="0" w:line="276" w:lineRule="auto"/>
        <w:ind w:left="567" w:hanging="283"/>
        <w:jc w:val="both"/>
        <w:rPr>
          <w:rFonts w:ascii="Garamond" w:eastAsia="Calibri" w:hAnsi="Garamond" w:cs="Times New Roman"/>
          <w:kern w:val="0"/>
          <w14:ligatures w14:val="none"/>
        </w:rPr>
      </w:pPr>
      <w:r w:rsidRPr="006E675B">
        <w:rPr>
          <w:rFonts w:ascii="Garamond" w:eastAsiaTheme="majorEastAsia" w:hAnsi="Garamond"/>
        </w:rPr>
        <w:t>Applying the best-fit model to forecast the Farmer’s Terms of Trade (NTP) in Bengkulu Province for the period of January to December 2024 using Minitab 16 software</w:t>
      </w:r>
      <w:r w:rsidR="007479FA" w:rsidRPr="004C3A9F">
        <w:rPr>
          <w:rFonts w:ascii="Garamond" w:hAnsi="Garamond"/>
        </w:rPr>
        <w:t>.</w:t>
      </w:r>
    </w:p>
    <w:p w14:paraId="19530CF6" w14:textId="0C17047B" w:rsidR="00DA63C0" w:rsidRPr="00514BFE" w:rsidRDefault="006E675B" w:rsidP="00514BFE">
      <w:pPr>
        <w:spacing w:after="0" w:line="276" w:lineRule="auto"/>
        <w:ind w:left="284" w:firstLine="850"/>
        <w:contextualSpacing/>
        <w:jc w:val="both"/>
        <w:rPr>
          <w:rFonts w:ascii="Garamond" w:eastAsia="Times New Roman" w:hAnsi="Garamond" w:cs="Times New Roman"/>
          <w:i/>
          <w:iCs/>
          <w:lang w:val="id-ID"/>
        </w:rPr>
      </w:pPr>
      <w:r w:rsidRPr="006E675B">
        <w:rPr>
          <w:rFonts w:ascii="Garamond" w:eastAsia="Calibri" w:hAnsi="Garamond" w:cs="Times New Roman"/>
          <w:kern w:val="0"/>
          <w14:ligatures w14:val="none"/>
        </w:rPr>
        <w:t xml:space="preserve">Meanwhile, the qualitative approach is carried out by </w:t>
      </w:r>
      <w:proofErr w:type="spellStart"/>
      <w:r w:rsidRPr="006E675B">
        <w:rPr>
          <w:rFonts w:ascii="Garamond" w:eastAsia="Calibri" w:hAnsi="Garamond" w:cs="Times New Roman"/>
          <w:kern w:val="0"/>
          <w14:ligatures w14:val="none"/>
        </w:rPr>
        <w:t>analyzing</w:t>
      </w:r>
      <w:proofErr w:type="spellEnd"/>
      <w:r w:rsidRPr="006E675B">
        <w:rPr>
          <w:rFonts w:ascii="Garamond" w:eastAsia="Calibri" w:hAnsi="Garamond" w:cs="Times New Roman"/>
          <w:kern w:val="0"/>
          <w14:ligatures w14:val="none"/>
        </w:rPr>
        <w:t xml:space="preserve"> farmer welfare based on zakat-based social group classifications, through a zakat perspective that categorizes individuals into wealthy groups, middle-income groups, and</w:t>
      </w:r>
      <w:r w:rsidRPr="006E675B">
        <w:rPr>
          <w:rFonts w:ascii="Garamond" w:eastAsia="Calibri" w:hAnsi="Garamond" w:cs="Times New Roman"/>
          <w:i/>
          <w:iCs/>
          <w:kern w:val="0"/>
          <w:lang w:val="id-ID"/>
          <w14:ligatures w14:val="none"/>
        </w:rPr>
        <w:t xml:space="preserve"> </w:t>
      </w:r>
      <w:r w:rsidR="00DA63C0" w:rsidRPr="004C3A9F">
        <w:rPr>
          <w:rFonts w:ascii="Garamond" w:eastAsia="Times New Roman" w:hAnsi="Garamond" w:cs="Times New Roman"/>
          <w:i/>
          <w:iCs/>
          <w:lang w:val="id-ID"/>
        </w:rPr>
        <w:t>Ashnaf Tsamaniyah</w:t>
      </w:r>
      <w:r w:rsidR="00DA63C0">
        <w:rPr>
          <w:rFonts w:ascii="Garamond" w:eastAsia="Times New Roman" w:hAnsi="Garamond" w:cs="Times New Roman"/>
          <w:i/>
          <w:iCs/>
          <w:lang w:val="id-ID"/>
        </w:rPr>
        <w:fldChar w:fldCharType="begin" w:fldLock="1"/>
      </w:r>
      <w:r w:rsidR="00A0496C">
        <w:rPr>
          <w:rFonts w:ascii="Garamond" w:eastAsia="Times New Roman" w:hAnsi="Garamond" w:cs="Times New Roman"/>
          <w:i/>
          <w:iCs/>
          <w:lang w:val="id-ID"/>
        </w:rPr>
        <w:instrText>ADDIN CSL_CITATION {"citationItems":[{"id":"ITEM-1","itemData":{"author":[{"dropping-particle":"","family":"Sodiq","given":"Amirus","non-dropping-particle":"","parse-names":false,"suffix":""}],"container-title":"Equilibrium","id":"ITEM-1","issue":"2","issued":{"date-parts":[["2015"]]},"page":"383","title":"Konsep Kesejahteraan dalam Islam","type":"article-journal","volume":"3"},"uris":["http://www.mendeley.com/documents/?uuid=56ffc9a7-943a-415d-b671-8aee762cd580"]}],"mendeley":{"formattedCitation":"(Sodiq, 2015)","plainTextFormattedCitation":"(Sodiq, 2015)","previouslyFormattedCitation":"(Sodiq, 2015)"},"properties":{"noteIndex":0},"schema":"https://github.com/citation-style-language/schema/raw/master/csl-citation.json"}</w:instrText>
      </w:r>
      <w:r w:rsidR="00DA63C0">
        <w:rPr>
          <w:rFonts w:ascii="Garamond" w:eastAsia="Times New Roman" w:hAnsi="Garamond" w:cs="Times New Roman"/>
          <w:i/>
          <w:iCs/>
          <w:lang w:val="id-ID"/>
        </w:rPr>
        <w:fldChar w:fldCharType="separate"/>
      </w:r>
      <w:r w:rsidR="00DA63C0" w:rsidRPr="00DA63C0">
        <w:rPr>
          <w:rFonts w:ascii="Garamond" w:eastAsia="Times New Roman" w:hAnsi="Garamond" w:cs="Times New Roman"/>
          <w:iCs/>
          <w:noProof/>
          <w:lang w:val="id-ID"/>
        </w:rPr>
        <w:t>(Sodiq, 2015)</w:t>
      </w:r>
      <w:r w:rsidR="00DA63C0">
        <w:rPr>
          <w:rFonts w:ascii="Garamond" w:eastAsia="Times New Roman" w:hAnsi="Garamond" w:cs="Times New Roman"/>
          <w:i/>
          <w:iCs/>
          <w:lang w:val="id-ID"/>
        </w:rPr>
        <w:fldChar w:fldCharType="end"/>
      </w:r>
      <w:r w:rsidR="00DA63C0">
        <w:rPr>
          <w:rFonts w:ascii="Garamond" w:eastAsia="Times New Roman" w:hAnsi="Garamond" w:cs="Times New Roman"/>
          <w:i/>
          <w:iCs/>
          <w:lang w:val="id-ID"/>
        </w:rPr>
        <w:t>.</w:t>
      </w:r>
    </w:p>
    <w:p w14:paraId="40BB4B7A" w14:textId="5C1E8F07" w:rsidR="000E2F8F" w:rsidRPr="007C68CD" w:rsidRDefault="000E2F8F" w:rsidP="004C3A9F">
      <w:pPr>
        <w:pStyle w:val="ListParagraph"/>
        <w:numPr>
          <w:ilvl w:val="0"/>
          <w:numId w:val="1"/>
        </w:numPr>
        <w:spacing w:after="0" w:line="276" w:lineRule="auto"/>
        <w:ind w:left="284" w:hanging="284"/>
        <w:rPr>
          <w:rFonts w:ascii="Garamond" w:hAnsi="Garamond" w:cs="Times New Roman"/>
          <w:b/>
          <w:bCs/>
        </w:rPr>
      </w:pPr>
      <w:r w:rsidRPr="007C68CD">
        <w:rPr>
          <w:rFonts w:ascii="Garamond" w:hAnsi="Garamond" w:cs="Times New Roman"/>
          <w:b/>
          <w:bCs/>
        </w:rPr>
        <w:t xml:space="preserve">Result and Discussion </w:t>
      </w:r>
    </w:p>
    <w:p w14:paraId="5CD9CCFC" w14:textId="7146C77B" w:rsidR="00DB3E3B" w:rsidRPr="007C68CD" w:rsidRDefault="00DB3E3B" w:rsidP="0005042D">
      <w:pPr>
        <w:pStyle w:val="Normal1"/>
        <w:numPr>
          <w:ilvl w:val="1"/>
          <w:numId w:val="3"/>
        </w:numPr>
        <w:pBdr>
          <w:top w:val="nil"/>
          <w:left w:val="nil"/>
          <w:bottom w:val="nil"/>
          <w:right w:val="nil"/>
          <w:between w:val="nil"/>
        </w:pBdr>
        <w:spacing w:after="0" w:line="360" w:lineRule="auto"/>
        <w:ind w:left="567" w:hanging="284"/>
        <w:jc w:val="both"/>
        <w:rPr>
          <w:rFonts w:ascii="Garamond" w:eastAsia="Times New Roman" w:hAnsi="Garamond" w:cs="Times New Roman"/>
          <w:b/>
          <w:sz w:val="24"/>
          <w:szCs w:val="24"/>
        </w:rPr>
      </w:pPr>
      <w:r w:rsidRPr="007C68CD">
        <w:rPr>
          <w:rFonts w:ascii="Garamond" w:eastAsia="Times New Roman" w:hAnsi="Garamond" w:cs="Times New Roman"/>
          <w:b/>
          <w:sz w:val="24"/>
          <w:szCs w:val="24"/>
        </w:rPr>
        <w:t>Data</w:t>
      </w:r>
      <w:r w:rsidR="006E675B">
        <w:rPr>
          <w:rFonts w:ascii="Garamond" w:eastAsia="Times New Roman" w:hAnsi="Garamond" w:cs="Times New Roman"/>
          <w:b/>
          <w:sz w:val="24"/>
          <w:szCs w:val="24"/>
        </w:rPr>
        <w:t xml:space="preserve"> Description</w:t>
      </w:r>
      <w:r w:rsidRPr="007C68CD">
        <w:rPr>
          <w:rFonts w:ascii="Garamond" w:eastAsia="Times New Roman" w:hAnsi="Garamond" w:cs="Times New Roman"/>
          <w:b/>
          <w:sz w:val="24"/>
          <w:szCs w:val="24"/>
        </w:rPr>
        <w:t xml:space="preserve"> </w:t>
      </w:r>
    </w:p>
    <w:p w14:paraId="2A99BE1C" w14:textId="6A705F46" w:rsidR="00DB3E3B" w:rsidRPr="007C68CD" w:rsidRDefault="006E675B" w:rsidP="0005042D">
      <w:pPr>
        <w:pStyle w:val="Normal1"/>
        <w:pBdr>
          <w:top w:val="nil"/>
          <w:left w:val="nil"/>
          <w:bottom w:val="nil"/>
          <w:right w:val="nil"/>
          <w:between w:val="nil"/>
        </w:pBdr>
        <w:spacing w:after="0"/>
        <w:ind w:left="567" w:firstLine="567"/>
        <w:jc w:val="both"/>
        <w:rPr>
          <w:rFonts w:ascii="Garamond" w:eastAsia="Times New Roman" w:hAnsi="Garamond" w:cs="Times New Roman"/>
          <w:sz w:val="24"/>
          <w:szCs w:val="24"/>
        </w:rPr>
      </w:pPr>
      <w:r w:rsidRPr="006E675B">
        <w:rPr>
          <w:rFonts w:ascii="Garamond" w:eastAsia="Times New Roman" w:hAnsi="Garamond" w:cs="Times New Roman"/>
          <w:sz w:val="24"/>
          <w:szCs w:val="24"/>
          <w:lang w:val="en-ID"/>
        </w:rPr>
        <w:t xml:space="preserve">This study uses time series data on the Farmer’s Terms of Trade (NTP) in Bengkulu Province for the period from January 2021 to December 2023. The data is compiled monthly over three consecutive years and </w:t>
      </w:r>
      <w:proofErr w:type="spellStart"/>
      <w:r w:rsidRPr="006E675B">
        <w:rPr>
          <w:rFonts w:ascii="Garamond" w:eastAsia="Times New Roman" w:hAnsi="Garamond" w:cs="Times New Roman"/>
          <w:sz w:val="24"/>
          <w:szCs w:val="24"/>
          <w:lang w:val="en-ID"/>
        </w:rPr>
        <w:t>analyzed</w:t>
      </w:r>
      <w:proofErr w:type="spellEnd"/>
      <w:r w:rsidRPr="006E675B">
        <w:rPr>
          <w:rFonts w:ascii="Garamond" w:eastAsia="Times New Roman" w:hAnsi="Garamond" w:cs="Times New Roman"/>
          <w:sz w:val="24"/>
          <w:szCs w:val="24"/>
          <w:lang w:val="en-ID"/>
        </w:rPr>
        <w:t xml:space="preserve"> to identify seasonal patterns and trends in farmer welfare. The data shows considerable fluctuations in NTP values. The highest NTP was recorded in December 2023 at 158.41, while the lowest occurred in July 2022 at 110.43. The average NTP during this period was 137.95. This dataset serves as the basis for time series </w:t>
      </w:r>
      <w:proofErr w:type="spellStart"/>
      <w:r w:rsidRPr="006E675B">
        <w:rPr>
          <w:rFonts w:ascii="Garamond" w:eastAsia="Times New Roman" w:hAnsi="Garamond" w:cs="Times New Roman"/>
          <w:sz w:val="24"/>
          <w:szCs w:val="24"/>
          <w:lang w:val="en-ID"/>
        </w:rPr>
        <w:t>modeling</w:t>
      </w:r>
      <w:proofErr w:type="spellEnd"/>
      <w:r w:rsidRPr="006E675B">
        <w:rPr>
          <w:rFonts w:ascii="Garamond" w:eastAsia="Times New Roman" w:hAnsi="Garamond" w:cs="Times New Roman"/>
          <w:sz w:val="24"/>
          <w:szCs w:val="24"/>
          <w:lang w:val="en-ID"/>
        </w:rPr>
        <w:t xml:space="preserve"> to forecast NTP for the year 2024</w:t>
      </w:r>
      <w:r w:rsidR="007C68CD" w:rsidRPr="007C68CD">
        <w:rPr>
          <w:rFonts w:ascii="Garamond" w:eastAsia="Times New Roman" w:hAnsi="Garamond" w:cs="Times New Roman"/>
          <w:sz w:val="24"/>
          <w:szCs w:val="24"/>
          <w:lang w:val="en-ID"/>
        </w:rPr>
        <w:t>.</w:t>
      </w:r>
    </w:p>
    <w:p w14:paraId="299641B8" w14:textId="4C2B6B5E" w:rsidR="00DB3E3B" w:rsidRPr="007C68CD" w:rsidRDefault="00DB3E3B" w:rsidP="00DB3E3B">
      <w:pPr>
        <w:pStyle w:val="Normal1"/>
        <w:pBdr>
          <w:top w:val="nil"/>
          <w:left w:val="nil"/>
          <w:bottom w:val="nil"/>
          <w:right w:val="nil"/>
          <w:between w:val="nil"/>
        </w:pBdr>
        <w:spacing w:after="0" w:line="240" w:lineRule="auto"/>
        <w:jc w:val="center"/>
        <w:rPr>
          <w:rFonts w:ascii="Garamond" w:eastAsia="Times New Roman" w:hAnsi="Garamond" w:cs="Times New Roman"/>
          <w:b/>
          <w:sz w:val="24"/>
          <w:szCs w:val="24"/>
        </w:rPr>
      </w:pPr>
      <w:r w:rsidRPr="007C68CD">
        <w:rPr>
          <w:rFonts w:ascii="Garamond" w:eastAsia="Times New Roman" w:hAnsi="Garamond" w:cs="Times New Roman"/>
          <w:b/>
          <w:sz w:val="24"/>
          <w:szCs w:val="24"/>
        </w:rPr>
        <w:t xml:space="preserve">Tabel 1. </w:t>
      </w:r>
      <w:r w:rsidR="006E675B" w:rsidRPr="006E675B">
        <w:rPr>
          <w:rFonts w:ascii="Garamond" w:eastAsia="Times New Roman" w:hAnsi="Garamond" w:cs="Times New Roman"/>
          <w:b/>
          <w:sz w:val="24"/>
          <w:szCs w:val="24"/>
          <w:lang w:val="en-ID"/>
        </w:rPr>
        <w:t>Farmer’s Terms of Trade (NTP) Data of Bengkulu Province</w:t>
      </w:r>
      <w:r w:rsidR="006E675B" w:rsidRPr="006E675B">
        <w:rPr>
          <w:rFonts w:ascii="Garamond" w:eastAsia="Times New Roman" w:hAnsi="Garamond" w:cs="Times New Roman"/>
          <w:b/>
          <w:sz w:val="24"/>
          <w:szCs w:val="24"/>
          <w:lang w:val="en-ID"/>
        </w:rPr>
        <w:br/>
        <w:t>Period: January 2021 – December 2023</w:t>
      </w:r>
    </w:p>
    <w:tbl>
      <w:tblPr>
        <w:tblW w:w="5820" w:type="dxa"/>
        <w:tblInd w:w="1392" w:type="dxa"/>
        <w:tblBorders>
          <w:top w:val="single" w:sz="4" w:space="0" w:color="auto"/>
          <w:bottom w:val="single" w:sz="4" w:space="0" w:color="auto"/>
          <w:insideH w:val="single" w:sz="4" w:space="0" w:color="auto"/>
        </w:tblBorders>
        <w:tblLook w:val="04A0" w:firstRow="1" w:lastRow="0" w:firstColumn="1" w:lastColumn="0" w:noHBand="0" w:noVBand="1"/>
      </w:tblPr>
      <w:tblGrid>
        <w:gridCol w:w="2780"/>
        <w:gridCol w:w="1014"/>
        <w:gridCol w:w="1013"/>
        <w:gridCol w:w="1013"/>
      </w:tblGrid>
      <w:tr w:rsidR="00DB3E3B" w:rsidRPr="007C68CD" w14:paraId="2745C0C4" w14:textId="77777777" w:rsidTr="00872ABB">
        <w:trPr>
          <w:trHeight w:val="315"/>
        </w:trPr>
        <w:tc>
          <w:tcPr>
            <w:tcW w:w="2780" w:type="dxa"/>
            <w:vMerge w:val="restart"/>
            <w:shd w:val="clear" w:color="auto" w:fill="auto"/>
            <w:noWrap/>
            <w:vAlign w:val="center"/>
            <w:hideMark/>
          </w:tcPr>
          <w:p w14:paraId="0463EF50" w14:textId="07579695" w:rsidR="00DB3E3B" w:rsidRPr="00872ABB" w:rsidRDefault="006E675B" w:rsidP="0076345D">
            <w:pPr>
              <w:spacing w:after="0" w:line="240" w:lineRule="auto"/>
              <w:jc w:val="center"/>
              <w:rPr>
                <w:rFonts w:ascii="Garamond" w:eastAsia="Times New Roman" w:hAnsi="Garamond" w:cs="Times New Roman"/>
                <w:b/>
                <w:bCs/>
                <w:color w:val="000000"/>
              </w:rPr>
            </w:pPr>
            <w:r>
              <w:rPr>
                <w:rFonts w:ascii="Garamond" w:eastAsia="Times New Roman" w:hAnsi="Garamond" w:cs="Times New Roman"/>
                <w:b/>
                <w:bCs/>
                <w:color w:val="000000"/>
              </w:rPr>
              <w:t>Month</w:t>
            </w:r>
          </w:p>
        </w:tc>
        <w:tc>
          <w:tcPr>
            <w:tcW w:w="3040" w:type="dxa"/>
            <w:gridSpan w:val="3"/>
            <w:shd w:val="clear" w:color="auto" w:fill="auto"/>
            <w:noWrap/>
            <w:vAlign w:val="bottom"/>
            <w:hideMark/>
          </w:tcPr>
          <w:p w14:paraId="08E07DC6" w14:textId="625EF32E" w:rsidR="00DB3E3B" w:rsidRPr="00872ABB" w:rsidRDefault="006E675B" w:rsidP="0076345D">
            <w:pPr>
              <w:spacing w:after="0" w:line="240" w:lineRule="auto"/>
              <w:jc w:val="center"/>
              <w:rPr>
                <w:rFonts w:ascii="Garamond" w:eastAsia="Times New Roman" w:hAnsi="Garamond" w:cs="Times New Roman"/>
                <w:b/>
                <w:bCs/>
                <w:color w:val="000000"/>
              </w:rPr>
            </w:pPr>
            <w:r>
              <w:rPr>
                <w:rFonts w:ascii="Garamond" w:eastAsia="Times New Roman" w:hAnsi="Garamond" w:cs="Times New Roman"/>
                <w:b/>
                <w:bCs/>
                <w:color w:val="000000"/>
              </w:rPr>
              <w:t>Year</w:t>
            </w:r>
            <w:r w:rsidR="00DB3E3B" w:rsidRPr="00872ABB">
              <w:rPr>
                <w:rFonts w:ascii="Garamond" w:eastAsia="Times New Roman" w:hAnsi="Garamond" w:cs="Times New Roman"/>
                <w:b/>
                <w:bCs/>
                <w:color w:val="000000"/>
              </w:rPr>
              <w:t xml:space="preserve"> </w:t>
            </w:r>
          </w:p>
        </w:tc>
      </w:tr>
      <w:tr w:rsidR="00DB3E3B" w:rsidRPr="007C68CD" w14:paraId="3E1434D4" w14:textId="77777777" w:rsidTr="00872ABB">
        <w:trPr>
          <w:trHeight w:val="315"/>
        </w:trPr>
        <w:tc>
          <w:tcPr>
            <w:tcW w:w="2780" w:type="dxa"/>
            <w:vMerge/>
            <w:vAlign w:val="center"/>
            <w:hideMark/>
          </w:tcPr>
          <w:p w14:paraId="3A00DCA5" w14:textId="77777777" w:rsidR="00DB3E3B" w:rsidRPr="00872ABB" w:rsidRDefault="00DB3E3B" w:rsidP="0076345D">
            <w:pPr>
              <w:spacing w:after="0" w:line="240" w:lineRule="auto"/>
              <w:rPr>
                <w:rFonts w:ascii="Garamond" w:eastAsia="Times New Roman" w:hAnsi="Garamond" w:cs="Times New Roman"/>
                <w:b/>
                <w:bCs/>
                <w:color w:val="000000"/>
              </w:rPr>
            </w:pPr>
          </w:p>
        </w:tc>
        <w:tc>
          <w:tcPr>
            <w:tcW w:w="1014" w:type="dxa"/>
            <w:shd w:val="clear" w:color="auto" w:fill="auto"/>
            <w:noWrap/>
            <w:vAlign w:val="bottom"/>
            <w:hideMark/>
          </w:tcPr>
          <w:p w14:paraId="4E1D7DAF" w14:textId="77777777" w:rsidR="00DB3E3B" w:rsidRPr="00872ABB" w:rsidRDefault="00DB3E3B" w:rsidP="0076345D">
            <w:pPr>
              <w:spacing w:after="0" w:line="240" w:lineRule="auto"/>
              <w:jc w:val="center"/>
              <w:rPr>
                <w:rFonts w:ascii="Garamond" w:eastAsia="Times New Roman" w:hAnsi="Garamond" w:cs="Times New Roman"/>
                <w:b/>
                <w:bCs/>
                <w:color w:val="000000"/>
              </w:rPr>
            </w:pPr>
            <w:r w:rsidRPr="00872ABB">
              <w:rPr>
                <w:rFonts w:ascii="Garamond" w:eastAsia="Times New Roman" w:hAnsi="Garamond" w:cs="Times New Roman"/>
                <w:b/>
                <w:bCs/>
                <w:color w:val="000000"/>
              </w:rPr>
              <w:t>2021</w:t>
            </w:r>
          </w:p>
        </w:tc>
        <w:tc>
          <w:tcPr>
            <w:tcW w:w="1013" w:type="dxa"/>
            <w:shd w:val="clear" w:color="auto" w:fill="auto"/>
            <w:noWrap/>
            <w:vAlign w:val="bottom"/>
            <w:hideMark/>
          </w:tcPr>
          <w:p w14:paraId="5C6B70F3" w14:textId="77777777" w:rsidR="00DB3E3B" w:rsidRPr="00872ABB" w:rsidRDefault="00DB3E3B" w:rsidP="0076345D">
            <w:pPr>
              <w:spacing w:after="0" w:line="240" w:lineRule="auto"/>
              <w:jc w:val="center"/>
              <w:rPr>
                <w:rFonts w:ascii="Garamond" w:eastAsia="Times New Roman" w:hAnsi="Garamond" w:cs="Times New Roman"/>
                <w:b/>
                <w:bCs/>
                <w:color w:val="000000"/>
              </w:rPr>
            </w:pPr>
            <w:r w:rsidRPr="00872ABB">
              <w:rPr>
                <w:rFonts w:ascii="Garamond" w:eastAsia="Times New Roman" w:hAnsi="Garamond" w:cs="Times New Roman"/>
                <w:b/>
                <w:bCs/>
                <w:color w:val="000000"/>
              </w:rPr>
              <w:t>2022</w:t>
            </w:r>
          </w:p>
        </w:tc>
        <w:tc>
          <w:tcPr>
            <w:tcW w:w="1013" w:type="dxa"/>
            <w:shd w:val="clear" w:color="auto" w:fill="auto"/>
            <w:noWrap/>
            <w:vAlign w:val="bottom"/>
            <w:hideMark/>
          </w:tcPr>
          <w:p w14:paraId="20D8F3F8" w14:textId="77777777" w:rsidR="00DB3E3B" w:rsidRPr="00872ABB" w:rsidRDefault="00DB3E3B" w:rsidP="0076345D">
            <w:pPr>
              <w:spacing w:after="0" w:line="240" w:lineRule="auto"/>
              <w:jc w:val="center"/>
              <w:rPr>
                <w:rFonts w:ascii="Garamond" w:eastAsia="Times New Roman" w:hAnsi="Garamond" w:cs="Times New Roman"/>
                <w:b/>
                <w:bCs/>
                <w:color w:val="000000"/>
              </w:rPr>
            </w:pPr>
            <w:r w:rsidRPr="00872ABB">
              <w:rPr>
                <w:rFonts w:ascii="Garamond" w:eastAsia="Times New Roman" w:hAnsi="Garamond" w:cs="Times New Roman"/>
                <w:b/>
                <w:bCs/>
                <w:color w:val="000000"/>
              </w:rPr>
              <w:t>2023</w:t>
            </w:r>
          </w:p>
        </w:tc>
      </w:tr>
      <w:tr w:rsidR="00DB3E3B" w:rsidRPr="007C68CD" w14:paraId="6CC7BEDD" w14:textId="77777777" w:rsidTr="00872ABB">
        <w:trPr>
          <w:trHeight w:val="315"/>
        </w:trPr>
        <w:tc>
          <w:tcPr>
            <w:tcW w:w="2780" w:type="dxa"/>
            <w:shd w:val="clear" w:color="auto" w:fill="auto"/>
            <w:noWrap/>
            <w:vAlign w:val="bottom"/>
            <w:hideMark/>
          </w:tcPr>
          <w:p w14:paraId="283B8AA6" w14:textId="05F97B6B"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Januar</w:t>
            </w:r>
            <w:r w:rsidR="006E675B">
              <w:rPr>
                <w:rFonts w:ascii="Garamond" w:eastAsia="Times New Roman" w:hAnsi="Garamond" w:cs="Times New Roman"/>
                <w:color w:val="000000"/>
              </w:rPr>
              <w:t>y</w:t>
            </w:r>
          </w:p>
        </w:tc>
        <w:tc>
          <w:tcPr>
            <w:tcW w:w="1014" w:type="dxa"/>
            <w:shd w:val="clear" w:color="auto" w:fill="auto"/>
            <w:noWrap/>
            <w:vAlign w:val="bottom"/>
            <w:hideMark/>
          </w:tcPr>
          <w:p w14:paraId="0F42CFC9"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124.91</w:t>
            </w:r>
          </w:p>
        </w:tc>
        <w:tc>
          <w:tcPr>
            <w:tcW w:w="1013" w:type="dxa"/>
            <w:shd w:val="clear" w:color="auto" w:fill="auto"/>
            <w:noWrap/>
            <w:vAlign w:val="bottom"/>
            <w:hideMark/>
          </w:tcPr>
          <w:p w14:paraId="1129FE75"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143.00</w:t>
            </w:r>
          </w:p>
        </w:tc>
        <w:tc>
          <w:tcPr>
            <w:tcW w:w="1013" w:type="dxa"/>
            <w:shd w:val="clear" w:color="auto" w:fill="auto"/>
            <w:noWrap/>
            <w:vAlign w:val="bottom"/>
            <w:hideMark/>
          </w:tcPr>
          <w:p w14:paraId="131376F8"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139.58</w:t>
            </w:r>
          </w:p>
        </w:tc>
      </w:tr>
      <w:tr w:rsidR="00DB3E3B" w:rsidRPr="007C68CD" w14:paraId="4771B334" w14:textId="77777777" w:rsidTr="00872ABB">
        <w:trPr>
          <w:trHeight w:val="315"/>
        </w:trPr>
        <w:tc>
          <w:tcPr>
            <w:tcW w:w="2780" w:type="dxa"/>
            <w:shd w:val="clear" w:color="auto" w:fill="auto"/>
            <w:noWrap/>
            <w:vAlign w:val="bottom"/>
            <w:hideMark/>
          </w:tcPr>
          <w:p w14:paraId="45F21C05" w14:textId="603F6EB0"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Februar</w:t>
            </w:r>
            <w:r w:rsidR="006E675B">
              <w:rPr>
                <w:rFonts w:ascii="Garamond" w:eastAsia="Times New Roman" w:hAnsi="Garamond" w:cs="Times New Roman"/>
                <w:color w:val="000000"/>
              </w:rPr>
              <w:t>y</w:t>
            </w:r>
          </w:p>
        </w:tc>
        <w:tc>
          <w:tcPr>
            <w:tcW w:w="1014" w:type="dxa"/>
            <w:shd w:val="clear" w:color="auto" w:fill="auto"/>
            <w:noWrap/>
            <w:vAlign w:val="bottom"/>
            <w:hideMark/>
          </w:tcPr>
          <w:p w14:paraId="7429CFD8"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124.71</w:t>
            </w:r>
          </w:p>
        </w:tc>
        <w:tc>
          <w:tcPr>
            <w:tcW w:w="1013" w:type="dxa"/>
            <w:shd w:val="clear" w:color="auto" w:fill="auto"/>
            <w:noWrap/>
            <w:vAlign w:val="bottom"/>
            <w:hideMark/>
          </w:tcPr>
          <w:p w14:paraId="03177E1E"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145.48</w:t>
            </w:r>
          </w:p>
        </w:tc>
        <w:tc>
          <w:tcPr>
            <w:tcW w:w="1013" w:type="dxa"/>
            <w:shd w:val="clear" w:color="auto" w:fill="auto"/>
            <w:noWrap/>
            <w:vAlign w:val="bottom"/>
            <w:hideMark/>
          </w:tcPr>
          <w:p w14:paraId="374E0710"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141.38</w:t>
            </w:r>
          </w:p>
        </w:tc>
      </w:tr>
      <w:tr w:rsidR="00DB3E3B" w:rsidRPr="007C68CD" w14:paraId="132A1812" w14:textId="77777777" w:rsidTr="00872ABB">
        <w:trPr>
          <w:trHeight w:val="315"/>
        </w:trPr>
        <w:tc>
          <w:tcPr>
            <w:tcW w:w="2780" w:type="dxa"/>
            <w:shd w:val="clear" w:color="auto" w:fill="auto"/>
            <w:noWrap/>
            <w:vAlign w:val="bottom"/>
            <w:hideMark/>
          </w:tcPr>
          <w:p w14:paraId="6FF499D2"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Maret</w:t>
            </w:r>
          </w:p>
        </w:tc>
        <w:tc>
          <w:tcPr>
            <w:tcW w:w="1014" w:type="dxa"/>
            <w:shd w:val="clear" w:color="auto" w:fill="auto"/>
            <w:noWrap/>
            <w:vAlign w:val="bottom"/>
            <w:hideMark/>
          </w:tcPr>
          <w:p w14:paraId="15BDF584"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128.78</w:t>
            </w:r>
          </w:p>
        </w:tc>
        <w:tc>
          <w:tcPr>
            <w:tcW w:w="1013" w:type="dxa"/>
            <w:shd w:val="clear" w:color="auto" w:fill="auto"/>
            <w:noWrap/>
            <w:vAlign w:val="bottom"/>
            <w:hideMark/>
          </w:tcPr>
          <w:p w14:paraId="338095E8"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147.32</w:t>
            </w:r>
          </w:p>
        </w:tc>
        <w:tc>
          <w:tcPr>
            <w:tcW w:w="1013" w:type="dxa"/>
            <w:shd w:val="clear" w:color="auto" w:fill="auto"/>
            <w:noWrap/>
            <w:vAlign w:val="bottom"/>
            <w:hideMark/>
          </w:tcPr>
          <w:p w14:paraId="6703ADA9"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144.32</w:t>
            </w:r>
          </w:p>
        </w:tc>
      </w:tr>
      <w:tr w:rsidR="00DB3E3B" w:rsidRPr="007C68CD" w14:paraId="3FB1FE49" w14:textId="77777777" w:rsidTr="00872ABB">
        <w:trPr>
          <w:trHeight w:val="315"/>
        </w:trPr>
        <w:tc>
          <w:tcPr>
            <w:tcW w:w="2780" w:type="dxa"/>
            <w:shd w:val="clear" w:color="auto" w:fill="auto"/>
            <w:noWrap/>
            <w:vAlign w:val="bottom"/>
            <w:hideMark/>
          </w:tcPr>
          <w:p w14:paraId="50EA1EB0"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April</w:t>
            </w:r>
          </w:p>
        </w:tc>
        <w:tc>
          <w:tcPr>
            <w:tcW w:w="1014" w:type="dxa"/>
            <w:shd w:val="clear" w:color="auto" w:fill="auto"/>
            <w:noWrap/>
            <w:vAlign w:val="bottom"/>
            <w:hideMark/>
          </w:tcPr>
          <w:p w14:paraId="40A82FF6"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129.42</w:t>
            </w:r>
          </w:p>
        </w:tc>
        <w:tc>
          <w:tcPr>
            <w:tcW w:w="1013" w:type="dxa"/>
            <w:shd w:val="clear" w:color="auto" w:fill="auto"/>
            <w:noWrap/>
            <w:vAlign w:val="bottom"/>
            <w:hideMark/>
          </w:tcPr>
          <w:p w14:paraId="0F44CB09"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146.88</w:t>
            </w:r>
          </w:p>
        </w:tc>
        <w:tc>
          <w:tcPr>
            <w:tcW w:w="1013" w:type="dxa"/>
            <w:shd w:val="clear" w:color="auto" w:fill="auto"/>
            <w:noWrap/>
            <w:vAlign w:val="bottom"/>
            <w:hideMark/>
          </w:tcPr>
          <w:p w14:paraId="5D2DC380"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142.21</w:t>
            </w:r>
          </w:p>
        </w:tc>
      </w:tr>
      <w:tr w:rsidR="00DB3E3B" w:rsidRPr="007C68CD" w14:paraId="26278CE9" w14:textId="77777777" w:rsidTr="00872ABB">
        <w:trPr>
          <w:trHeight w:val="315"/>
        </w:trPr>
        <w:tc>
          <w:tcPr>
            <w:tcW w:w="2780" w:type="dxa"/>
            <w:shd w:val="clear" w:color="auto" w:fill="auto"/>
            <w:noWrap/>
            <w:vAlign w:val="bottom"/>
            <w:hideMark/>
          </w:tcPr>
          <w:p w14:paraId="2A7508DE"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Mei</w:t>
            </w:r>
          </w:p>
        </w:tc>
        <w:tc>
          <w:tcPr>
            <w:tcW w:w="1014" w:type="dxa"/>
            <w:shd w:val="clear" w:color="auto" w:fill="auto"/>
            <w:noWrap/>
            <w:vAlign w:val="bottom"/>
            <w:hideMark/>
          </w:tcPr>
          <w:p w14:paraId="66E1F806"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130.63</w:t>
            </w:r>
          </w:p>
        </w:tc>
        <w:tc>
          <w:tcPr>
            <w:tcW w:w="1013" w:type="dxa"/>
            <w:shd w:val="clear" w:color="auto" w:fill="auto"/>
            <w:noWrap/>
            <w:vAlign w:val="bottom"/>
            <w:hideMark/>
          </w:tcPr>
          <w:p w14:paraId="05F4F40C"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127.02</w:t>
            </w:r>
          </w:p>
        </w:tc>
        <w:tc>
          <w:tcPr>
            <w:tcW w:w="1013" w:type="dxa"/>
            <w:shd w:val="clear" w:color="auto" w:fill="auto"/>
            <w:noWrap/>
            <w:vAlign w:val="bottom"/>
            <w:hideMark/>
          </w:tcPr>
          <w:p w14:paraId="2143191F"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138.80</w:t>
            </w:r>
          </w:p>
        </w:tc>
      </w:tr>
      <w:tr w:rsidR="00DB3E3B" w:rsidRPr="007C68CD" w14:paraId="5E16120E" w14:textId="77777777" w:rsidTr="00872ABB">
        <w:trPr>
          <w:trHeight w:val="315"/>
        </w:trPr>
        <w:tc>
          <w:tcPr>
            <w:tcW w:w="2780" w:type="dxa"/>
            <w:shd w:val="clear" w:color="auto" w:fill="auto"/>
            <w:noWrap/>
            <w:vAlign w:val="bottom"/>
            <w:hideMark/>
          </w:tcPr>
          <w:p w14:paraId="56558788"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Juni</w:t>
            </w:r>
          </w:p>
        </w:tc>
        <w:tc>
          <w:tcPr>
            <w:tcW w:w="1014" w:type="dxa"/>
            <w:shd w:val="clear" w:color="auto" w:fill="auto"/>
            <w:noWrap/>
            <w:vAlign w:val="bottom"/>
            <w:hideMark/>
          </w:tcPr>
          <w:p w14:paraId="2A3D51C9"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127.81</w:t>
            </w:r>
          </w:p>
        </w:tc>
        <w:tc>
          <w:tcPr>
            <w:tcW w:w="1013" w:type="dxa"/>
            <w:shd w:val="clear" w:color="auto" w:fill="auto"/>
            <w:noWrap/>
            <w:vAlign w:val="bottom"/>
            <w:hideMark/>
          </w:tcPr>
          <w:p w14:paraId="0D775CA5"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120.66</w:t>
            </w:r>
          </w:p>
        </w:tc>
        <w:tc>
          <w:tcPr>
            <w:tcW w:w="1013" w:type="dxa"/>
            <w:shd w:val="clear" w:color="auto" w:fill="auto"/>
            <w:noWrap/>
            <w:vAlign w:val="bottom"/>
            <w:hideMark/>
          </w:tcPr>
          <w:p w14:paraId="3729EA80"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142.14</w:t>
            </w:r>
          </w:p>
        </w:tc>
      </w:tr>
      <w:tr w:rsidR="00DB3E3B" w:rsidRPr="007C68CD" w14:paraId="66A256E9" w14:textId="77777777" w:rsidTr="00872ABB">
        <w:trPr>
          <w:trHeight w:val="315"/>
        </w:trPr>
        <w:tc>
          <w:tcPr>
            <w:tcW w:w="2780" w:type="dxa"/>
            <w:shd w:val="clear" w:color="auto" w:fill="auto"/>
            <w:noWrap/>
            <w:vAlign w:val="bottom"/>
            <w:hideMark/>
          </w:tcPr>
          <w:p w14:paraId="0FBF8FF6"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Juli</w:t>
            </w:r>
          </w:p>
        </w:tc>
        <w:tc>
          <w:tcPr>
            <w:tcW w:w="1014" w:type="dxa"/>
            <w:shd w:val="clear" w:color="auto" w:fill="auto"/>
            <w:noWrap/>
            <w:vAlign w:val="bottom"/>
            <w:hideMark/>
          </w:tcPr>
          <w:p w14:paraId="430280EC"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128.51</w:t>
            </w:r>
          </w:p>
        </w:tc>
        <w:tc>
          <w:tcPr>
            <w:tcW w:w="1013" w:type="dxa"/>
            <w:shd w:val="clear" w:color="auto" w:fill="auto"/>
            <w:noWrap/>
            <w:vAlign w:val="bottom"/>
            <w:hideMark/>
          </w:tcPr>
          <w:p w14:paraId="5218AC2F"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110.43</w:t>
            </w:r>
          </w:p>
        </w:tc>
        <w:tc>
          <w:tcPr>
            <w:tcW w:w="1013" w:type="dxa"/>
            <w:shd w:val="clear" w:color="auto" w:fill="auto"/>
            <w:noWrap/>
            <w:vAlign w:val="bottom"/>
            <w:hideMark/>
          </w:tcPr>
          <w:p w14:paraId="179267BC"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143.73</w:t>
            </w:r>
          </w:p>
        </w:tc>
      </w:tr>
      <w:tr w:rsidR="00DB3E3B" w:rsidRPr="007C68CD" w14:paraId="6815570B" w14:textId="77777777" w:rsidTr="00872ABB">
        <w:trPr>
          <w:trHeight w:val="315"/>
        </w:trPr>
        <w:tc>
          <w:tcPr>
            <w:tcW w:w="2780" w:type="dxa"/>
            <w:shd w:val="clear" w:color="auto" w:fill="auto"/>
            <w:noWrap/>
            <w:vAlign w:val="bottom"/>
            <w:hideMark/>
          </w:tcPr>
          <w:p w14:paraId="7CED0AA6"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Agustus</w:t>
            </w:r>
          </w:p>
        </w:tc>
        <w:tc>
          <w:tcPr>
            <w:tcW w:w="1014" w:type="dxa"/>
            <w:shd w:val="clear" w:color="auto" w:fill="auto"/>
            <w:noWrap/>
            <w:vAlign w:val="bottom"/>
            <w:hideMark/>
          </w:tcPr>
          <w:p w14:paraId="2CBE72A0"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132.15</w:t>
            </w:r>
          </w:p>
        </w:tc>
        <w:tc>
          <w:tcPr>
            <w:tcW w:w="1013" w:type="dxa"/>
            <w:shd w:val="clear" w:color="auto" w:fill="auto"/>
            <w:noWrap/>
            <w:vAlign w:val="bottom"/>
            <w:hideMark/>
          </w:tcPr>
          <w:p w14:paraId="21402265"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122.90</w:t>
            </w:r>
          </w:p>
        </w:tc>
        <w:tc>
          <w:tcPr>
            <w:tcW w:w="1013" w:type="dxa"/>
            <w:shd w:val="clear" w:color="auto" w:fill="auto"/>
            <w:noWrap/>
            <w:vAlign w:val="bottom"/>
            <w:hideMark/>
          </w:tcPr>
          <w:p w14:paraId="34742DFF"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147.15</w:t>
            </w:r>
          </w:p>
        </w:tc>
      </w:tr>
      <w:tr w:rsidR="00DB3E3B" w:rsidRPr="007C68CD" w14:paraId="0B51A7B6" w14:textId="77777777" w:rsidTr="00872ABB">
        <w:trPr>
          <w:trHeight w:val="315"/>
        </w:trPr>
        <w:tc>
          <w:tcPr>
            <w:tcW w:w="2780" w:type="dxa"/>
            <w:shd w:val="clear" w:color="auto" w:fill="auto"/>
            <w:noWrap/>
            <w:vAlign w:val="bottom"/>
            <w:hideMark/>
          </w:tcPr>
          <w:p w14:paraId="15B91ECF"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September</w:t>
            </w:r>
          </w:p>
        </w:tc>
        <w:tc>
          <w:tcPr>
            <w:tcW w:w="1014" w:type="dxa"/>
            <w:shd w:val="clear" w:color="auto" w:fill="auto"/>
            <w:noWrap/>
            <w:vAlign w:val="bottom"/>
            <w:hideMark/>
          </w:tcPr>
          <w:p w14:paraId="79DFAE8E"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136.04</w:t>
            </w:r>
          </w:p>
        </w:tc>
        <w:tc>
          <w:tcPr>
            <w:tcW w:w="1013" w:type="dxa"/>
            <w:shd w:val="clear" w:color="auto" w:fill="auto"/>
            <w:noWrap/>
            <w:vAlign w:val="bottom"/>
            <w:hideMark/>
          </w:tcPr>
          <w:p w14:paraId="1538891B"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130.15</w:t>
            </w:r>
          </w:p>
        </w:tc>
        <w:tc>
          <w:tcPr>
            <w:tcW w:w="1013" w:type="dxa"/>
            <w:shd w:val="clear" w:color="auto" w:fill="auto"/>
            <w:noWrap/>
            <w:vAlign w:val="bottom"/>
            <w:hideMark/>
          </w:tcPr>
          <w:p w14:paraId="34F08CAD"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152.65</w:t>
            </w:r>
          </w:p>
        </w:tc>
      </w:tr>
      <w:tr w:rsidR="00DB3E3B" w:rsidRPr="007C68CD" w14:paraId="01CC54AE" w14:textId="77777777" w:rsidTr="00872ABB">
        <w:trPr>
          <w:trHeight w:val="315"/>
        </w:trPr>
        <w:tc>
          <w:tcPr>
            <w:tcW w:w="2780" w:type="dxa"/>
            <w:shd w:val="clear" w:color="auto" w:fill="auto"/>
            <w:noWrap/>
            <w:vAlign w:val="bottom"/>
            <w:hideMark/>
          </w:tcPr>
          <w:p w14:paraId="569BA2F2"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Oktober</w:t>
            </w:r>
          </w:p>
        </w:tc>
        <w:tc>
          <w:tcPr>
            <w:tcW w:w="1014" w:type="dxa"/>
            <w:shd w:val="clear" w:color="auto" w:fill="auto"/>
            <w:noWrap/>
            <w:vAlign w:val="bottom"/>
            <w:hideMark/>
          </w:tcPr>
          <w:p w14:paraId="2BC6EFBD"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140.04</w:t>
            </w:r>
          </w:p>
        </w:tc>
        <w:tc>
          <w:tcPr>
            <w:tcW w:w="1013" w:type="dxa"/>
            <w:shd w:val="clear" w:color="auto" w:fill="auto"/>
            <w:noWrap/>
            <w:vAlign w:val="bottom"/>
            <w:hideMark/>
          </w:tcPr>
          <w:p w14:paraId="09E7E6A0"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135.24</w:t>
            </w:r>
          </w:p>
        </w:tc>
        <w:tc>
          <w:tcPr>
            <w:tcW w:w="1013" w:type="dxa"/>
            <w:shd w:val="clear" w:color="auto" w:fill="auto"/>
            <w:noWrap/>
            <w:vAlign w:val="bottom"/>
            <w:hideMark/>
          </w:tcPr>
          <w:p w14:paraId="20874E1C"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154.28</w:t>
            </w:r>
          </w:p>
        </w:tc>
      </w:tr>
      <w:tr w:rsidR="00DB3E3B" w:rsidRPr="007C68CD" w14:paraId="67ED5CDE" w14:textId="77777777" w:rsidTr="00872ABB">
        <w:trPr>
          <w:trHeight w:val="315"/>
        </w:trPr>
        <w:tc>
          <w:tcPr>
            <w:tcW w:w="2780" w:type="dxa"/>
            <w:shd w:val="clear" w:color="auto" w:fill="auto"/>
            <w:noWrap/>
            <w:vAlign w:val="bottom"/>
            <w:hideMark/>
          </w:tcPr>
          <w:p w14:paraId="16D935C9" w14:textId="77777777" w:rsidR="00DB3E3B" w:rsidRPr="007C68CD" w:rsidRDefault="00DB3E3B" w:rsidP="0076345D">
            <w:pPr>
              <w:spacing w:after="0" w:line="240" w:lineRule="auto"/>
              <w:rPr>
                <w:rFonts w:ascii="Garamond" w:eastAsia="Times New Roman" w:hAnsi="Garamond" w:cs="Times New Roman"/>
                <w:color w:val="000000"/>
              </w:rPr>
            </w:pPr>
            <w:r w:rsidRPr="007C68CD">
              <w:rPr>
                <w:rFonts w:ascii="Garamond" w:eastAsia="Times New Roman" w:hAnsi="Garamond" w:cs="Times New Roman"/>
                <w:color w:val="000000"/>
              </w:rPr>
              <w:t>November</w:t>
            </w:r>
          </w:p>
        </w:tc>
        <w:tc>
          <w:tcPr>
            <w:tcW w:w="1014" w:type="dxa"/>
            <w:shd w:val="clear" w:color="auto" w:fill="auto"/>
            <w:noWrap/>
            <w:vAlign w:val="bottom"/>
            <w:hideMark/>
          </w:tcPr>
          <w:p w14:paraId="25F117B2"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143.80</w:t>
            </w:r>
          </w:p>
        </w:tc>
        <w:tc>
          <w:tcPr>
            <w:tcW w:w="1013" w:type="dxa"/>
            <w:shd w:val="clear" w:color="auto" w:fill="auto"/>
            <w:noWrap/>
            <w:vAlign w:val="bottom"/>
            <w:hideMark/>
          </w:tcPr>
          <w:p w14:paraId="2D26D092"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140.75</w:t>
            </w:r>
          </w:p>
        </w:tc>
        <w:tc>
          <w:tcPr>
            <w:tcW w:w="1013" w:type="dxa"/>
            <w:shd w:val="clear" w:color="auto" w:fill="auto"/>
            <w:noWrap/>
            <w:vAlign w:val="bottom"/>
            <w:hideMark/>
          </w:tcPr>
          <w:p w14:paraId="451C40C3"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157.42</w:t>
            </w:r>
          </w:p>
        </w:tc>
      </w:tr>
      <w:tr w:rsidR="00DB3E3B" w:rsidRPr="007C68CD" w14:paraId="3360D35E" w14:textId="77777777" w:rsidTr="00872ABB">
        <w:trPr>
          <w:trHeight w:val="315"/>
        </w:trPr>
        <w:tc>
          <w:tcPr>
            <w:tcW w:w="2780" w:type="dxa"/>
            <w:shd w:val="clear" w:color="auto" w:fill="auto"/>
            <w:noWrap/>
            <w:vAlign w:val="bottom"/>
            <w:hideMark/>
          </w:tcPr>
          <w:p w14:paraId="18109D4C" w14:textId="77777777" w:rsidR="00DB3E3B" w:rsidRPr="007C68CD" w:rsidRDefault="00DB3E3B" w:rsidP="0076345D">
            <w:pPr>
              <w:spacing w:after="0" w:line="240" w:lineRule="auto"/>
              <w:rPr>
                <w:rFonts w:ascii="Garamond" w:eastAsia="Times New Roman" w:hAnsi="Garamond" w:cs="Times New Roman"/>
                <w:color w:val="000000"/>
              </w:rPr>
            </w:pPr>
            <w:proofErr w:type="spellStart"/>
            <w:r w:rsidRPr="007C68CD">
              <w:rPr>
                <w:rFonts w:ascii="Garamond" w:eastAsia="Times New Roman" w:hAnsi="Garamond" w:cs="Times New Roman"/>
                <w:color w:val="000000"/>
              </w:rPr>
              <w:t>Desember</w:t>
            </w:r>
            <w:proofErr w:type="spellEnd"/>
          </w:p>
        </w:tc>
        <w:tc>
          <w:tcPr>
            <w:tcW w:w="1014" w:type="dxa"/>
            <w:shd w:val="clear" w:color="auto" w:fill="auto"/>
            <w:noWrap/>
            <w:vAlign w:val="bottom"/>
            <w:hideMark/>
          </w:tcPr>
          <w:p w14:paraId="506F2E9F"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143.93</w:t>
            </w:r>
          </w:p>
        </w:tc>
        <w:tc>
          <w:tcPr>
            <w:tcW w:w="1013" w:type="dxa"/>
            <w:shd w:val="clear" w:color="auto" w:fill="auto"/>
            <w:noWrap/>
            <w:vAlign w:val="bottom"/>
            <w:hideMark/>
          </w:tcPr>
          <w:p w14:paraId="545C6493"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139.85</w:t>
            </w:r>
          </w:p>
        </w:tc>
        <w:tc>
          <w:tcPr>
            <w:tcW w:w="1013" w:type="dxa"/>
            <w:shd w:val="clear" w:color="auto" w:fill="auto"/>
            <w:noWrap/>
            <w:vAlign w:val="bottom"/>
            <w:hideMark/>
          </w:tcPr>
          <w:p w14:paraId="778B3AEF" w14:textId="77777777" w:rsidR="00DB3E3B" w:rsidRPr="007C68CD" w:rsidRDefault="00DB3E3B" w:rsidP="0076345D">
            <w:pPr>
              <w:spacing w:after="0" w:line="240" w:lineRule="auto"/>
              <w:jc w:val="center"/>
              <w:rPr>
                <w:rFonts w:ascii="Garamond" w:eastAsia="Times New Roman" w:hAnsi="Garamond" w:cs="Times New Roman"/>
                <w:color w:val="000000"/>
              </w:rPr>
            </w:pPr>
            <w:r w:rsidRPr="007C68CD">
              <w:rPr>
                <w:rFonts w:ascii="Garamond" w:eastAsia="Times New Roman" w:hAnsi="Garamond" w:cs="Times New Roman"/>
                <w:color w:val="000000"/>
              </w:rPr>
              <w:t>158.41</w:t>
            </w:r>
          </w:p>
        </w:tc>
      </w:tr>
    </w:tbl>
    <w:p w14:paraId="68B6780F" w14:textId="6124D71E" w:rsidR="006E675B" w:rsidRPr="006E675B" w:rsidRDefault="00DB3E3B" w:rsidP="00DB3E3B">
      <w:pPr>
        <w:pStyle w:val="Normal1"/>
        <w:pBdr>
          <w:top w:val="nil"/>
          <w:left w:val="nil"/>
          <w:bottom w:val="nil"/>
          <w:right w:val="nil"/>
          <w:between w:val="nil"/>
        </w:pBdr>
        <w:spacing w:after="0" w:line="360" w:lineRule="auto"/>
        <w:rPr>
          <w:rFonts w:ascii="Garamond" w:eastAsia="Times New Roman" w:hAnsi="Garamond" w:cs="Times New Roman"/>
          <w:sz w:val="24"/>
          <w:szCs w:val="24"/>
          <w:lang w:val="en-ID"/>
        </w:rPr>
      </w:pPr>
      <w:r w:rsidRPr="007C68CD">
        <w:rPr>
          <w:rFonts w:ascii="Garamond" w:eastAsia="Times New Roman" w:hAnsi="Garamond" w:cs="Times New Roman"/>
          <w:sz w:val="24"/>
          <w:szCs w:val="24"/>
        </w:rPr>
        <w:t xml:space="preserve">                     </w:t>
      </w:r>
      <w:r w:rsidR="006E675B" w:rsidRPr="006E675B">
        <w:rPr>
          <w:rFonts w:ascii="Garamond" w:eastAsia="Times New Roman" w:hAnsi="Garamond" w:cs="Times New Roman"/>
          <w:sz w:val="24"/>
          <w:szCs w:val="24"/>
          <w:lang w:val="en-ID"/>
        </w:rPr>
        <w:t>Source: Processed Data, 2024</w:t>
      </w:r>
    </w:p>
    <w:p w14:paraId="26737C24" w14:textId="77F08240" w:rsidR="00DB3E3B" w:rsidRPr="0005042D" w:rsidRDefault="006E675B" w:rsidP="0005042D">
      <w:pPr>
        <w:pStyle w:val="Normal1"/>
        <w:numPr>
          <w:ilvl w:val="1"/>
          <w:numId w:val="3"/>
        </w:numPr>
        <w:pBdr>
          <w:top w:val="nil"/>
          <w:left w:val="nil"/>
          <w:bottom w:val="nil"/>
          <w:right w:val="nil"/>
          <w:between w:val="nil"/>
        </w:pBdr>
        <w:spacing w:after="0"/>
        <w:ind w:left="567" w:hanging="284"/>
        <w:jc w:val="both"/>
        <w:rPr>
          <w:rFonts w:ascii="Garamond" w:eastAsia="Times New Roman" w:hAnsi="Garamond" w:cs="Times New Roman"/>
          <w:b/>
          <w:sz w:val="24"/>
          <w:szCs w:val="24"/>
        </w:rPr>
      </w:pPr>
      <w:r w:rsidRPr="006E675B">
        <w:rPr>
          <w:rFonts w:ascii="Garamond" w:eastAsia="Times New Roman" w:hAnsi="Garamond" w:cs="Times New Roman"/>
          <w:b/>
          <w:sz w:val="24"/>
          <w:szCs w:val="24"/>
          <w:lang w:val="en-ID"/>
        </w:rPr>
        <w:t>Analysis of NTP Data in Bengkulu Province</w:t>
      </w:r>
      <w:r w:rsidR="0076345D">
        <w:rPr>
          <w:rFonts w:ascii="Garamond" w:eastAsia="Times New Roman" w:hAnsi="Garamond" w:cs="Times New Roman"/>
          <w:b/>
          <w:sz w:val="24"/>
          <w:szCs w:val="24"/>
        </w:rPr>
        <w:t xml:space="preserve"> </w:t>
      </w:r>
    </w:p>
    <w:p w14:paraId="1C4E55C8" w14:textId="143114E1" w:rsidR="00DB3E3B" w:rsidRPr="0005042D" w:rsidRDefault="006E675B" w:rsidP="0005042D">
      <w:pPr>
        <w:pStyle w:val="Normal1"/>
        <w:numPr>
          <w:ilvl w:val="0"/>
          <w:numId w:val="28"/>
        </w:numPr>
        <w:pBdr>
          <w:top w:val="nil"/>
          <w:left w:val="nil"/>
          <w:bottom w:val="nil"/>
          <w:right w:val="nil"/>
          <w:between w:val="nil"/>
        </w:pBdr>
        <w:spacing w:after="0"/>
        <w:ind w:left="851" w:hanging="283"/>
        <w:jc w:val="both"/>
        <w:rPr>
          <w:rFonts w:ascii="Garamond" w:eastAsia="Times New Roman" w:hAnsi="Garamond" w:cs="Times New Roman"/>
          <w:b/>
          <w:sz w:val="24"/>
          <w:szCs w:val="24"/>
        </w:rPr>
      </w:pPr>
      <w:r>
        <w:rPr>
          <w:rFonts w:ascii="Garamond" w:eastAsia="Times New Roman" w:hAnsi="Garamond" w:cs="Times New Roman"/>
          <w:b/>
          <w:sz w:val="24"/>
          <w:szCs w:val="24"/>
        </w:rPr>
        <w:t xml:space="preserve">Stationarity Test </w:t>
      </w:r>
      <w:r w:rsidR="00DB3E3B" w:rsidRPr="0005042D">
        <w:rPr>
          <w:rFonts w:ascii="Garamond" w:eastAsia="Times New Roman" w:hAnsi="Garamond" w:cs="Times New Roman"/>
          <w:b/>
          <w:sz w:val="24"/>
          <w:szCs w:val="24"/>
        </w:rPr>
        <w:t xml:space="preserve"> </w:t>
      </w:r>
    </w:p>
    <w:p w14:paraId="47CF495C" w14:textId="5A0B92D6" w:rsidR="00DB3E3B" w:rsidRPr="0005042D" w:rsidRDefault="006E675B" w:rsidP="0005042D">
      <w:pPr>
        <w:pStyle w:val="Normal1"/>
        <w:shd w:val="clear" w:color="auto" w:fill="FFFFFF"/>
        <w:spacing w:after="0"/>
        <w:ind w:left="851" w:firstLine="567"/>
        <w:jc w:val="both"/>
        <w:rPr>
          <w:rFonts w:ascii="Garamond" w:hAnsi="Garamond" w:cs="Times New Roman"/>
          <w:bCs/>
          <w:sz w:val="24"/>
          <w:szCs w:val="24"/>
          <w:lang w:val="id-ID"/>
        </w:rPr>
      </w:pPr>
      <w:r w:rsidRPr="006E675B">
        <w:rPr>
          <w:rFonts w:ascii="Garamond" w:hAnsi="Garamond" w:cs="Times New Roman"/>
          <w:sz w:val="24"/>
          <w:szCs w:val="24"/>
          <w:lang w:val="en-ID"/>
        </w:rPr>
        <w:t>The ARIMA model can only be applied to stationary time series data. Therefore, the first step is to examine whether the time series data is stationary. If the data is not stationary, it is necessary to determine the number of differencing required to achieve stationarity. The initial step in identifying the model for the mean NTP data of Bengkulu Province from 2021 to 2023 is to plot the NTP data. The following are the steps and results of the plot for the mean NTP data from 2021 to 2023</w:t>
      </w:r>
      <w:r w:rsidR="00DB3E3B" w:rsidRPr="0005042D">
        <w:rPr>
          <w:rFonts w:ascii="Garamond" w:hAnsi="Garamond" w:cs="Times New Roman"/>
          <w:bCs/>
          <w:sz w:val="24"/>
          <w:szCs w:val="24"/>
          <w:lang w:val="id-ID"/>
        </w:rPr>
        <w:t>:</w:t>
      </w:r>
    </w:p>
    <w:p w14:paraId="763E31EC" w14:textId="77777777" w:rsidR="00DB3E3B" w:rsidRPr="0005042D" w:rsidRDefault="00DB3E3B" w:rsidP="0005042D">
      <w:pPr>
        <w:pStyle w:val="Normal1"/>
        <w:pBdr>
          <w:top w:val="nil"/>
          <w:left w:val="nil"/>
          <w:bottom w:val="nil"/>
          <w:right w:val="nil"/>
          <w:between w:val="nil"/>
        </w:pBdr>
        <w:spacing w:after="0"/>
        <w:ind w:left="1134"/>
        <w:jc w:val="center"/>
        <w:rPr>
          <w:rFonts w:ascii="Garamond" w:eastAsia="Times New Roman" w:hAnsi="Garamond" w:cs="Times New Roman"/>
          <w:b/>
          <w:sz w:val="24"/>
          <w:szCs w:val="24"/>
        </w:rPr>
      </w:pPr>
      <w:r w:rsidRPr="0005042D">
        <w:rPr>
          <w:rFonts w:ascii="Garamond" w:hAnsi="Garamond" w:cs="Times New Roman"/>
          <w:noProof/>
          <w:sz w:val="24"/>
          <w:szCs w:val="24"/>
        </w:rPr>
        <w:drawing>
          <wp:inline distT="0" distB="0" distL="0" distR="0" wp14:anchorId="248F5767" wp14:editId="2A18E2AF">
            <wp:extent cx="3386138" cy="2257425"/>
            <wp:effectExtent l="0" t="0" r="5080" b="0"/>
            <wp:docPr id="8" name="Picture 8" descr="A graph with blue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9437" cy="2259625"/>
                    </a:xfrm>
                    <a:prstGeom prst="rect">
                      <a:avLst/>
                    </a:prstGeom>
                  </pic:spPr>
                </pic:pic>
              </a:graphicData>
            </a:graphic>
          </wp:inline>
        </w:drawing>
      </w:r>
    </w:p>
    <w:p w14:paraId="66CD7985" w14:textId="77777777" w:rsidR="006E675B" w:rsidRDefault="006E675B" w:rsidP="0005042D">
      <w:pPr>
        <w:pStyle w:val="Normal1"/>
        <w:pBdr>
          <w:top w:val="nil"/>
          <w:left w:val="nil"/>
          <w:bottom w:val="nil"/>
          <w:right w:val="nil"/>
          <w:between w:val="nil"/>
        </w:pBdr>
        <w:spacing w:after="0"/>
        <w:ind w:left="993"/>
        <w:jc w:val="center"/>
        <w:rPr>
          <w:rFonts w:ascii="Garamond" w:eastAsia="Times New Roman" w:hAnsi="Garamond" w:cs="Times New Roman"/>
          <w:sz w:val="24"/>
          <w:szCs w:val="24"/>
          <w:lang w:val="en-ID"/>
        </w:rPr>
      </w:pPr>
      <w:r w:rsidRPr="006E675B">
        <w:rPr>
          <w:rFonts w:ascii="Garamond" w:eastAsia="Times New Roman" w:hAnsi="Garamond" w:cs="Times New Roman"/>
          <w:sz w:val="24"/>
          <w:szCs w:val="24"/>
          <w:lang w:val="en-ID"/>
        </w:rPr>
        <w:t>Source: Processed Data, 2024</w:t>
      </w:r>
    </w:p>
    <w:p w14:paraId="4B0E3354" w14:textId="25818EA0" w:rsidR="00DB3E3B" w:rsidRPr="0005042D" w:rsidRDefault="00514BFE" w:rsidP="0005042D">
      <w:pPr>
        <w:pStyle w:val="Normal1"/>
        <w:pBdr>
          <w:top w:val="nil"/>
          <w:left w:val="nil"/>
          <w:bottom w:val="nil"/>
          <w:right w:val="nil"/>
          <w:between w:val="nil"/>
        </w:pBdr>
        <w:spacing w:after="0"/>
        <w:ind w:left="993"/>
        <w:jc w:val="center"/>
        <w:rPr>
          <w:rFonts w:ascii="Garamond" w:eastAsia="Times New Roman" w:hAnsi="Garamond" w:cs="Times New Roman"/>
          <w:b/>
          <w:sz w:val="24"/>
          <w:szCs w:val="24"/>
        </w:rPr>
      </w:pPr>
      <w:r>
        <w:rPr>
          <w:rFonts w:ascii="Garamond" w:eastAsia="Times New Roman" w:hAnsi="Garamond" w:cs="Times New Roman"/>
          <w:b/>
          <w:sz w:val="24"/>
          <w:szCs w:val="24"/>
        </w:rPr>
        <w:t>Figure</w:t>
      </w:r>
      <w:r w:rsidR="00DB3E3B" w:rsidRPr="0005042D">
        <w:rPr>
          <w:rFonts w:ascii="Garamond" w:eastAsia="Times New Roman" w:hAnsi="Garamond" w:cs="Times New Roman"/>
          <w:b/>
          <w:sz w:val="24"/>
          <w:szCs w:val="24"/>
        </w:rPr>
        <w:t xml:space="preserve"> 1. </w:t>
      </w:r>
      <w:r w:rsidRPr="00514BFE">
        <w:rPr>
          <w:rFonts w:ascii="Garamond" w:eastAsia="Times New Roman" w:hAnsi="Garamond" w:cs="Times New Roman"/>
          <w:b/>
          <w:sz w:val="24"/>
          <w:szCs w:val="24"/>
          <w:lang w:val="en-ID"/>
        </w:rPr>
        <w:t>Time Series Plot of the Farmer’s Terms of Trade (NTP) in Bengkulu Provinc</w:t>
      </w:r>
      <w:r>
        <w:rPr>
          <w:rFonts w:ascii="Garamond" w:eastAsia="Times New Roman" w:hAnsi="Garamond" w:cs="Times New Roman"/>
          <w:b/>
          <w:sz w:val="24"/>
          <w:szCs w:val="24"/>
          <w:lang w:val="en-ID"/>
        </w:rPr>
        <w:t>e</w:t>
      </w:r>
    </w:p>
    <w:p w14:paraId="7AD3FC72" w14:textId="477707F6" w:rsidR="00DB3E3B" w:rsidRPr="0005042D" w:rsidRDefault="00514BFE" w:rsidP="0005042D">
      <w:pPr>
        <w:pStyle w:val="Normal1"/>
        <w:shd w:val="clear" w:color="auto" w:fill="FFFFFF"/>
        <w:spacing w:after="0"/>
        <w:ind w:left="851" w:firstLine="567"/>
        <w:jc w:val="both"/>
        <w:rPr>
          <w:rFonts w:ascii="Garamond" w:hAnsi="Garamond" w:cs="Times New Roman"/>
          <w:bCs/>
          <w:sz w:val="24"/>
          <w:szCs w:val="24"/>
          <w:lang w:val="id-ID"/>
        </w:rPr>
      </w:pPr>
      <w:r w:rsidRPr="00514BFE">
        <w:rPr>
          <w:rFonts w:ascii="Garamond" w:hAnsi="Garamond" w:cs="Times New Roman"/>
          <w:bCs/>
          <w:sz w:val="24"/>
          <w:szCs w:val="24"/>
          <w:lang w:val="en-ID"/>
        </w:rPr>
        <w:t>Based on the figure above, the monthly mean NTP data for Bengkulu Province from January 2021 to December 2023 appears to be randomly distributed in the time series plot, indicating that the data can be considered stationary</w:t>
      </w:r>
      <w:r w:rsidR="00DB3E3B" w:rsidRPr="0005042D">
        <w:rPr>
          <w:rFonts w:ascii="Garamond" w:hAnsi="Garamond" w:cs="Times New Roman"/>
          <w:bCs/>
          <w:sz w:val="24"/>
          <w:szCs w:val="24"/>
          <w:lang w:val="id-ID"/>
        </w:rPr>
        <w:t>.</w:t>
      </w:r>
    </w:p>
    <w:p w14:paraId="6E569F84" w14:textId="331A1240" w:rsidR="00872ABB" w:rsidRPr="0005042D" w:rsidRDefault="00514BFE" w:rsidP="0005042D">
      <w:pPr>
        <w:pStyle w:val="Normal1"/>
        <w:shd w:val="clear" w:color="auto" w:fill="FFFFFF"/>
        <w:spacing w:after="0"/>
        <w:ind w:left="851" w:firstLine="567"/>
        <w:jc w:val="both"/>
        <w:rPr>
          <w:rFonts w:ascii="Garamond" w:hAnsi="Garamond" w:cs="Times New Roman"/>
          <w:sz w:val="24"/>
          <w:szCs w:val="24"/>
        </w:rPr>
      </w:pPr>
      <w:r>
        <w:rPr>
          <w:rFonts w:ascii="Garamond" w:hAnsi="Garamond" w:cs="Times New Roman"/>
          <w:bCs/>
          <w:sz w:val="24"/>
          <w:szCs w:val="24"/>
          <w:lang w:val="en-ID"/>
        </w:rPr>
        <w:t>F</w:t>
      </w:r>
      <w:r w:rsidRPr="00514BFE">
        <w:rPr>
          <w:rFonts w:ascii="Garamond" w:hAnsi="Garamond" w:cs="Times New Roman"/>
          <w:bCs/>
          <w:sz w:val="24"/>
          <w:szCs w:val="24"/>
          <w:lang w:val="en-ID"/>
        </w:rPr>
        <w:t>urther testing using the Augmented Dickey-Fuller (ADF) test, as shown in the table below, yields a test statistic of -4.63 with a p-value of 0.000 (&lt; α = 0.05), leading to the rejection of H</w:t>
      </w:r>
      <w:r w:rsidRPr="00514BFE">
        <w:rPr>
          <w:rFonts w:ascii="Cambria Math" w:hAnsi="Cambria Math" w:cs="Cambria Math"/>
          <w:bCs/>
          <w:sz w:val="24"/>
          <w:szCs w:val="24"/>
          <w:lang w:val="en-ID"/>
        </w:rPr>
        <w:t>₀</w:t>
      </w:r>
      <w:r w:rsidRPr="00514BFE">
        <w:rPr>
          <w:rFonts w:ascii="Garamond" w:hAnsi="Garamond" w:cs="Times New Roman"/>
          <w:bCs/>
          <w:sz w:val="24"/>
          <w:szCs w:val="24"/>
          <w:lang w:val="en-ID"/>
        </w:rPr>
        <w:t>. This indicates that the data is already stationary at level (d = 0) and does not require additional differencing</w:t>
      </w:r>
      <w:r w:rsidR="00872ABB" w:rsidRPr="0005042D">
        <w:rPr>
          <w:rFonts w:ascii="Garamond" w:hAnsi="Garamond" w:cs="Times New Roman"/>
          <w:sz w:val="24"/>
          <w:szCs w:val="24"/>
          <w:lang w:val="en-ID"/>
        </w:rPr>
        <w:t>.</w:t>
      </w:r>
    </w:p>
    <w:p w14:paraId="1092775F" w14:textId="3363709B" w:rsidR="00872ABB" w:rsidRPr="0005042D" w:rsidRDefault="00872ABB" w:rsidP="0005042D">
      <w:pPr>
        <w:pStyle w:val="Normal1"/>
        <w:pBdr>
          <w:top w:val="nil"/>
          <w:left w:val="nil"/>
          <w:bottom w:val="nil"/>
          <w:right w:val="nil"/>
          <w:between w:val="nil"/>
        </w:pBdr>
        <w:spacing w:after="0"/>
        <w:ind w:left="1134"/>
        <w:jc w:val="center"/>
        <w:rPr>
          <w:rFonts w:ascii="Garamond" w:eastAsia="Times New Roman" w:hAnsi="Garamond" w:cs="Times New Roman"/>
          <w:b/>
          <w:sz w:val="24"/>
          <w:szCs w:val="24"/>
          <w:lang w:val="id-ID"/>
        </w:rPr>
      </w:pPr>
      <w:r w:rsidRPr="0005042D">
        <w:rPr>
          <w:rFonts w:ascii="Garamond" w:eastAsia="Times New Roman" w:hAnsi="Garamond" w:cs="Times New Roman"/>
          <w:b/>
          <w:sz w:val="24"/>
          <w:szCs w:val="24"/>
        </w:rPr>
        <w:t>Tab</w:t>
      </w:r>
      <w:r w:rsidR="00514BFE">
        <w:rPr>
          <w:rFonts w:ascii="Garamond" w:eastAsia="Times New Roman" w:hAnsi="Garamond" w:cs="Times New Roman"/>
          <w:b/>
          <w:sz w:val="24"/>
          <w:szCs w:val="24"/>
        </w:rPr>
        <w:t>le</w:t>
      </w:r>
      <w:r w:rsidRPr="0005042D">
        <w:rPr>
          <w:rFonts w:ascii="Garamond" w:eastAsia="Times New Roman" w:hAnsi="Garamond" w:cs="Times New Roman"/>
          <w:b/>
          <w:sz w:val="24"/>
          <w:szCs w:val="24"/>
        </w:rPr>
        <w:t xml:space="preserve"> 2. Output Uji Augmented Dickey-Fuller (ADF) </w:t>
      </w:r>
    </w:p>
    <w:tbl>
      <w:tblPr>
        <w:tblW w:w="6916" w:type="dxa"/>
        <w:tblInd w:w="1560" w:type="dxa"/>
        <w:tblCellMar>
          <w:left w:w="60" w:type="dxa"/>
          <w:right w:w="60" w:type="dxa"/>
        </w:tblCellMar>
        <w:tblLook w:val="0000" w:firstRow="0" w:lastRow="0" w:firstColumn="0" w:lastColumn="0" w:noHBand="0" w:noVBand="0"/>
      </w:tblPr>
      <w:tblGrid>
        <w:gridCol w:w="708"/>
        <w:gridCol w:w="709"/>
        <w:gridCol w:w="1134"/>
        <w:gridCol w:w="4365"/>
      </w:tblGrid>
      <w:tr w:rsidR="00872ABB" w:rsidRPr="0005042D" w14:paraId="73521AF6" w14:textId="77777777" w:rsidTr="00872ABB">
        <w:tc>
          <w:tcPr>
            <w:tcW w:w="1417" w:type="dxa"/>
            <w:gridSpan w:val="2"/>
            <w:tcBorders>
              <w:top w:val="single" w:sz="4" w:space="0" w:color="auto"/>
              <w:left w:val="none" w:sz="0" w:space="0" w:color="000000"/>
              <w:bottom w:val="single" w:sz="4" w:space="0" w:color="auto"/>
              <w:right w:val="none" w:sz="0" w:space="0" w:color="000000"/>
            </w:tcBorders>
            <w:tcMar>
              <w:top w:w="15" w:type="dxa"/>
              <w:left w:w="30" w:type="dxa"/>
              <w:right w:w="30" w:type="dxa"/>
            </w:tcMar>
            <w:vAlign w:val="bottom"/>
          </w:tcPr>
          <w:p w14:paraId="78BA337D" w14:textId="26B3479D" w:rsidR="00872ABB" w:rsidRPr="0005042D" w:rsidRDefault="00872ABB" w:rsidP="0005042D">
            <w:pPr>
              <w:autoSpaceDE w:val="0"/>
              <w:autoSpaceDN w:val="0"/>
              <w:adjustRightInd w:val="0"/>
              <w:spacing w:after="0" w:line="276" w:lineRule="auto"/>
              <w:jc w:val="center"/>
              <w:rPr>
                <w:rFonts w:ascii="Garamond" w:eastAsia="Times New Roman" w:hAnsi="Garamond" w:cs="Times New Roman"/>
                <w:b/>
                <w:bCs/>
                <w:color w:val="000000"/>
              </w:rPr>
            </w:pPr>
            <w:r w:rsidRPr="0005042D">
              <w:rPr>
                <w:rFonts w:ascii="Garamond" w:eastAsia="Times New Roman" w:hAnsi="Garamond" w:cs="Times New Roman"/>
                <w:b/>
                <w:bCs/>
                <w:color w:val="000000"/>
              </w:rPr>
              <w:t>Test Statistic</w:t>
            </w:r>
          </w:p>
        </w:tc>
        <w:tc>
          <w:tcPr>
            <w:tcW w:w="1134" w:type="dxa"/>
            <w:tcBorders>
              <w:top w:val="single" w:sz="4" w:space="0" w:color="auto"/>
              <w:left w:val="none" w:sz="0" w:space="0" w:color="000000"/>
              <w:bottom w:val="single" w:sz="4" w:space="0" w:color="auto"/>
              <w:right w:val="none" w:sz="0" w:space="0" w:color="000000"/>
            </w:tcBorders>
            <w:tcMar>
              <w:top w:w="15" w:type="dxa"/>
              <w:left w:w="30" w:type="dxa"/>
              <w:right w:w="30" w:type="dxa"/>
            </w:tcMar>
            <w:vAlign w:val="bottom"/>
          </w:tcPr>
          <w:p w14:paraId="6238D31B" w14:textId="2BD07F8E" w:rsidR="00872ABB" w:rsidRPr="0005042D" w:rsidRDefault="00872ABB" w:rsidP="0005042D">
            <w:pPr>
              <w:autoSpaceDE w:val="0"/>
              <w:autoSpaceDN w:val="0"/>
              <w:adjustRightInd w:val="0"/>
              <w:spacing w:after="0" w:line="276" w:lineRule="auto"/>
              <w:jc w:val="center"/>
              <w:rPr>
                <w:rFonts w:ascii="Garamond" w:eastAsia="Times New Roman" w:hAnsi="Garamond" w:cs="Times New Roman"/>
                <w:b/>
                <w:bCs/>
                <w:color w:val="000000"/>
              </w:rPr>
            </w:pPr>
            <w:r w:rsidRPr="0005042D">
              <w:rPr>
                <w:rFonts w:ascii="Garamond" w:eastAsia="Times New Roman" w:hAnsi="Garamond" w:cs="Times New Roman"/>
                <w:b/>
                <w:bCs/>
                <w:color w:val="000000"/>
              </w:rPr>
              <w:t>P-Value</w:t>
            </w:r>
          </w:p>
        </w:tc>
        <w:tc>
          <w:tcPr>
            <w:tcW w:w="4365" w:type="dxa"/>
            <w:tcBorders>
              <w:top w:val="single" w:sz="4" w:space="0" w:color="auto"/>
              <w:left w:val="none" w:sz="0" w:space="0" w:color="000000"/>
              <w:bottom w:val="single" w:sz="4" w:space="0" w:color="auto"/>
              <w:right w:val="none" w:sz="0" w:space="0" w:color="000000"/>
            </w:tcBorders>
            <w:tcMar>
              <w:top w:w="15" w:type="dxa"/>
              <w:left w:w="30" w:type="dxa"/>
              <w:right w:w="30" w:type="dxa"/>
            </w:tcMar>
            <w:vAlign w:val="bottom"/>
          </w:tcPr>
          <w:p w14:paraId="390797AA" w14:textId="77777777" w:rsidR="00872ABB" w:rsidRPr="0005042D" w:rsidRDefault="00872ABB" w:rsidP="0005042D">
            <w:pPr>
              <w:autoSpaceDE w:val="0"/>
              <w:autoSpaceDN w:val="0"/>
              <w:adjustRightInd w:val="0"/>
              <w:spacing w:after="0" w:line="276" w:lineRule="auto"/>
              <w:jc w:val="center"/>
              <w:rPr>
                <w:rFonts w:ascii="Garamond" w:eastAsia="Times New Roman" w:hAnsi="Garamond" w:cs="Times New Roman"/>
                <w:b/>
                <w:bCs/>
                <w:color w:val="000000"/>
              </w:rPr>
            </w:pPr>
            <w:r w:rsidRPr="0005042D">
              <w:rPr>
                <w:rFonts w:ascii="Garamond" w:eastAsia="Times New Roman" w:hAnsi="Garamond" w:cs="Times New Roman"/>
                <w:b/>
                <w:bCs/>
                <w:color w:val="000000"/>
              </w:rPr>
              <w:t>Recommendation</w:t>
            </w:r>
          </w:p>
        </w:tc>
      </w:tr>
      <w:tr w:rsidR="00872ABB" w:rsidRPr="0005042D" w14:paraId="062F7E16" w14:textId="77777777" w:rsidTr="00872ABB">
        <w:tc>
          <w:tcPr>
            <w:tcW w:w="1417" w:type="dxa"/>
            <w:gridSpan w:val="2"/>
            <w:tcBorders>
              <w:top w:val="single" w:sz="4" w:space="0" w:color="auto"/>
              <w:left w:val="nil"/>
              <w:bottom w:val="single" w:sz="4" w:space="0" w:color="auto"/>
              <w:right w:val="nil"/>
            </w:tcBorders>
            <w:tcMar>
              <w:top w:w="15" w:type="dxa"/>
              <w:left w:w="30" w:type="dxa"/>
              <w:right w:w="30" w:type="dxa"/>
            </w:tcMar>
          </w:tcPr>
          <w:p w14:paraId="78C2442A" w14:textId="1BA87B6E" w:rsidR="00872ABB" w:rsidRPr="0005042D" w:rsidRDefault="00872ABB" w:rsidP="0005042D">
            <w:pPr>
              <w:autoSpaceDE w:val="0"/>
              <w:autoSpaceDN w:val="0"/>
              <w:adjustRightInd w:val="0"/>
              <w:spacing w:after="0" w:line="276" w:lineRule="auto"/>
              <w:jc w:val="right"/>
              <w:rPr>
                <w:rFonts w:ascii="Garamond" w:eastAsia="Times New Roman" w:hAnsi="Garamond" w:cs="Times New Roman"/>
                <w:color w:val="000000"/>
              </w:rPr>
            </w:pPr>
            <w:r w:rsidRPr="0005042D">
              <w:rPr>
                <w:rFonts w:ascii="Garamond" w:eastAsia="Times New Roman" w:hAnsi="Garamond" w:cs="Times New Roman"/>
                <w:color w:val="000000"/>
              </w:rPr>
              <w:t>-4,63384</w:t>
            </w:r>
          </w:p>
        </w:tc>
        <w:tc>
          <w:tcPr>
            <w:tcW w:w="1134" w:type="dxa"/>
            <w:tcBorders>
              <w:top w:val="single" w:sz="4" w:space="0" w:color="auto"/>
              <w:left w:val="nil"/>
              <w:bottom w:val="single" w:sz="4" w:space="0" w:color="auto"/>
              <w:right w:val="nil"/>
            </w:tcBorders>
            <w:tcMar>
              <w:top w:w="15" w:type="dxa"/>
              <w:left w:w="30" w:type="dxa"/>
              <w:right w:w="30" w:type="dxa"/>
            </w:tcMar>
          </w:tcPr>
          <w:p w14:paraId="72D8B8A5" w14:textId="1A563880" w:rsidR="00872ABB" w:rsidRPr="0005042D" w:rsidRDefault="00872ABB" w:rsidP="0005042D">
            <w:pPr>
              <w:autoSpaceDE w:val="0"/>
              <w:autoSpaceDN w:val="0"/>
              <w:adjustRightInd w:val="0"/>
              <w:spacing w:after="0" w:line="276" w:lineRule="auto"/>
              <w:jc w:val="right"/>
              <w:rPr>
                <w:rFonts w:ascii="Garamond" w:eastAsia="Times New Roman" w:hAnsi="Garamond" w:cs="Times New Roman"/>
                <w:color w:val="000000"/>
              </w:rPr>
            </w:pPr>
            <w:r w:rsidRPr="0005042D">
              <w:rPr>
                <w:rFonts w:ascii="Garamond" w:eastAsia="Times New Roman" w:hAnsi="Garamond" w:cs="Times New Roman"/>
                <w:color w:val="000000"/>
              </w:rPr>
              <w:t>0,000</w:t>
            </w:r>
          </w:p>
        </w:tc>
        <w:tc>
          <w:tcPr>
            <w:tcW w:w="4365" w:type="dxa"/>
            <w:tcBorders>
              <w:top w:val="single" w:sz="4" w:space="0" w:color="auto"/>
              <w:left w:val="nil"/>
              <w:bottom w:val="single" w:sz="4" w:space="0" w:color="auto"/>
              <w:right w:val="nil"/>
            </w:tcBorders>
            <w:tcMar>
              <w:top w:w="15" w:type="dxa"/>
              <w:left w:w="30" w:type="dxa"/>
              <w:right w:w="30" w:type="dxa"/>
            </w:tcMar>
          </w:tcPr>
          <w:p w14:paraId="7F309776"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Test statistic &lt;= critical value of -2,95123.</w:t>
            </w:r>
          </w:p>
        </w:tc>
      </w:tr>
      <w:tr w:rsidR="00872ABB" w:rsidRPr="0005042D" w14:paraId="27B6FA8F" w14:textId="77777777" w:rsidTr="00872ABB">
        <w:tc>
          <w:tcPr>
            <w:tcW w:w="708" w:type="dxa"/>
            <w:tcBorders>
              <w:top w:val="single" w:sz="4" w:space="0" w:color="auto"/>
              <w:left w:val="nil"/>
              <w:bottom w:val="single" w:sz="4" w:space="0" w:color="auto"/>
              <w:right w:val="nil"/>
            </w:tcBorders>
            <w:tcMar>
              <w:left w:w="30" w:type="dxa"/>
              <w:right w:w="30" w:type="dxa"/>
            </w:tcMar>
          </w:tcPr>
          <w:p w14:paraId="6704BAFA" w14:textId="77777777" w:rsidR="00872ABB" w:rsidRPr="0005042D" w:rsidRDefault="00872ABB" w:rsidP="0005042D">
            <w:pPr>
              <w:autoSpaceDE w:val="0"/>
              <w:autoSpaceDN w:val="0"/>
              <w:adjustRightInd w:val="0"/>
              <w:spacing w:after="0" w:line="276" w:lineRule="auto"/>
              <w:jc w:val="center"/>
              <w:rPr>
                <w:rFonts w:ascii="Garamond" w:eastAsia="Times New Roman" w:hAnsi="Garamond" w:cs="Times New Roman"/>
                <w:color w:val="000000"/>
              </w:rPr>
            </w:pPr>
            <w:r w:rsidRPr="0005042D">
              <w:rPr>
                <w:rFonts w:ascii="Garamond" w:eastAsia="Times New Roman" w:hAnsi="Garamond" w:cs="Times New Roman"/>
                <w:color w:val="000000"/>
              </w:rPr>
              <w:t> </w:t>
            </w:r>
          </w:p>
        </w:tc>
        <w:tc>
          <w:tcPr>
            <w:tcW w:w="709" w:type="dxa"/>
            <w:tcBorders>
              <w:top w:val="single" w:sz="4" w:space="0" w:color="auto"/>
              <w:left w:val="nil"/>
              <w:bottom w:val="single" w:sz="4" w:space="0" w:color="auto"/>
              <w:right w:val="nil"/>
            </w:tcBorders>
          </w:tcPr>
          <w:p w14:paraId="440FE571"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p>
        </w:tc>
        <w:tc>
          <w:tcPr>
            <w:tcW w:w="1134" w:type="dxa"/>
            <w:tcBorders>
              <w:top w:val="single" w:sz="4" w:space="0" w:color="auto"/>
              <w:left w:val="nil"/>
              <w:bottom w:val="single" w:sz="4" w:space="0" w:color="auto"/>
              <w:right w:val="nil"/>
            </w:tcBorders>
            <w:tcMar>
              <w:left w:w="30" w:type="dxa"/>
              <w:right w:w="30" w:type="dxa"/>
            </w:tcMar>
          </w:tcPr>
          <w:p w14:paraId="3B85F05F" w14:textId="4FBDEBE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 </w:t>
            </w:r>
          </w:p>
        </w:tc>
        <w:tc>
          <w:tcPr>
            <w:tcW w:w="4365" w:type="dxa"/>
            <w:tcBorders>
              <w:top w:val="single" w:sz="4" w:space="0" w:color="auto"/>
              <w:left w:val="nil"/>
              <w:bottom w:val="single" w:sz="4" w:space="0" w:color="auto"/>
              <w:right w:val="nil"/>
            </w:tcBorders>
            <w:tcMar>
              <w:top w:w="15" w:type="dxa"/>
              <w:left w:w="30" w:type="dxa"/>
              <w:right w:w="30" w:type="dxa"/>
            </w:tcMar>
          </w:tcPr>
          <w:p w14:paraId="1C634767"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Significance level = 0,05</w:t>
            </w:r>
          </w:p>
        </w:tc>
      </w:tr>
      <w:tr w:rsidR="00872ABB" w:rsidRPr="0005042D" w14:paraId="2DB1D704" w14:textId="77777777" w:rsidTr="00872ABB">
        <w:tc>
          <w:tcPr>
            <w:tcW w:w="708" w:type="dxa"/>
            <w:tcBorders>
              <w:top w:val="single" w:sz="4" w:space="0" w:color="auto"/>
              <w:left w:val="nil"/>
              <w:bottom w:val="single" w:sz="4" w:space="0" w:color="auto"/>
              <w:right w:val="nil"/>
            </w:tcBorders>
            <w:tcMar>
              <w:left w:w="30" w:type="dxa"/>
              <w:right w:w="30" w:type="dxa"/>
            </w:tcMar>
          </w:tcPr>
          <w:p w14:paraId="31B70602" w14:textId="77777777" w:rsidR="00872ABB" w:rsidRPr="0005042D" w:rsidRDefault="00872ABB" w:rsidP="0005042D">
            <w:pPr>
              <w:autoSpaceDE w:val="0"/>
              <w:autoSpaceDN w:val="0"/>
              <w:adjustRightInd w:val="0"/>
              <w:spacing w:after="0" w:line="276" w:lineRule="auto"/>
              <w:jc w:val="center"/>
              <w:rPr>
                <w:rFonts w:ascii="Garamond" w:eastAsia="Times New Roman" w:hAnsi="Garamond" w:cs="Times New Roman"/>
                <w:color w:val="000000"/>
              </w:rPr>
            </w:pPr>
            <w:r w:rsidRPr="0005042D">
              <w:rPr>
                <w:rFonts w:ascii="Garamond" w:eastAsia="Times New Roman" w:hAnsi="Garamond" w:cs="Times New Roman"/>
                <w:color w:val="000000"/>
              </w:rPr>
              <w:t> </w:t>
            </w:r>
          </w:p>
        </w:tc>
        <w:tc>
          <w:tcPr>
            <w:tcW w:w="709" w:type="dxa"/>
            <w:tcBorders>
              <w:top w:val="single" w:sz="4" w:space="0" w:color="auto"/>
              <w:left w:val="nil"/>
              <w:bottom w:val="single" w:sz="4" w:space="0" w:color="auto"/>
              <w:right w:val="nil"/>
            </w:tcBorders>
          </w:tcPr>
          <w:p w14:paraId="6A7877C3"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p>
        </w:tc>
        <w:tc>
          <w:tcPr>
            <w:tcW w:w="1134" w:type="dxa"/>
            <w:tcBorders>
              <w:top w:val="single" w:sz="4" w:space="0" w:color="auto"/>
              <w:left w:val="nil"/>
              <w:bottom w:val="single" w:sz="4" w:space="0" w:color="auto"/>
              <w:right w:val="nil"/>
            </w:tcBorders>
            <w:tcMar>
              <w:left w:w="30" w:type="dxa"/>
              <w:right w:w="30" w:type="dxa"/>
            </w:tcMar>
          </w:tcPr>
          <w:p w14:paraId="556E4E32" w14:textId="30E208CD"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 </w:t>
            </w:r>
          </w:p>
        </w:tc>
        <w:tc>
          <w:tcPr>
            <w:tcW w:w="4365" w:type="dxa"/>
            <w:tcBorders>
              <w:top w:val="single" w:sz="4" w:space="0" w:color="auto"/>
              <w:left w:val="nil"/>
              <w:bottom w:val="single" w:sz="4" w:space="0" w:color="auto"/>
              <w:right w:val="nil"/>
            </w:tcBorders>
            <w:tcMar>
              <w:top w:w="15" w:type="dxa"/>
              <w:left w:w="30" w:type="dxa"/>
              <w:right w:w="30" w:type="dxa"/>
            </w:tcMar>
          </w:tcPr>
          <w:p w14:paraId="03BABB58"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Reject null hypothesis.</w:t>
            </w:r>
          </w:p>
        </w:tc>
      </w:tr>
      <w:tr w:rsidR="00872ABB" w:rsidRPr="0005042D" w14:paraId="45C04D47" w14:textId="77777777" w:rsidTr="00872ABB">
        <w:tc>
          <w:tcPr>
            <w:tcW w:w="708" w:type="dxa"/>
            <w:tcBorders>
              <w:top w:val="single" w:sz="4" w:space="0" w:color="auto"/>
              <w:left w:val="nil"/>
              <w:bottom w:val="single" w:sz="4" w:space="0" w:color="auto"/>
              <w:right w:val="nil"/>
            </w:tcBorders>
            <w:tcMar>
              <w:left w:w="30" w:type="dxa"/>
              <w:right w:w="30" w:type="dxa"/>
            </w:tcMar>
          </w:tcPr>
          <w:p w14:paraId="1A928933" w14:textId="77777777" w:rsidR="00872ABB" w:rsidRPr="0005042D" w:rsidRDefault="00872ABB" w:rsidP="0005042D">
            <w:pPr>
              <w:autoSpaceDE w:val="0"/>
              <w:autoSpaceDN w:val="0"/>
              <w:adjustRightInd w:val="0"/>
              <w:spacing w:after="0" w:line="276" w:lineRule="auto"/>
              <w:jc w:val="center"/>
              <w:rPr>
                <w:rFonts w:ascii="Garamond" w:eastAsia="Times New Roman" w:hAnsi="Garamond" w:cs="Times New Roman"/>
                <w:color w:val="000000"/>
              </w:rPr>
            </w:pPr>
            <w:r w:rsidRPr="0005042D">
              <w:rPr>
                <w:rFonts w:ascii="Garamond" w:eastAsia="Times New Roman" w:hAnsi="Garamond" w:cs="Times New Roman"/>
                <w:color w:val="000000"/>
              </w:rPr>
              <w:t> </w:t>
            </w:r>
          </w:p>
        </w:tc>
        <w:tc>
          <w:tcPr>
            <w:tcW w:w="709" w:type="dxa"/>
            <w:tcBorders>
              <w:top w:val="single" w:sz="4" w:space="0" w:color="auto"/>
              <w:left w:val="nil"/>
              <w:bottom w:val="single" w:sz="4" w:space="0" w:color="auto"/>
              <w:right w:val="nil"/>
            </w:tcBorders>
          </w:tcPr>
          <w:p w14:paraId="0D0F9568"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p>
        </w:tc>
        <w:tc>
          <w:tcPr>
            <w:tcW w:w="1134" w:type="dxa"/>
            <w:tcBorders>
              <w:top w:val="single" w:sz="4" w:space="0" w:color="auto"/>
              <w:left w:val="nil"/>
              <w:bottom w:val="single" w:sz="4" w:space="0" w:color="auto"/>
              <w:right w:val="nil"/>
            </w:tcBorders>
            <w:tcMar>
              <w:left w:w="30" w:type="dxa"/>
              <w:right w:w="30" w:type="dxa"/>
            </w:tcMar>
          </w:tcPr>
          <w:p w14:paraId="02A62DB7" w14:textId="2A976522"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 </w:t>
            </w:r>
          </w:p>
        </w:tc>
        <w:tc>
          <w:tcPr>
            <w:tcW w:w="4365" w:type="dxa"/>
            <w:tcBorders>
              <w:top w:val="single" w:sz="4" w:space="0" w:color="auto"/>
              <w:left w:val="nil"/>
              <w:bottom w:val="single" w:sz="4" w:space="0" w:color="auto"/>
              <w:right w:val="nil"/>
            </w:tcBorders>
            <w:tcMar>
              <w:top w:w="15" w:type="dxa"/>
              <w:left w:w="30" w:type="dxa"/>
              <w:right w:w="30" w:type="dxa"/>
            </w:tcMar>
          </w:tcPr>
          <w:p w14:paraId="3C348432" w14:textId="77777777" w:rsidR="00872ABB" w:rsidRPr="0005042D" w:rsidRDefault="00872ABB" w:rsidP="0005042D">
            <w:pPr>
              <w:autoSpaceDE w:val="0"/>
              <w:autoSpaceDN w:val="0"/>
              <w:adjustRightInd w:val="0"/>
              <w:spacing w:after="0" w:line="276" w:lineRule="auto"/>
              <w:rPr>
                <w:rFonts w:ascii="Garamond" w:eastAsia="Times New Roman" w:hAnsi="Garamond" w:cs="Times New Roman"/>
                <w:color w:val="000000"/>
              </w:rPr>
            </w:pPr>
            <w:r w:rsidRPr="0005042D">
              <w:rPr>
                <w:rFonts w:ascii="Garamond" w:eastAsia="Times New Roman" w:hAnsi="Garamond" w:cs="Times New Roman"/>
                <w:color w:val="000000"/>
              </w:rPr>
              <w:t>Data appears to be stationary, not supporting differencing.</w:t>
            </w:r>
          </w:p>
        </w:tc>
      </w:tr>
    </w:tbl>
    <w:p w14:paraId="3188A6F0" w14:textId="5CB5ED17" w:rsidR="00DB3E3B" w:rsidRPr="00514BFE" w:rsidRDefault="0005042D" w:rsidP="00514BFE">
      <w:pPr>
        <w:pStyle w:val="Normal1"/>
        <w:pBdr>
          <w:top w:val="nil"/>
          <w:left w:val="nil"/>
          <w:bottom w:val="nil"/>
          <w:right w:val="nil"/>
          <w:between w:val="nil"/>
        </w:pBdr>
        <w:spacing w:after="0"/>
        <w:ind w:left="993"/>
        <w:rPr>
          <w:rFonts w:ascii="Garamond" w:eastAsia="Times New Roman" w:hAnsi="Garamond" w:cs="Times New Roman"/>
          <w:sz w:val="24"/>
          <w:szCs w:val="24"/>
          <w:lang w:val="en-ID"/>
        </w:rPr>
      </w:pPr>
      <w:r>
        <w:rPr>
          <w:rFonts w:ascii="Garamond" w:eastAsia="Times New Roman" w:hAnsi="Garamond" w:cs="Times New Roman"/>
          <w:bCs/>
          <w:sz w:val="24"/>
          <w:szCs w:val="24"/>
          <w:lang w:val="id-ID"/>
        </w:rPr>
        <w:t xml:space="preserve">  </w:t>
      </w:r>
      <w:r w:rsidR="00514BFE">
        <w:rPr>
          <w:rFonts w:ascii="Garamond" w:eastAsia="Times New Roman" w:hAnsi="Garamond" w:cs="Times New Roman"/>
          <w:bCs/>
          <w:sz w:val="24"/>
          <w:szCs w:val="24"/>
          <w:lang w:val="id-ID"/>
        </w:rPr>
        <w:t xml:space="preserve">       </w:t>
      </w:r>
      <w:r w:rsidR="00514BFE" w:rsidRPr="006E675B">
        <w:rPr>
          <w:rFonts w:ascii="Garamond" w:eastAsia="Times New Roman" w:hAnsi="Garamond" w:cs="Times New Roman"/>
          <w:sz w:val="24"/>
          <w:szCs w:val="24"/>
          <w:lang w:val="en-ID"/>
        </w:rPr>
        <w:t>Source: Processed Data, 2024</w:t>
      </w:r>
    </w:p>
    <w:p w14:paraId="2DE6FF17" w14:textId="77777777" w:rsidR="0076345D" w:rsidRPr="0005042D" w:rsidRDefault="0076345D" w:rsidP="0005042D">
      <w:pPr>
        <w:pStyle w:val="Normal1"/>
        <w:pBdr>
          <w:top w:val="nil"/>
          <w:left w:val="nil"/>
          <w:bottom w:val="nil"/>
          <w:right w:val="nil"/>
          <w:between w:val="nil"/>
        </w:pBdr>
        <w:spacing w:after="0"/>
        <w:ind w:left="720" w:firstLine="720"/>
        <w:rPr>
          <w:rFonts w:ascii="Garamond" w:eastAsia="Times New Roman" w:hAnsi="Garamond" w:cs="Times New Roman"/>
          <w:bCs/>
          <w:sz w:val="24"/>
          <w:szCs w:val="24"/>
          <w:lang w:val="id-ID"/>
        </w:rPr>
      </w:pPr>
    </w:p>
    <w:p w14:paraId="62791309" w14:textId="27C42A76" w:rsidR="00DB3E3B" w:rsidRPr="0005042D" w:rsidRDefault="00514BFE" w:rsidP="0005042D">
      <w:pPr>
        <w:pStyle w:val="Normal1"/>
        <w:numPr>
          <w:ilvl w:val="0"/>
          <w:numId w:val="28"/>
        </w:numPr>
        <w:pBdr>
          <w:top w:val="nil"/>
          <w:left w:val="nil"/>
          <w:bottom w:val="nil"/>
          <w:right w:val="nil"/>
          <w:between w:val="nil"/>
        </w:pBdr>
        <w:spacing w:after="0"/>
        <w:ind w:left="851" w:hanging="283"/>
        <w:jc w:val="both"/>
        <w:rPr>
          <w:rFonts w:ascii="Garamond" w:eastAsia="Times New Roman" w:hAnsi="Garamond" w:cs="Times New Roman"/>
          <w:b/>
          <w:sz w:val="24"/>
          <w:szCs w:val="24"/>
        </w:rPr>
      </w:pPr>
      <w:r>
        <w:rPr>
          <w:rFonts w:ascii="Garamond" w:eastAsia="Times New Roman" w:hAnsi="Garamond" w:cs="Times New Roman"/>
          <w:b/>
          <w:sz w:val="24"/>
          <w:szCs w:val="24"/>
        </w:rPr>
        <w:t xml:space="preserve">Model </w:t>
      </w:r>
      <w:proofErr w:type="gramStart"/>
      <w:r>
        <w:rPr>
          <w:rFonts w:ascii="Garamond" w:eastAsia="Times New Roman" w:hAnsi="Garamond" w:cs="Times New Roman"/>
          <w:b/>
          <w:sz w:val="24"/>
          <w:szCs w:val="24"/>
        </w:rPr>
        <w:t>Identification</w:t>
      </w:r>
      <w:r w:rsidR="00872ABB" w:rsidRPr="0005042D">
        <w:rPr>
          <w:rFonts w:ascii="Garamond" w:eastAsia="Times New Roman" w:hAnsi="Garamond" w:cs="Times New Roman"/>
          <w:b/>
          <w:sz w:val="24"/>
          <w:szCs w:val="24"/>
        </w:rPr>
        <w:t xml:space="preserve"> :</w:t>
      </w:r>
      <w:proofErr w:type="gramEnd"/>
      <w:r w:rsidR="00872ABB" w:rsidRPr="0005042D">
        <w:rPr>
          <w:rFonts w:ascii="Garamond" w:eastAsia="Times New Roman" w:hAnsi="Garamond" w:cs="Times New Roman"/>
          <w:b/>
          <w:sz w:val="24"/>
          <w:szCs w:val="24"/>
        </w:rPr>
        <w:t xml:space="preserve"> </w:t>
      </w:r>
      <w:r w:rsidR="00DB3E3B" w:rsidRPr="0005042D">
        <w:rPr>
          <w:rFonts w:ascii="Garamond" w:eastAsia="Times New Roman" w:hAnsi="Garamond" w:cs="Times New Roman"/>
          <w:b/>
          <w:sz w:val="24"/>
          <w:szCs w:val="24"/>
        </w:rPr>
        <w:t>Plot ACF dan PACF</w:t>
      </w:r>
    </w:p>
    <w:p w14:paraId="700CE5DC" w14:textId="77777777" w:rsidR="00DB3E3B" w:rsidRPr="0005042D" w:rsidRDefault="00DB3E3B" w:rsidP="0005042D">
      <w:pPr>
        <w:pStyle w:val="ListParagraph"/>
        <w:numPr>
          <w:ilvl w:val="0"/>
          <w:numId w:val="19"/>
        </w:numPr>
        <w:spacing w:after="0" w:line="276" w:lineRule="auto"/>
        <w:ind w:left="1418" w:hanging="284"/>
        <w:jc w:val="both"/>
        <w:rPr>
          <w:rFonts w:ascii="Garamond" w:hAnsi="Garamond" w:cs="Times New Roman"/>
          <w:b/>
          <w:bCs/>
        </w:rPr>
      </w:pPr>
      <w:r w:rsidRPr="0005042D">
        <w:rPr>
          <w:rFonts w:ascii="Garamond" w:hAnsi="Garamond" w:cs="Times New Roman"/>
          <w:b/>
          <w:bCs/>
        </w:rPr>
        <w:t>PLOT ACF (</w:t>
      </w:r>
      <w:r w:rsidRPr="0005042D">
        <w:rPr>
          <w:rFonts w:ascii="Garamond" w:eastAsia="Times New Roman" w:hAnsi="Garamond" w:cs="Times New Roman"/>
          <w:b/>
        </w:rPr>
        <w:t>Autocorrelation Function)</w:t>
      </w:r>
    </w:p>
    <w:p w14:paraId="39DB2E4C" w14:textId="77777777" w:rsidR="00DB3E3B" w:rsidRPr="0005042D" w:rsidRDefault="00DB3E3B" w:rsidP="0005042D">
      <w:pPr>
        <w:pStyle w:val="Normal1"/>
        <w:pBdr>
          <w:top w:val="nil"/>
          <w:left w:val="nil"/>
          <w:bottom w:val="nil"/>
          <w:right w:val="nil"/>
          <w:between w:val="nil"/>
        </w:pBdr>
        <w:spacing w:after="0"/>
        <w:ind w:left="1134"/>
        <w:jc w:val="center"/>
        <w:rPr>
          <w:rFonts w:ascii="Garamond" w:eastAsia="Times New Roman" w:hAnsi="Garamond" w:cs="Times New Roman"/>
          <w:b/>
          <w:sz w:val="24"/>
          <w:szCs w:val="24"/>
        </w:rPr>
      </w:pPr>
      <w:r w:rsidRPr="0005042D">
        <w:rPr>
          <w:rFonts w:ascii="Garamond" w:eastAsia="Times New Roman" w:hAnsi="Garamond" w:cs="Times New Roman"/>
          <w:noProof/>
          <w:sz w:val="24"/>
          <w:szCs w:val="24"/>
        </w:rPr>
        <w:drawing>
          <wp:inline distT="0" distB="0" distL="0" distR="0" wp14:anchorId="17BD2C5E" wp14:editId="4F5BCEFD">
            <wp:extent cx="3288030" cy="2049145"/>
            <wp:effectExtent l="0" t="0" r="7620" b="8255"/>
            <wp:docPr id="10" name="Picture 10" descr="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518"/>
                    <a:stretch/>
                  </pic:blipFill>
                  <pic:spPr bwMode="auto">
                    <a:xfrm>
                      <a:off x="0" y="0"/>
                      <a:ext cx="3291579" cy="2051357"/>
                    </a:xfrm>
                    <a:prstGeom prst="rect">
                      <a:avLst/>
                    </a:prstGeom>
                    <a:ln>
                      <a:noFill/>
                    </a:ln>
                    <a:extLst>
                      <a:ext uri="{53640926-AAD7-44D8-BBD7-CCE9431645EC}">
                        <a14:shadowObscured xmlns:a14="http://schemas.microsoft.com/office/drawing/2010/main"/>
                      </a:ext>
                    </a:extLst>
                  </pic:spPr>
                </pic:pic>
              </a:graphicData>
            </a:graphic>
          </wp:inline>
        </w:drawing>
      </w:r>
    </w:p>
    <w:p w14:paraId="1C585169" w14:textId="77777777" w:rsidR="00514BFE" w:rsidRDefault="00514BFE" w:rsidP="0005042D">
      <w:pPr>
        <w:pStyle w:val="Normal1"/>
        <w:pBdr>
          <w:top w:val="nil"/>
          <w:left w:val="nil"/>
          <w:bottom w:val="nil"/>
          <w:right w:val="nil"/>
          <w:between w:val="nil"/>
        </w:pBdr>
        <w:spacing w:after="0"/>
        <w:ind w:left="927"/>
        <w:jc w:val="center"/>
        <w:rPr>
          <w:rFonts w:ascii="Garamond" w:eastAsia="Times New Roman" w:hAnsi="Garamond" w:cs="Times New Roman"/>
          <w:sz w:val="24"/>
          <w:szCs w:val="24"/>
          <w:lang w:val="en-ID"/>
        </w:rPr>
      </w:pPr>
      <w:r w:rsidRPr="006E675B">
        <w:rPr>
          <w:rFonts w:ascii="Garamond" w:eastAsia="Times New Roman" w:hAnsi="Garamond" w:cs="Times New Roman"/>
          <w:sz w:val="24"/>
          <w:szCs w:val="24"/>
          <w:lang w:val="en-ID"/>
        </w:rPr>
        <w:t>Source: Processed Data, 2024</w:t>
      </w:r>
    </w:p>
    <w:p w14:paraId="288BD960" w14:textId="7AFB78DB" w:rsidR="00DB3E3B" w:rsidRPr="0005042D" w:rsidRDefault="00514BFE" w:rsidP="0005042D">
      <w:pPr>
        <w:pStyle w:val="Normal1"/>
        <w:pBdr>
          <w:top w:val="nil"/>
          <w:left w:val="nil"/>
          <w:bottom w:val="nil"/>
          <w:right w:val="nil"/>
          <w:between w:val="nil"/>
        </w:pBdr>
        <w:spacing w:after="0"/>
        <w:ind w:left="927"/>
        <w:jc w:val="center"/>
        <w:rPr>
          <w:rFonts w:ascii="Garamond" w:eastAsia="Times New Roman" w:hAnsi="Garamond" w:cs="Times New Roman"/>
          <w:b/>
          <w:sz w:val="24"/>
          <w:szCs w:val="24"/>
        </w:rPr>
      </w:pPr>
      <w:r>
        <w:rPr>
          <w:rFonts w:ascii="Garamond" w:eastAsia="Times New Roman" w:hAnsi="Garamond" w:cs="Times New Roman"/>
          <w:b/>
          <w:sz w:val="24"/>
          <w:szCs w:val="24"/>
        </w:rPr>
        <w:t>Figure</w:t>
      </w:r>
      <w:r w:rsidR="00DB3E3B" w:rsidRPr="0005042D">
        <w:rPr>
          <w:rFonts w:ascii="Garamond" w:eastAsia="Times New Roman" w:hAnsi="Garamond" w:cs="Times New Roman"/>
          <w:b/>
          <w:sz w:val="24"/>
          <w:szCs w:val="24"/>
        </w:rPr>
        <w:t xml:space="preserve"> 2.</w:t>
      </w:r>
      <w:r w:rsidR="00F56CE0" w:rsidRPr="0005042D">
        <w:rPr>
          <w:rFonts w:ascii="Garamond" w:eastAsia="Times New Roman" w:hAnsi="Garamond" w:cs="Times New Roman"/>
          <w:b/>
          <w:sz w:val="24"/>
          <w:szCs w:val="24"/>
        </w:rPr>
        <w:t xml:space="preserve"> </w:t>
      </w:r>
      <w:r w:rsidR="00DB3E3B" w:rsidRPr="0005042D">
        <w:rPr>
          <w:rFonts w:ascii="Garamond" w:eastAsia="Times New Roman" w:hAnsi="Garamond" w:cs="Times New Roman"/>
          <w:b/>
          <w:sz w:val="24"/>
          <w:szCs w:val="24"/>
        </w:rPr>
        <w:t>Outpu</w:t>
      </w:r>
      <w:r w:rsidR="00F56CE0" w:rsidRPr="0005042D">
        <w:rPr>
          <w:rFonts w:ascii="Garamond" w:eastAsia="Times New Roman" w:hAnsi="Garamond" w:cs="Times New Roman"/>
          <w:b/>
          <w:sz w:val="24"/>
          <w:szCs w:val="24"/>
        </w:rPr>
        <w:t>t</w:t>
      </w:r>
      <w:r w:rsidR="00DB3E3B" w:rsidRPr="0005042D">
        <w:rPr>
          <w:rFonts w:ascii="Garamond" w:eastAsia="Times New Roman" w:hAnsi="Garamond" w:cs="Times New Roman"/>
          <w:b/>
          <w:sz w:val="24"/>
          <w:szCs w:val="24"/>
        </w:rPr>
        <w:t xml:space="preserve"> Plot ACF </w:t>
      </w:r>
    </w:p>
    <w:p w14:paraId="2D31ADA5" w14:textId="5C76EA3C" w:rsidR="0076345D" w:rsidRDefault="00514BFE" w:rsidP="00514BFE">
      <w:pPr>
        <w:pStyle w:val="ListParagraph"/>
        <w:spacing w:after="0" w:line="276" w:lineRule="auto"/>
        <w:ind w:left="1418"/>
        <w:jc w:val="both"/>
        <w:rPr>
          <w:rFonts w:ascii="Garamond" w:hAnsi="Garamond" w:cs="Times New Roman"/>
        </w:rPr>
      </w:pPr>
      <w:r w:rsidRPr="00514BFE">
        <w:rPr>
          <w:rFonts w:ascii="Garamond" w:hAnsi="Garamond" w:cs="Times New Roman"/>
        </w:rPr>
        <w:t>Based on the analysis using Minitab, when the number of lags is not specified (default setting), the software automatically displays lags equal to n/4. Given that the number of observations for Gresik cement stock is 36, this results in 36/4 = 9 lags. Therefore, the ACF plot shows 9 lags. The Autocorrelation Function (ACF) plot above shows a rapid decline approaching the zero line by lag 2, indicating that the data is stationary</w:t>
      </w:r>
      <w:r w:rsidR="00DB3E3B" w:rsidRPr="0005042D">
        <w:rPr>
          <w:rFonts w:ascii="Garamond" w:hAnsi="Garamond" w:cs="Times New Roman"/>
        </w:rPr>
        <w:t>.</w:t>
      </w:r>
    </w:p>
    <w:p w14:paraId="2BD3003B" w14:textId="77777777" w:rsidR="00514BFE" w:rsidRDefault="00514BFE" w:rsidP="00514BFE">
      <w:pPr>
        <w:pStyle w:val="ListParagraph"/>
        <w:spacing w:after="0" w:line="276" w:lineRule="auto"/>
        <w:ind w:left="1418"/>
        <w:jc w:val="both"/>
        <w:rPr>
          <w:rFonts w:ascii="Garamond" w:hAnsi="Garamond" w:cs="Times New Roman"/>
        </w:rPr>
      </w:pPr>
    </w:p>
    <w:p w14:paraId="57F5729A" w14:textId="77777777" w:rsidR="00514BFE" w:rsidRDefault="00514BFE" w:rsidP="00514BFE">
      <w:pPr>
        <w:pStyle w:val="ListParagraph"/>
        <w:spacing w:after="0" w:line="276" w:lineRule="auto"/>
        <w:ind w:left="1418"/>
        <w:jc w:val="both"/>
        <w:rPr>
          <w:rFonts w:ascii="Garamond" w:hAnsi="Garamond" w:cs="Times New Roman"/>
        </w:rPr>
      </w:pPr>
    </w:p>
    <w:p w14:paraId="232EDEB0" w14:textId="77777777" w:rsidR="00514BFE" w:rsidRDefault="00514BFE" w:rsidP="00514BFE">
      <w:pPr>
        <w:pStyle w:val="ListParagraph"/>
        <w:spacing w:after="0" w:line="276" w:lineRule="auto"/>
        <w:ind w:left="1418"/>
        <w:jc w:val="both"/>
        <w:rPr>
          <w:rFonts w:ascii="Garamond" w:hAnsi="Garamond" w:cs="Times New Roman"/>
        </w:rPr>
      </w:pPr>
    </w:p>
    <w:p w14:paraId="2453C0D5" w14:textId="77777777" w:rsidR="00514BFE" w:rsidRDefault="00514BFE" w:rsidP="00514BFE">
      <w:pPr>
        <w:pStyle w:val="ListParagraph"/>
        <w:spacing w:after="0" w:line="276" w:lineRule="auto"/>
        <w:ind w:left="1418"/>
        <w:jc w:val="both"/>
        <w:rPr>
          <w:rFonts w:ascii="Garamond" w:hAnsi="Garamond" w:cs="Times New Roman"/>
        </w:rPr>
      </w:pPr>
    </w:p>
    <w:p w14:paraId="371069EF" w14:textId="77777777" w:rsidR="00514BFE" w:rsidRDefault="00514BFE" w:rsidP="00514BFE">
      <w:pPr>
        <w:pStyle w:val="ListParagraph"/>
        <w:spacing w:after="0" w:line="276" w:lineRule="auto"/>
        <w:ind w:left="1418"/>
        <w:jc w:val="both"/>
        <w:rPr>
          <w:rFonts w:ascii="Garamond" w:hAnsi="Garamond" w:cs="Times New Roman"/>
        </w:rPr>
      </w:pPr>
    </w:p>
    <w:p w14:paraId="656BFEF2" w14:textId="77777777" w:rsidR="00514BFE" w:rsidRDefault="00514BFE" w:rsidP="00514BFE">
      <w:pPr>
        <w:pStyle w:val="ListParagraph"/>
        <w:spacing w:after="0" w:line="276" w:lineRule="auto"/>
        <w:ind w:left="1418"/>
        <w:jc w:val="both"/>
        <w:rPr>
          <w:rFonts w:ascii="Garamond" w:hAnsi="Garamond" w:cs="Times New Roman"/>
        </w:rPr>
      </w:pPr>
    </w:p>
    <w:p w14:paraId="2706D91C" w14:textId="77777777" w:rsidR="00514BFE" w:rsidRDefault="00514BFE" w:rsidP="00514BFE">
      <w:pPr>
        <w:pStyle w:val="ListParagraph"/>
        <w:spacing w:after="0" w:line="276" w:lineRule="auto"/>
        <w:ind w:left="1418"/>
        <w:jc w:val="both"/>
        <w:rPr>
          <w:rFonts w:ascii="Garamond" w:hAnsi="Garamond" w:cs="Times New Roman"/>
        </w:rPr>
      </w:pPr>
    </w:p>
    <w:p w14:paraId="119C01C4" w14:textId="77777777" w:rsidR="00514BFE" w:rsidRPr="00514BFE" w:rsidRDefault="00514BFE" w:rsidP="00514BFE">
      <w:pPr>
        <w:pStyle w:val="ListParagraph"/>
        <w:spacing w:after="0" w:line="276" w:lineRule="auto"/>
        <w:ind w:left="1418"/>
        <w:jc w:val="both"/>
        <w:rPr>
          <w:rFonts w:ascii="Garamond" w:hAnsi="Garamond" w:cs="Times New Roman"/>
        </w:rPr>
      </w:pPr>
    </w:p>
    <w:p w14:paraId="7887A737" w14:textId="77777777" w:rsidR="00DB3E3B" w:rsidRPr="0005042D" w:rsidRDefault="00DB3E3B" w:rsidP="0005042D">
      <w:pPr>
        <w:pStyle w:val="ListParagraph"/>
        <w:numPr>
          <w:ilvl w:val="0"/>
          <w:numId w:val="19"/>
        </w:numPr>
        <w:spacing w:after="0" w:line="276" w:lineRule="auto"/>
        <w:ind w:left="1418" w:hanging="284"/>
        <w:jc w:val="both"/>
        <w:rPr>
          <w:rFonts w:ascii="Garamond" w:hAnsi="Garamond" w:cs="Times New Roman"/>
          <w:b/>
          <w:bCs/>
        </w:rPr>
      </w:pPr>
      <w:r w:rsidRPr="0005042D">
        <w:rPr>
          <w:rFonts w:ascii="Garamond" w:hAnsi="Garamond" w:cs="Times New Roman"/>
          <w:b/>
          <w:bCs/>
        </w:rPr>
        <w:t xml:space="preserve">Plot PACF </w:t>
      </w:r>
    </w:p>
    <w:p w14:paraId="0726CE4A" w14:textId="77777777" w:rsidR="00DB3E3B" w:rsidRPr="0005042D" w:rsidRDefault="00DB3E3B" w:rsidP="0005042D">
      <w:pPr>
        <w:pStyle w:val="ListParagraph"/>
        <w:spacing w:after="0" w:line="276" w:lineRule="auto"/>
        <w:ind w:left="1418"/>
        <w:jc w:val="center"/>
        <w:rPr>
          <w:rFonts w:ascii="Garamond" w:hAnsi="Garamond" w:cs="Times New Roman"/>
          <w:b/>
          <w:bCs/>
        </w:rPr>
      </w:pPr>
      <w:r w:rsidRPr="0005042D">
        <w:rPr>
          <w:rFonts w:ascii="Garamond" w:hAnsi="Garamond" w:cs="Times New Roman"/>
          <w:noProof/>
        </w:rPr>
        <w:drawing>
          <wp:inline distT="0" distB="0" distL="0" distR="0" wp14:anchorId="1020ACA2" wp14:editId="508B8BD5">
            <wp:extent cx="2915920" cy="1802201"/>
            <wp:effectExtent l="0" t="0" r="0" b="7620"/>
            <wp:docPr id="17" name="Picture 17" descr="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292"/>
                    <a:stretch/>
                  </pic:blipFill>
                  <pic:spPr bwMode="auto">
                    <a:xfrm>
                      <a:off x="0" y="0"/>
                      <a:ext cx="2940176" cy="1817193"/>
                    </a:xfrm>
                    <a:prstGeom prst="rect">
                      <a:avLst/>
                    </a:prstGeom>
                    <a:ln>
                      <a:noFill/>
                    </a:ln>
                    <a:extLst>
                      <a:ext uri="{53640926-AAD7-44D8-BBD7-CCE9431645EC}">
                        <a14:shadowObscured xmlns:a14="http://schemas.microsoft.com/office/drawing/2010/main"/>
                      </a:ext>
                    </a:extLst>
                  </pic:spPr>
                </pic:pic>
              </a:graphicData>
            </a:graphic>
          </wp:inline>
        </w:drawing>
      </w:r>
    </w:p>
    <w:p w14:paraId="72EBA64A" w14:textId="77777777" w:rsidR="00514BFE" w:rsidRDefault="00514BFE" w:rsidP="0005042D">
      <w:pPr>
        <w:pStyle w:val="ListParagraph"/>
        <w:spacing w:after="0" w:line="276" w:lineRule="auto"/>
        <w:ind w:left="1418"/>
        <w:jc w:val="center"/>
        <w:rPr>
          <w:rFonts w:ascii="Garamond" w:eastAsia="Times New Roman" w:hAnsi="Garamond" w:cs="Times New Roman"/>
        </w:rPr>
      </w:pPr>
      <w:r w:rsidRPr="006E675B">
        <w:rPr>
          <w:rFonts w:ascii="Garamond" w:eastAsia="Times New Roman" w:hAnsi="Garamond" w:cs="Times New Roman"/>
        </w:rPr>
        <w:t>Source: Processed Data, 2024</w:t>
      </w:r>
    </w:p>
    <w:p w14:paraId="76C4902C" w14:textId="1572DF42" w:rsidR="00DB3E3B" w:rsidRPr="0005042D" w:rsidRDefault="00DB3E3B" w:rsidP="0005042D">
      <w:pPr>
        <w:pStyle w:val="ListParagraph"/>
        <w:spacing w:after="0" w:line="276" w:lineRule="auto"/>
        <w:ind w:left="1418"/>
        <w:jc w:val="center"/>
        <w:rPr>
          <w:rFonts w:ascii="Garamond" w:hAnsi="Garamond" w:cs="Times New Roman"/>
          <w:b/>
          <w:bCs/>
        </w:rPr>
      </w:pPr>
      <w:r w:rsidRPr="0005042D">
        <w:rPr>
          <w:rFonts w:ascii="Garamond" w:hAnsi="Garamond" w:cs="Times New Roman"/>
          <w:b/>
          <w:bCs/>
        </w:rPr>
        <w:t xml:space="preserve">Gambar 3. Output Plot PACF </w:t>
      </w:r>
    </w:p>
    <w:p w14:paraId="6DDBD707" w14:textId="092C54B4" w:rsidR="00DB3E3B" w:rsidRPr="0005042D" w:rsidRDefault="00514BFE" w:rsidP="0005042D">
      <w:pPr>
        <w:pStyle w:val="ListParagraph"/>
        <w:spacing w:after="0" w:line="276" w:lineRule="auto"/>
        <w:ind w:left="1418"/>
        <w:jc w:val="both"/>
        <w:rPr>
          <w:rFonts w:ascii="Garamond" w:hAnsi="Garamond" w:cs="Times New Roman"/>
        </w:rPr>
      </w:pPr>
      <w:r w:rsidRPr="00514BFE">
        <w:rPr>
          <w:rFonts w:ascii="Garamond" w:hAnsi="Garamond" w:cs="Times New Roman"/>
        </w:rPr>
        <w:t>Using Minitab software, the estimated PACF values were obtained up to lag 9. The resulting PACF plot shows that the partial autocorrelation values drop after lag 1, and the line at lag 1 is close to the significance boundary. Based on this analysis, it can be concluded that the data is stationary</w:t>
      </w:r>
      <w:r w:rsidR="00DB3E3B" w:rsidRPr="0005042D">
        <w:rPr>
          <w:rFonts w:ascii="Garamond" w:hAnsi="Garamond" w:cs="Times New Roman"/>
        </w:rPr>
        <w:t>.</w:t>
      </w:r>
    </w:p>
    <w:p w14:paraId="3D9F7B6D" w14:textId="3929216C" w:rsidR="00DB3E3B" w:rsidRDefault="00514BFE" w:rsidP="0005042D">
      <w:pPr>
        <w:pStyle w:val="ListParagraph"/>
        <w:spacing w:after="0" w:line="276" w:lineRule="auto"/>
        <w:ind w:left="1134" w:firstLine="567"/>
        <w:jc w:val="both"/>
        <w:rPr>
          <w:rFonts w:ascii="Garamond" w:hAnsi="Garamond" w:cs="Times New Roman"/>
          <w:lang w:val="id-ID"/>
        </w:rPr>
      </w:pPr>
      <w:r w:rsidRPr="00514BFE">
        <w:rPr>
          <w:rFonts w:ascii="Garamond" w:hAnsi="Garamond" w:cs="Times New Roman"/>
        </w:rPr>
        <w:t xml:space="preserve">Based on the identification results from the ACF and PACF plots, it is assumed that the sales data follows an </w:t>
      </w:r>
      <w:proofErr w:type="gramStart"/>
      <w:r w:rsidRPr="00514BFE">
        <w:rPr>
          <w:rFonts w:ascii="Garamond" w:hAnsi="Garamond" w:cs="Times New Roman"/>
        </w:rPr>
        <w:t>AR(</w:t>
      </w:r>
      <w:proofErr w:type="gramEnd"/>
      <w:r w:rsidRPr="00514BFE">
        <w:rPr>
          <w:rFonts w:ascii="Garamond" w:hAnsi="Garamond" w:cs="Times New Roman"/>
        </w:rPr>
        <w:t xml:space="preserve">1) and </w:t>
      </w:r>
      <w:proofErr w:type="gramStart"/>
      <w:r w:rsidRPr="00514BFE">
        <w:rPr>
          <w:rFonts w:ascii="Garamond" w:hAnsi="Garamond" w:cs="Times New Roman"/>
        </w:rPr>
        <w:t>MA(</w:t>
      </w:r>
      <w:proofErr w:type="gramEnd"/>
      <w:r w:rsidRPr="00514BFE">
        <w:rPr>
          <w:rFonts w:ascii="Garamond" w:hAnsi="Garamond" w:cs="Times New Roman"/>
        </w:rPr>
        <w:t xml:space="preserve">1) process. This assumption is supported by the selection made using the 'Forecast with Best ARIMA' menu in Minitab 16, where the </w:t>
      </w:r>
      <w:proofErr w:type="gramStart"/>
      <w:r w:rsidRPr="00514BFE">
        <w:rPr>
          <w:rFonts w:ascii="Garamond" w:hAnsi="Garamond" w:cs="Times New Roman"/>
        </w:rPr>
        <w:t>ARIMA(</w:t>
      </w:r>
      <w:proofErr w:type="gramEnd"/>
      <w:r w:rsidRPr="00514BFE">
        <w:rPr>
          <w:rFonts w:ascii="Garamond" w:hAnsi="Garamond" w:cs="Times New Roman"/>
        </w:rPr>
        <w:t>1,0,1) model shows the lowest Akaike Information Criterion (AIC) value of 238.32, compared to other model alternatives</w:t>
      </w:r>
      <w:r w:rsidR="00DB3E3B" w:rsidRPr="0005042D">
        <w:rPr>
          <w:rFonts w:ascii="Garamond" w:hAnsi="Garamond" w:cs="Times New Roman"/>
          <w:lang w:val="id-ID"/>
        </w:rPr>
        <w:t>.</w:t>
      </w:r>
    </w:p>
    <w:p w14:paraId="2D11BD22" w14:textId="77777777" w:rsidR="0076345D" w:rsidRPr="0005042D" w:rsidRDefault="0076345D" w:rsidP="0005042D">
      <w:pPr>
        <w:pStyle w:val="ListParagraph"/>
        <w:spacing w:after="0" w:line="276" w:lineRule="auto"/>
        <w:ind w:left="1134" w:firstLine="567"/>
        <w:jc w:val="both"/>
        <w:rPr>
          <w:rFonts w:ascii="Garamond" w:hAnsi="Garamond" w:cs="Times New Roman"/>
        </w:rPr>
      </w:pPr>
    </w:p>
    <w:p w14:paraId="2A4ED599" w14:textId="099E3E62" w:rsidR="00DB3E3B" w:rsidRPr="0005042D" w:rsidRDefault="00514BFE" w:rsidP="0005042D">
      <w:pPr>
        <w:pStyle w:val="Normal1"/>
        <w:numPr>
          <w:ilvl w:val="0"/>
          <w:numId w:val="28"/>
        </w:numPr>
        <w:pBdr>
          <w:top w:val="nil"/>
          <w:left w:val="nil"/>
          <w:bottom w:val="nil"/>
          <w:right w:val="nil"/>
          <w:between w:val="nil"/>
        </w:pBdr>
        <w:spacing w:after="0"/>
        <w:ind w:left="851" w:hanging="283"/>
        <w:jc w:val="both"/>
        <w:rPr>
          <w:rFonts w:ascii="Garamond" w:eastAsia="Times New Roman" w:hAnsi="Garamond" w:cs="Times New Roman"/>
          <w:b/>
          <w:sz w:val="24"/>
          <w:szCs w:val="24"/>
        </w:rPr>
      </w:pPr>
      <w:r>
        <w:rPr>
          <w:rFonts w:ascii="Garamond" w:eastAsia="Times New Roman" w:hAnsi="Garamond" w:cs="Times New Roman"/>
          <w:b/>
          <w:sz w:val="24"/>
          <w:szCs w:val="24"/>
        </w:rPr>
        <w:t xml:space="preserve">Model Selection </w:t>
      </w:r>
    </w:p>
    <w:p w14:paraId="3ACE4D28" w14:textId="5D43D75F" w:rsidR="00E075C7" w:rsidRPr="0005042D" w:rsidRDefault="00514BFE" w:rsidP="0005042D">
      <w:pPr>
        <w:pStyle w:val="ListParagraph"/>
        <w:spacing w:after="0" w:line="276" w:lineRule="auto"/>
        <w:ind w:left="1134" w:firstLine="567"/>
        <w:jc w:val="both"/>
        <w:rPr>
          <w:rFonts w:ascii="Garamond" w:eastAsia="Times New Roman" w:hAnsi="Garamond" w:cs="Times New Roman"/>
          <w:kern w:val="0"/>
          <w:lang w:eastAsia="en-ID"/>
          <w14:ligatures w14:val="none"/>
        </w:rPr>
      </w:pPr>
      <w:r w:rsidRPr="00514BFE">
        <w:rPr>
          <w:rFonts w:ascii="Garamond" w:eastAsia="Times New Roman" w:hAnsi="Garamond" w:cs="Times New Roman"/>
          <w:kern w:val="0"/>
          <w:lang w:eastAsia="en-ID"/>
          <w14:ligatures w14:val="none"/>
        </w:rPr>
        <w:t xml:space="preserve">The </w:t>
      </w:r>
      <w:proofErr w:type="gramStart"/>
      <w:r w:rsidRPr="00514BFE">
        <w:rPr>
          <w:rFonts w:ascii="Garamond" w:eastAsia="Times New Roman" w:hAnsi="Garamond" w:cs="Times New Roman"/>
          <w:kern w:val="0"/>
          <w:lang w:eastAsia="en-ID"/>
          <w14:ligatures w14:val="none"/>
        </w:rPr>
        <w:t>ARIMA(</w:t>
      </w:r>
      <w:proofErr w:type="gramEnd"/>
      <w:r w:rsidRPr="00514BFE">
        <w:rPr>
          <w:rFonts w:ascii="Garamond" w:eastAsia="Times New Roman" w:hAnsi="Garamond" w:cs="Times New Roman"/>
          <w:kern w:val="0"/>
          <w:lang w:eastAsia="en-ID"/>
          <w14:ligatures w14:val="none"/>
        </w:rPr>
        <w:t xml:space="preserve">1,0,0) model has a Mean Square Error (MSE) of 38.54, while the </w:t>
      </w:r>
      <w:proofErr w:type="gramStart"/>
      <w:r w:rsidRPr="00514BFE">
        <w:rPr>
          <w:rFonts w:ascii="Garamond" w:eastAsia="Times New Roman" w:hAnsi="Garamond" w:cs="Times New Roman"/>
          <w:kern w:val="0"/>
          <w:lang w:eastAsia="en-ID"/>
          <w14:ligatures w14:val="none"/>
        </w:rPr>
        <w:t>ARIMA(</w:t>
      </w:r>
      <w:proofErr w:type="gramEnd"/>
      <w:r w:rsidRPr="00514BFE">
        <w:rPr>
          <w:rFonts w:ascii="Garamond" w:eastAsia="Times New Roman" w:hAnsi="Garamond" w:cs="Times New Roman"/>
          <w:kern w:val="0"/>
          <w:lang w:eastAsia="en-ID"/>
          <w14:ligatures w14:val="none"/>
        </w:rPr>
        <w:t xml:space="preserve">0,0,1) model has an MSE of 59.70. Based on the lower MSE value, </w:t>
      </w:r>
      <w:proofErr w:type="gramStart"/>
      <w:r w:rsidRPr="00514BFE">
        <w:rPr>
          <w:rFonts w:ascii="Garamond" w:eastAsia="Times New Roman" w:hAnsi="Garamond" w:cs="Times New Roman"/>
          <w:kern w:val="0"/>
          <w:lang w:eastAsia="en-ID"/>
          <w14:ligatures w14:val="none"/>
        </w:rPr>
        <w:t>ARIMA(</w:t>
      </w:r>
      <w:proofErr w:type="gramEnd"/>
      <w:r w:rsidRPr="00514BFE">
        <w:rPr>
          <w:rFonts w:ascii="Garamond" w:eastAsia="Times New Roman" w:hAnsi="Garamond" w:cs="Times New Roman"/>
          <w:kern w:val="0"/>
          <w:lang w:eastAsia="en-ID"/>
          <w14:ligatures w14:val="none"/>
        </w:rPr>
        <w:t xml:space="preserve">1,0,0) is selected as the best model. Parameter estimation for the </w:t>
      </w:r>
      <w:proofErr w:type="gramStart"/>
      <w:r w:rsidRPr="00514BFE">
        <w:rPr>
          <w:rFonts w:ascii="Garamond" w:eastAsia="Times New Roman" w:hAnsi="Garamond" w:cs="Times New Roman"/>
          <w:kern w:val="0"/>
          <w:lang w:eastAsia="en-ID"/>
          <w14:ligatures w14:val="none"/>
        </w:rPr>
        <w:t>ARIMA(</w:t>
      </w:r>
      <w:proofErr w:type="gramEnd"/>
      <w:r w:rsidRPr="00514BFE">
        <w:rPr>
          <w:rFonts w:ascii="Garamond" w:eastAsia="Times New Roman" w:hAnsi="Garamond" w:cs="Times New Roman"/>
          <w:kern w:val="0"/>
          <w:lang w:eastAsia="en-ID"/>
          <w14:ligatures w14:val="none"/>
        </w:rPr>
        <w:t xml:space="preserve">1,0,0) model shows that the </w:t>
      </w:r>
      <w:proofErr w:type="gramStart"/>
      <w:r w:rsidRPr="00514BFE">
        <w:rPr>
          <w:rFonts w:ascii="Garamond" w:eastAsia="Times New Roman" w:hAnsi="Garamond" w:cs="Times New Roman"/>
          <w:kern w:val="0"/>
          <w:lang w:eastAsia="en-ID"/>
          <w14:ligatures w14:val="none"/>
        </w:rPr>
        <w:t>AR(</w:t>
      </w:r>
      <w:proofErr w:type="gramEnd"/>
      <w:r w:rsidRPr="00514BFE">
        <w:rPr>
          <w:rFonts w:ascii="Garamond" w:eastAsia="Times New Roman" w:hAnsi="Garamond" w:cs="Times New Roman"/>
          <w:kern w:val="0"/>
          <w:lang w:eastAsia="en-ID"/>
          <w14:ligatures w14:val="none"/>
        </w:rPr>
        <w:t>1) coefficient is 0.8277, which is statistically significant at the 95% confidence level (p-value = 0.000). The constant value of 23.88 is also significant (p-value = 0.000). Therefore, this model meets the criteria for a stable and accurate predictive model. Mathematically, the resulting AR model can be written as follows</w:t>
      </w:r>
      <w:r w:rsidR="00E075C7" w:rsidRPr="0005042D">
        <w:rPr>
          <w:rFonts w:ascii="Garamond" w:hAnsi="Garamond" w:cs="Times New Roman"/>
        </w:rPr>
        <w:t>:</w:t>
      </w:r>
    </w:p>
    <w:p w14:paraId="1772D7BE" w14:textId="76A531FB" w:rsidR="00E075C7" w:rsidRPr="0005042D" w:rsidRDefault="00E075C7" w:rsidP="0005042D">
      <w:pPr>
        <w:pStyle w:val="ListParagraph"/>
        <w:spacing w:after="0" w:line="276" w:lineRule="auto"/>
        <w:ind w:left="927"/>
        <w:jc w:val="both"/>
        <w:rPr>
          <w:rFonts w:ascii="Garamond" w:hAnsi="Garamond" w:cs="Times New Roman"/>
        </w:rPr>
      </w:pPr>
      <w:r w:rsidRPr="0005042D">
        <w:rPr>
          <w:rFonts w:ascii="Garamond" w:hAnsi="Garamond" w:cs="Times New Roman"/>
        </w:rPr>
        <w:t xml:space="preserve">   Model: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-μ=</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-θ</m:t>
            </m:r>
          </m:e>
          <m:sub>
            <m:r>
              <w:rPr>
                <w:rFonts w:ascii="Cambria Math" w:hAnsi="Cambria Math" w:cs="Times New Roman"/>
              </w:rPr>
              <m:t>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t-1</m:t>
                </m:r>
              </m:sub>
            </m:sSub>
            <m:r>
              <w:rPr>
                <w:rFonts w:ascii="Cambria Math" w:hAnsi="Cambria Math" w:cs="Times New Roman"/>
              </w:rPr>
              <m:t>-μ</m:t>
            </m:r>
          </m:e>
        </m:d>
      </m:oMath>
    </w:p>
    <w:p w14:paraId="2BCB5031" w14:textId="77777777" w:rsidR="00E075C7" w:rsidRPr="0005042D" w:rsidRDefault="00000000" w:rsidP="0005042D">
      <w:pPr>
        <w:pStyle w:val="ListParagraph"/>
        <w:spacing w:after="0" w:line="276" w:lineRule="auto"/>
        <w:ind w:left="927"/>
        <w:jc w:val="both"/>
        <w:rPr>
          <w:rFonts w:ascii="Garamond" w:hAnsi="Garamond"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t-1</m:t>
              </m:r>
            </m:sub>
          </m:sSub>
          <m:sSub>
            <m:sSubPr>
              <m:ctrlPr>
                <w:rPr>
                  <w:rFonts w:ascii="Cambria Math" w:hAnsi="Cambria Math" w:cs="Times New Roman"/>
                  <w:i/>
                </w:rPr>
              </m:ctrlPr>
            </m:sSubPr>
            <m:e>
              <m:r>
                <w:rPr>
                  <w:rFonts w:ascii="Cambria Math" w:hAnsi="Cambria Math" w:cs="Times New Roman"/>
                </w:rPr>
                <m:t>+(1+θ</m:t>
              </m:r>
            </m:e>
            <m:sub>
              <m:r>
                <w:rPr>
                  <w:rFonts w:ascii="Cambria Math" w:hAnsi="Cambria Math" w:cs="Times New Roman"/>
                </w:rPr>
                <m:t>1</m:t>
              </m:r>
            </m:sub>
          </m:sSub>
          <m:r>
            <w:rPr>
              <w:rFonts w:ascii="Cambria Math" w:hAnsi="Cambria Math" w:cs="Times New Roman"/>
            </w:rPr>
            <m:t>)μ</m:t>
          </m:r>
        </m:oMath>
      </m:oMathPara>
    </w:p>
    <w:p w14:paraId="31D03C2C" w14:textId="77777777" w:rsidR="00E075C7" w:rsidRPr="0005042D" w:rsidRDefault="00E075C7" w:rsidP="0005042D">
      <w:pPr>
        <w:pStyle w:val="ListParagraph"/>
        <w:spacing w:after="0" w:line="276" w:lineRule="auto"/>
        <w:ind w:left="1134" w:firstLine="567"/>
        <w:jc w:val="both"/>
        <w:rPr>
          <w:rFonts w:ascii="Garamond" w:hAnsi="Garamond" w:cs="Times New Roman"/>
        </w:rPr>
      </w:pPr>
      <w:proofErr w:type="spellStart"/>
      <w:r w:rsidRPr="0005042D">
        <w:rPr>
          <w:rFonts w:ascii="Garamond" w:hAnsi="Garamond" w:cs="Times New Roman"/>
        </w:rPr>
        <w:t>Sehingga</w:t>
      </w:r>
      <w:proofErr w:type="spellEnd"/>
      <w:r w:rsidRPr="0005042D">
        <w:rPr>
          <w:rFonts w:ascii="Garamond" w:hAnsi="Garamond" w:cs="Times New Roman"/>
        </w:rPr>
        <w:t xml:space="preserve"> model </w:t>
      </w:r>
      <w:proofErr w:type="spellStart"/>
      <w:r w:rsidRPr="0005042D">
        <w:rPr>
          <w:rFonts w:ascii="Garamond" w:hAnsi="Garamond" w:cs="Times New Roman"/>
        </w:rPr>
        <w:t>dari</w:t>
      </w:r>
      <w:proofErr w:type="spellEnd"/>
      <w:r w:rsidRPr="0005042D">
        <w:rPr>
          <w:rFonts w:ascii="Garamond" w:hAnsi="Garamond" w:cs="Times New Roman"/>
        </w:rPr>
        <w:t xml:space="preserve"> data </w:t>
      </w:r>
      <w:proofErr w:type="spellStart"/>
      <w:r w:rsidRPr="0005042D">
        <w:rPr>
          <w:rFonts w:ascii="Garamond" w:hAnsi="Garamond" w:cs="Times New Roman"/>
        </w:rPr>
        <w:t>ini</w:t>
      </w:r>
      <w:proofErr w:type="spellEnd"/>
      <w:r w:rsidRPr="0005042D">
        <w:rPr>
          <w:rFonts w:ascii="Garamond" w:hAnsi="Garamond" w:cs="Times New Roman"/>
        </w:rPr>
        <w:t xml:space="preserve"> </w:t>
      </w:r>
      <w:proofErr w:type="spellStart"/>
      <w:r w:rsidRPr="0005042D">
        <w:rPr>
          <w:rFonts w:ascii="Garamond" w:hAnsi="Garamond" w:cs="Times New Roman"/>
        </w:rPr>
        <w:t>adalah</w:t>
      </w:r>
      <w:proofErr w:type="spellEnd"/>
      <w:r w:rsidRPr="0005042D">
        <w:rPr>
          <w:rFonts w:ascii="Garamond" w:hAnsi="Garamond" w:cs="Times New Roman"/>
        </w:rPr>
        <w:t>:</w:t>
      </w:r>
    </w:p>
    <w:p w14:paraId="1CA12BB1" w14:textId="77777777" w:rsidR="00E075C7" w:rsidRPr="0076345D" w:rsidRDefault="00000000" w:rsidP="0005042D">
      <w:pPr>
        <w:pStyle w:val="ListParagraph"/>
        <w:tabs>
          <w:tab w:val="left" w:pos="1890"/>
        </w:tabs>
        <w:autoSpaceDE w:val="0"/>
        <w:autoSpaceDN w:val="0"/>
        <w:adjustRightInd w:val="0"/>
        <w:spacing w:after="0" w:line="276" w:lineRule="auto"/>
        <w:ind w:left="927"/>
        <w:jc w:val="center"/>
        <w:rPr>
          <w:rFonts w:ascii="Garamond" w:eastAsiaTheme="minorEastAsia" w:hAnsi="Garamond"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+0,8277</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t-1</m:t>
              </m:r>
            </m:sub>
          </m:sSub>
          <m:r>
            <w:rPr>
              <w:rFonts w:ascii="Cambria Math" w:hAnsi="Cambria Math" w:cs="Times New Roman"/>
            </w:rPr>
            <m:t>+</m:t>
          </m:r>
          <m:r>
            <m:rPr>
              <m:sty m:val="p"/>
            </m:rPr>
            <w:rPr>
              <w:rFonts w:ascii="Cambria Math" w:hAnsi="Cambria Math" w:cs="Times New Roman"/>
            </w:rPr>
            <m:t>23,88</m:t>
          </m:r>
        </m:oMath>
      </m:oMathPara>
    </w:p>
    <w:p w14:paraId="17F02481" w14:textId="77777777" w:rsidR="0076345D" w:rsidRPr="0005042D" w:rsidRDefault="0076345D" w:rsidP="0005042D">
      <w:pPr>
        <w:pStyle w:val="ListParagraph"/>
        <w:tabs>
          <w:tab w:val="left" w:pos="1890"/>
        </w:tabs>
        <w:autoSpaceDE w:val="0"/>
        <w:autoSpaceDN w:val="0"/>
        <w:adjustRightInd w:val="0"/>
        <w:spacing w:after="0" w:line="276" w:lineRule="auto"/>
        <w:ind w:left="927"/>
        <w:jc w:val="center"/>
        <w:rPr>
          <w:rFonts w:ascii="Garamond" w:hAnsi="Garamond" w:cs="Times New Roman"/>
        </w:rPr>
      </w:pPr>
    </w:p>
    <w:p w14:paraId="747F4EA2" w14:textId="0F64CFC8" w:rsidR="00BF60D4" w:rsidRPr="0005042D" w:rsidRDefault="00BF60D4" w:rsidP="0005042D">
      <w:pPr>
        <w:pStyle w:val="Normal1"/>
        <w:numPr>
          <w:ilvl w:val="0"/>
          <w:numId w:val="28"/>
        </w:numPr>
        <w:pBdr>
          <w:top w:val="nil"/>
          <w:left w:val="nil"/>
          <w:bottom w:val="nil"/>
          <w:right w:val="nil"/>
          <w:between w:val="nil"/>
        </w:pBdr>
        <w:spacing w:after="0"/>
        <w:ind w:left="851" w:hanging="283"/>
        <w:jc w:val="both"/>
        <w:rPr>
          <w:rFonts w:ascii="Garamond" w:eastAsia="Times New Roman" w:hAnsi="Garamond" w:cs="Times New Roman"/>
          <w:b/>
          <w:sz w:val="24"/>
          <w:szCs w:val="24"/>
        </w:rPr>
      </w:pPr>
      <w:r w:rsidRPr="0005042D">
        <w:rPr>
          <w:rFonts w:ascii="Garamond" w:eastAsia="Times New Roman" w:hAnsi="Garamond" w:cs="Times New Roman"/>
          <w:b/>
          <w:sz w:val="24"/>
          <w:szCs w:val="24"/>
        </w:rPr>
        <w:t>Residual</w:t>
      </w:r>
      <w:r w:rsidR="00514BFE">
        <w:rPr>
          <w:rFonts w:ascii="Garamond" w:eastAsia="Times New Roman" w:hAnsi="Garamond" w:cs="Times New Roman"/>
          <w:b/>
          <w:sz w:val="24"/>
          <w:szCs w:val="24"/>
        </w:rPr>
        <w:t xml:space="preserve"> Test</w:t>
      </w:r>
      <w:r w:rsidR="00E075C7" w:rsidRPr="0005042D">
        <w:rPr>
          <w:rFonts w:ascii="Garamond" w:eastAsia="Times New Roman" w:hAnsi="Garamond" w:cs="Times New Roman"/>
          <w:b/>
          <w:sz w:val="24"/>
          <w:szCs w:val="24"/>
        </w:rPr>
        <w:t>/</w:t>
      </w:r>
      <w:proofErr w:type="spellStart"/>
      <w:r w:rsidR="00E075C7" w:rsidRPr="0005042D">
        <w:rPr>
          <w:rFonts w:ascii="Garamond" w:eastAsia="Times New Roman" w:hAnsi="Garamond" w:cs="Times New Roman"/>
          <w:b/>
          <w:sz w:val="24"/>
          <w:szCs w:val="24"/>
        </w:rPr>
        <w:t>Diagnostik</w:t>
      </w:r>
      <w:proofErr w:type="spellEnd"/>
      <w:r w:rsidR="00E075C7" w:rsidRPr="0005042D">
        <w:rPr>
          <w:rFonts w:ascii="Garamond" w:eastAsia="Times New Roman" w:hAnsi="Garamond" w:cs="Times New Roman"/>
          <w:b/>
          <w:sz w:val="24"/>
          <w:szCs w:val="24"/>
        </w:rPr>
        <w:t xml:space="preserve"> </w:t>
      </w:r>
    </w:p>
    <w:p w14:paraId="1454452F" w14:textId="21412D43" w:rsidR="00DB3E3B" w:rsidRDefault="00514BFE" w:rsidP="00514BFE">
      <w:pPr>
        <w:pStyle w:val="Normal1"/>
        <w:pBdr>
          <w:top w:val="nil"/>
          <w:left w:val="nil"/>
          <w:bottom w:val="nil"/>
          <w:right w:val="nil"/>
          <w:between w:val="nil"/>
        </w:pBdr>
        <w:spacing w:after="0"/>
        <w:ind w:left="851" w:firstLine="567"/>
        <w:jc w:val="both"/>
        <w:rPr>
          <w:rFonts w:ascii="Garamond" w:eastAsia="Times New Roman" w:hAnsi="Garamond" w:cs="Times New Roman"/>
          <w:bCs/>
          <w:sz w:val="24"/>
          <w:szCs w:val="24"/>
          <w:lang w:val="id-ID"/>
        </w:rPr>
      </w:pPr>
      <w:r w:rsidRPr="00514BFE">
        <w:rPr>
          <w:rFonts w:ascii="Garamond" w:eastAsia="Times New Roman" w:hAnsi="Garamond" w:cs="Times New Roman"/>
          <w:bCs/>
          <w:sz w:val="24"/>
          <w:szCs w:val="24"/>
          <w:lang w:val="en-ID"/>
        </w:rPr>
        <w:t xml:space="preserve">The Ljung-Box test at lag 12 and lag 24 produced p-values of 0.088 and 0.306 (&gt; 0.05), indicating that the model residuals do not exhibit autocorrelation. Thus, the model passes the white noise test. In addition, the normality test of the residuals shows a p-value of 0.109, which is also greater than 0.05, suggesting that the residuals can be considered normally distributed. These two results indicate that the </w:t>
      </w:r>
      <w:proofErr w:type="gramStart"/>
      <w:r w:rsidRPr="00514BFE">
        <w:rPr>
          <w:rFonts w:ascii="Garamond" w:eastAsia="Times New Roman" w:hAnsi="Garamond" w:cs="Times New Roman"/>
          <w:bCs/>
          <w:sz w:val="24"/>
          <w:szCs w:val="24"/>
          <w:lang w:val="en-ID"/>
        </w:rPr>
        <w:t>ARIMA(</w:t>
      </w:r>
      <w:proofErr w:type="gramEnd"/>
      <w:r w:rsidRPr="00514BFE">
        <w:rPr>
          <w:rFonts w:ascii="Garamond" w:eastAsia="Times New Roman" w:hAnsi="Garamond" w:cs="Times New Roman"/>
          <w:bCs/>
          <w:sz w:val="24"/>
          <w:szCs w:val="24"/>
          <w:lang w:val="en-ID"/>
        </w:rPr>
        <w:t>1,0,0) model meets the requirements of diagnostic checking</w:t>
      </w:r>
      <w:r w:rsidR="00E075C7" w:rsidRPr="0005042D">
        <w:rPr>
          <w:rFonts w:ascii="Garamond" w:eastAsia="Times New Roman" w:hAnsi="Garamond" w:cs="Times New Roman"/>
          <w:bCs/>
          <w:sz w:val="24"/>
          <w:szCs w:val="24"/>
          <w:lang w:val="id-ID"/>
        </w:rPr>
        <w:t>.</w:t>
      </w:r>
    </w:p>
    <w:p w14:paraId="28ED68B4" w14:textId="77777777" w:rsidR="0076345D" w:rsidRPr="0005042D" w:rsidRDefault="0076345D" w:rsidP="0005042D">
      <w:pPr>
        <w:pStyle w:val="Normal1"/>
        <w:pBdr>
          <w:top w:val="nil"/>
          <w:left w:val="nil"/>
          <w:bottom w:val="nil"/>
          <w:right w:val="nil"/>
          <w:between w:val="nil"/>
        </w:pBdr>
        <w:spacing w:after="0"/>
        <w:ind w:left="1134" w:firstLine="567"/>
        <w:jc w:val="both"/>
        <w:rPr>
          <w:rFonts w:ascii="Garamond" w:eastAsia="Times New Roman" w:hAnsi="Garamond" w:cs="Times New Roman"/>
          <w:b/>
          <w:sz w:val="24"/>
          <w:szCs w:val="24"/>
          <w:lang w:val="id-ID"/>
        </w:rPr>
      </w:pPr>
    </w:p>
    <w:p w14:paraId="7FEEEB45" w14:textId="3CBBBC61" w:rsidR="00DB3E3B" w:rsidRPr="0005042D" w:rsidRDefault="00514BFE" w:rsidP="0005042D">
      <w:pPr>
        <w:pStyle w:val="Normal1"/>
        <w:numPr>
          <w:ilvl w:val="0"/>
          <w:numId w:val="28"/>
        </w:numPr>
        <w:pBdr>
          <w:top w:val="nil"/>
          <w:left w:val="nil"/>
          <w:bottom w:val="nil"/>
          <w:right w:val="nil"/>
          <w:between w:val="nil"/>
        </w:pBdr>
        <w:spacing w:after="0"/>
        <w:ind w:left="851" w:hanging="283"/>
        <w:jc w:val="both"/>
        <w:rPr>
          <w:rFonts w:ascii="Garamond" w:eastAsia="Times New Roman" w:hAnsi="Garamond" w:cs="Times New Roman"/>
          <w:b/>
          <w:sz w:val="24"/>
          <w:szCs w:val="24"/>
        </w:rPr>
      </w:pPr>
      <w:r>
        <w:rPr>
          <w:rFonts w:ascii="Garamond" w:eastAsia="Times New Roman" w:hAnsi="Garamond" w:cs="Times New Roman"/>
          <w:b/>
          <w:sz w:val="24"/>
          <w:szCs w:val="24"/>
        </w:rPr>
        <w:t xml:space="preserve">Forecasting The Farmer’s Terms of Trade </w:t>
      </w:r>
      <w:r w:rsidR="00DB3E3B" w:rsidRPr="0005042D">
        <w:rPr>
          <w:rFonts w:ascii="Garamond" w:eastAsia="Times New Roman" w:hAnsi="Garamond" w:cs="Times New Roman"/>
          <w:b/>
          <w:sz w:val="24"/>
          <w:szCs w:val="24"/>
        </w:rPr>
        <w:t xml:space="preserve">(NTP) </w:t>
      </w:r>
      <w:r w:rsidR="00767289">
        <w:rPr>
          <w:rFonts w:ascii="Garamond" w:eastAsia="Times New Roman" w:hAnsi="Garamond" w:cs="Times New Roman"/>
          <w:b/>
          <w:sz w:val="24"/>
          <w:szCs w:val="24"/>
        </w:rPr>
        <w:t xml:space="preserve">in </w:t>
      </w:r>
      <w:r w:rsidR="00DB3E3B" w:rsidRPr="0005042D">
        <w:rPr>
          <w:rFonts w:ascii="Garamond" w:eastAsia="Times New Roman" w:hAnsi="Garamond" w:cs="Times New Roman"/>
          <w:b/>
          <w:sz w:val="24"/>
          <w:szCs w:val="24"/>
        </w:rPr>
        <w:t>Bengkulu</w:t>
      </w:r>
      <w:r w:rsidR="00767289">
        <w:rPr>
          <w:rFonts w:ascii="Garamond" w:eastAsia="Times New Roman" w:hAnsi="Garamond" w:cs="Times New Roman"/>
          <w:b/>
          <w:sz w:val="24"/>
          <w:szCs w:val="24"/>
        </w:rPr>
        <w:t xml:space="preserve"> Province</w:t>
      </w:r>
      <w:r w:rsidR="00DB3E3B" w:rsidRPr="0005042D">
        <w:rPr>
          <w:rFonts w:ascii="Garamond" w:eastAsia="Times New Roman" w:hAnsi="Garamond" w:cs="Times New Roman"/>
          <w:b/>
          <w:sz w:val="24"/>
          <w:szCs w:val="24"/>
        </w:rPr>
        <w:t xml:space="preserve"> </w:t>
      </w:r>
    </w:p>
    <w:p w14:paraId="0BC4B60C" w14:textId="55A22C3D" w:rsidR="00DB3E3B" w:rsidRPr="0005042D" w:rsidRDefault="00767289" w:rsidP="00767289">
      <w:pPr>
        <w:pStyle w:val="Normal1"/>
        <w:pBdr>
          <w:top w:val="nil"/>
          <w:left w:val="nil"/>
          <w:bottom w:val="nil"/>
          <w:right w:val="nil"/>
          <w:between w:val="nil"/>
        </w:pBdr>
        <w:spacing w:after="0"/>
        <w:ind w:left="851" w:firstLine="567"/>
        <w:jc w:val="both"/>
        <w:rPr>
          <w:rFonts w:ascii="Garamond" w:eastAsia="Times New Roman" w:hAnsi="Garamond" w:cs="Times New Roman"/>
          <w:b/>
          <w:sz w:val="24"/>
          <w:szCs w:val="24"/>
          <w:lang w:val="id-ID"/>
        </w:rPr>
      </w:pPr>
      <w:r w:rsidRPr="00767289">
        <w:rPr>
          <w:rFonts w:ascii="Garamond" w:eastAsiaTheme="minorEastAsia" w:hAnsi="Garamond" w:cs="Times New Roman"/>
          <w:sz w:val="24"/>
          <w:szCs w:val="24"/>
          <w:lang w:val="en-ID"/>
        </w:rPr>
        <w:t xml:space="preserve">The model developed in the previous stage, which satisfied the requirements of parameter significance, white noise testing, and normality assumptions, was then used for forecasting. The </w:t>
      </w:r>
      <w:proofErr w:type="gramStart"/>
      <w:r w:rsidRPr="00767289">
        <w:rPr>
          <w:rFonts w:ascii="Garamond" w:eastAsia="Times New Roman" w:hAnsi="Garamond" w:cs="Times New Roman"/>
          <w:bCs/>
          <w:sz w:val="24"/>
          <w:szCs w:val="24"/>
          <w:lang w:val="en-ID"/>
        </w:rPr>
        <w:t>ARIMA</w:t>
      </w:r>
      <w:r w:rsidRPr="00767289">
        <w:rPr>
          <w:rFonts w:ascii="Garamond" w:eastAsiaTheme="minorEastAsia" w:hAnsi="Garamond" w:cs="Times New Roman"/>
          <w:sz w:val="24"/>
          <w:szCs w:val="24"/>
          <w:lang w:val="en-ID"/>
        </w:rPr>
        <w:t>(</w:t>
      </w:r>
      <w:proofErr w:type="gramEnd"/>
      <w:r w:rsidRPr="00767289">
        <w:rPr>
          <w:rFonts w:ascii="Garamond" w:eastAsiaTheme="minorEastAsia" w:hAnsi="Garamond" w:cs="Times New Roman"/>
          <w:sz w:val="24"/>
          <w:szCs w:val="24"/>
          <w:lang w:val="en-ID"/>
        </w:rPr>
        <w:t>1,0,0) model was applied to forecast the Farmer’s Terms of Trade (NTP) in Bengkulu Province for the period from January to December 2024. The forecasting results indicate a moderate downward trend, with NTP values expected to remain stable within the range of 138.5 to 142.6. The following table summarizes the forecast results with a 95% confidence interval</w:t>
      </w:r>
      <w:r w:rsidR="00F45D45" w:rsidRPr="0005042D">
        <w:rPr>
          <w:rFonts w:ascii="Garamond" w:eastAsiaTheme="minorEastAsia" w:hAnsi="Garamond" w:cs="Times New Roman"/>
          <w:sz w:val="24"/>
          <w:szCs w:val="24"/>
          <w:lang w:val="id-ID"/>
        </w:rPr>
        <w:t xml:space="preserve">. </w:t>
      </w:r>
      <w:r w:rsidR="00DB3E3B" w:rsidRPr="0005042D">
        <w:rPr>
          <w:rFonts w:ascii="Garamond" w:eastAsiaTheme="minorEastAsia" w:hAnsi="Garamond" w:cs="Times New Roman"/>
          <w:sz w:val="24"/>
          <w:szCs w:val="24"/>
          <w:lang w:val="id-ID"/>
        </w:rPr>
        <w:t xml:space="preserve"> </w:t>
      </w:r>
    </w:p>
    <w:p w14:paraId="1488A721" w14:textId="405CE482" w:rsidR="00DB3E3B" w:rsidRPr="0005042D" w:rsidRDefault="00DB3E3B" w:rsidP="00F45D45">
      <w:pPr>
        <w:pStyle w:val="Normal1"/>
        <w:pBdr>
          <w:top w:val="nil"/>
          <w:left w:val="nil"/>
          <w:bottom w:val="nil"/>
          <w:right w:val="nil"/>
          <w:between w:val="nil"/>
        </w:pBdr>
        <w:spacing w:after="0" w:line="240" w:lineRule="auto"/>
        <w:ind w:left="924"/>
        <w:jc w:val="center"/>
        <w:rPr>
          <w:rFonts w:ascii="Garamond" w:eastAsia="Times New Roman" w:hAnsi="Garamond" w:cs="Times New Roman"/>
          <w:b/>
          <w:sz w:val="24"/>
          <w:szCs w:val="24"/>
        </w:rPr>
      </w:pPr>
      <w:r w:rsidRPr="0005042D">
        <w:rPr>
          <w:rFonts w:ascii="Garamond" w:eastAsia="Times New Roman" w:hAnsi="Garamond" w:cs="Times New Roman"/>
          <w:b/>
          <w:sz w:val="24"/>
          <w:szCs w:val="24"/>
        </w:rPr>
        <w:t>Tabl</w:t>
      </w:r>
      <w:r w:rsidR="00767289">
        <w:rPr>
          <w:rFonts w:ascii="Garamond" w:eastAsia="Times New Roman" w:hAnsi="Garamond" w:cs="Times New Roman"/>
          <w:b/>
          <w:sz w:val="24"/>
          <w:szCs w:val="24"/>
        </w:rPr>
        <w:t>e</w:t>
      </w:r>
      <w:r w:rsidRPr="0005042D">
        <w:rPr>
          <w:rFonts w:ascii="Garamond" w:eastAsia="Times New Roman" w:hAnsi="Garamond" w:cs="Times New Roman"/>
          <w:b/>
          <w:sz w:val="24"/>
          <w:szCs w:val="24"/>
        </w:rPr>
        <w:t xml:space="preserve"> </w:t>
      </w:r>
      <w:r w:rsidR="00F45D45" w:rsidRPr="0005042D">
        <w:rPr>
          <w:rFonts w:ascii="Garamond" w:eastAsia="Times New Roman" w:hAnsi="Garamond" w:cs="Times New Roman"/>
          <w:b/>
          <w:sz w:val="24"/>
          <w:szCs w:val="24"/>
        </w:rPr>
        <w:t>3</w:t>
      </w:r>
      <w:r w:rsidRPr="0005042D">
        <w:rPr>
          <w:rFonts w:ascii="Garamond" w:eastAsia="Times New Roman" w:hAnsi="Garamond" w:cs="Times New Roman"/>
          <w:b/>
          <w:sz w:val="24"/>
          <w:szCs w:val="24"/>
        </w:rPr>
        <w:t xml:space="preserve">. </w:t>
      </w:r>
      <w:r w:rsidR="00767289" w:rsidRPr="00767289">
        <w:rPr>
          <w:rFonts w:ascii="Garamond" w:eastAsia="Times New Roman" w:hAnsi="Garamond" w:cs="Times New Roman"/>
          <w:b/>
          <w:sz w:val="24"/>
          <w:szCs w:val="24"/>
          <w:lang w:val="en-ID"/>
        </w:rPr>
        <w:t>Forecasting Results of the Farmer’s Terms of Trade (NTP) in Bengkulu Province, January–December 2024</w:t>
      </w:r>
    </w:p>
    <w:tbl>
      <w:tblPr>
        <w:tblStyle w:val="TableGrid"/>
        <w:tblW w:w="0" w:type="auto"/>
        <w:tblInd w:w="927" w:type="dxa"/>
        <w:tblLook w:val="04A0" w:firstRow="1" w:lastRow="0" w:firstColumn="1" w:lastColumn="0" w:noHBand="0" w:noVBand="1"/>
      </w:tblPr>
      <w:tblGrid>
        <w:gridCol w:w="2006"/>
        <w:gridCol w:w="2053"/>
        <w:gridCol w:w="2016"/>
        <w:gridCol w:w="2014"/>
      </w:tblGrid>
      <w:tr w:rsidR="0005042D" w:rsidRPr="0005042D" w14:paraId="18AF07B1" w14:textId="77777777" w:rsidTr="00F45D45">
        <w:tc>
          <w:tcPr>
            <w:tcW w:w="2006" w:type="dxa"/>
          </w:tcPr>
          <w:p w14:paraId="09051DBC" w14:textId="7511FA0E"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b/>
                <w:sz w:val="24"/>
                <w:szCs w:val="24"/>
                <w:lang w:val="id-ID"/>
              </w:rPr>
              <w:t xml:space="preserve">Bulan </w:t>
            </w:r>
          </w:p>
        </w:tc>
        <w:tc>
          <w:tcPr>
            <w:tcW w:w="2053" w:type="dxa"/>
          </w:tcPr>
          <w:p w14:paraId="24526EC5" w14:textId="35E23D07"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b/>
                <w:sz w:val="24"/>
                <w:szCs w:val="24"/>
                <w:lang w:val="id-ID"/>
              </w:rPr>
              <w:t xml:space="preserve">Forecast </w:t>
            </w:r>
          </w:p>
        </w:tc>
        <w:tc>
          <w:tcPr>
            <w:tcW w:w="2016" w:type="dxa"/>
          </w:tcPr>
          <w:p w14:paraId="09703B42" w14:textId="4A53731A"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b/>
                <w:sz w:val="24"/>
                <w:szCs w:val="24"/>
                <w:lang w:val="id-ID"/>
              </w:rPr>
              <w:t>Lower</w:t>
            </w:r>
          </w:p>
        </w:tc>
        <w:tc>
          <w:tcPr>
            <w:tcW w:w="2014" w:type="dxa"/>
          </w:tcPr>
          <w:p w14:paraId="319E1597" w14:textId="63100B30"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b/>
                <w:sz w:val="24"/>
                <w:szCs w:val="24"/>
                <w:lang w:val="id-ID"/>
              </w:rPr>
              <w:t>Upper</w:t>
            </w:r>
          </w:p>
        </w:tc>
      </w:tr>
      <w:tr w:rsidR="0005042D" w:rsidRPr="0005042D" w14:paraId="522388C6" w14:textId="77777777" w:rsidTr="00F45D45">
        <w:tc>
          <w:tcPr>
            <w:tcW w:w="2006" w:type="dxa"/>
          </w:tcPr>
          <w:p w14:paraId="0DC6CFDF" w14:textId="738D9A3A"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Januari 2024</w:t>
            </w:r>
          </w:p>
        </w:tc>
        <w:tc>
          <w:tcPr>
            <w:tcW w:w="2053" w:type="dxa"/>
          </w:tcPr>
          <w:p w14:paraId="1F2144D4" w14:textId="52D14B83"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142,683</w:t>
            </w:r>
          </w:p>
        </w:tc>
        <w:tc>
          <w:tcPr>
            <w:tcW w:w="2016" w:type="dxa"/>
          </w:tcPr>
          <w:p w14:paraId="5A5A2FF0" w14:textId="424ABBED"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130,780</w:t>
            </w:r>
          </w:p>
        </w:tc>
        <w:tc>
          <w:tcPr>
            <w:tcW w:w="2014" w:type="dxa"/>
          </w:tcPr>
          <w:p w14:paraId="50EDE97F" w14:textId="48185D0C"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154,587</w:t>
            </w:r>
          </w:p>
        </w:tc>
      </w:tr>
      <w:tr w:rsidR="0005042D" w:rsidRPr="0005042D" w14:paraId="00E1C849" w14:textId="77777777" w:rsidTr="00F45D45">
        <w:tc>
          <w:tcPr>
            <w:tcW w:w="2006" w:type="dxa"/>
          </w:tcPr>
          <w:p w14:paraId="3842F364" w14:textId="720A8616"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Februari 2024</w:t>
            </w:r>
          </w:p>
        </w:tc>
        <w:tc>
          <w:tcPr>
            <w:tcW w:w="2053" w:type="dxa"/>
          </w:tcPr>
          <w:p w14:paraId="7B800689" w14:textId="69B6690D"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141,625</w:t>
            </w:r>
          </w:p>
        </w:tc>
        <w:tc>
          <w:tcPr>
            <w:tcW w:w="2016" w:type="dxa"/>
          </w:tcPr>
          <w:p w14:paraId="7987B359" w14:textId="15E913CF"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124,644</w:t>
            </w:r>
          </w:p>
        </w:tc>
        <w:tc>
          <w:tcPr>
            <w:tcW w:w="2014" w:type="dxa"/>
          </w:tcPr>
          <w:p w14:paraId="65F847A7" w14:textId="29A997E2"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158,607</w:t>
            </w:r>
          </w:p>
        </w:tc>
      </w:tr>
      <w:tr w:rsidR="0005042D" w:rsidRPr="0005042D" w14:paraId="5A9DAD7B" w14:textId="77777777" w:rsidTr="00F45D45">
        <w:tc>
          <w:tcPr>
            <w:tcW w:w="2006" w:type="dxa"/>
          </w:tcPr>
          <w:p w14:paraId="70CD3A3C" w14:textId="05520844"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 xml:space="preserve">Maret 2024 </w:t>
            </w:r>
          </w:p>
        </w:tc>
        <w:tc>
          <w:tcPr>
            <w:tcW w:w="2053" w:type="dxa"/>
          </w:tcPr>
          <w:p w14:paraId="0C4005F7" w14:textId="6A348EF8"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140,828</w:t>
            </w:r>
          </w:p>
        </w:tc>
        <w:tc>
          <w:tcPr>
            <w:tcW w:w="2016" w:type="dxa"/>
          </w:tcPr>
          <w:p w14:paraId="0F317E9E" w14:textId="7D5DA013"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121,548</w:t>
            </w:r>
          </w:p>
        </w:tc>
        <w:tc>
          <w:tcPr>
            <w:tcW w:w="2014" w:type="dxa"/>
          </w:tcPr>
          <w:p w14:paraId="78D33B7A" w14:textId="0BD2ECE5"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160,107</w:t>
            </w:r>
          </w:p>
        </w:tc>
      </w:tr>
      <w:tr w:rsidR="0005042D" w:rsidRPr="0005042D" w14:paraId="785315F6" w14:textId="77777777" w:rsidTr="00F45D45">
        <w:tc>
          <w:tcPr>
            <w:tcW w:w="2006" w:type="dxa"/>
          </w:tcPr>
          <w:p w14:paraId="6E1532C1" w14:textId="4FA6239F"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 xml:space="preserve">April 2024 </w:t>
            </w:r>
          </w:p>
        </w:tc>
        <w:tc>
          <w:tcPr>
            <w:tcW w:w="2053" w:type="dxa"/>
          </w:tcPr>
          <w:p w14:paraId="3E49059B" w14:textId="35D6C790"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140,227</w:t>
            </w:r>
          </w:p>
        </w:tc>
        <w:tc>
          <w:tcPr>
            <w:tcW w:w="2016" w:type="dxa"/>
          </w:tcPr>
          <w:p w14:paraId="1268EFF1" w14:textId="0BB2A5E6"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119,757</w:t>
            </w:r>
          </w:p>
        </w:tc>
        <w:tc>
          <w:tcPr>
            <w:tcW w:w="2014" w:type="dxa"/>
          </w:tcPr>
          <w:p w14:paraId="5EC9A1DA" w14:textId="5F932013"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160,697</w:t>
            </w:r>
          </w:p>
        </w:tc>
      </w:tr>
      <w:tr w:rsidR="0005042D" w:rsidRPr="0005042D" w14:paraId="1D12F874" w14:textId="77777777" w:rsidTr="00F45D45">
        <w:tc>
          <w:tcPr>
            <w:tcW w:w="2006" w:type="dxa"/>
          </w:tcPr>
          <w:p w14:paraId="267E828B" w14:textId="780110F5"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Mei 2024</w:t>
            </w:r>
          </w:p>
        </w:tc>
        <w:tc>
          <w:tcPr>
            <w:tcW w:w="2053" w:type="dxa"/>
          </w:tcPr>
          <w:p w14:paraId="5E62D1DB" w14:textId="2A426999"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139,774</w:t>
            </w:r>
          </w:p>
        </w:tc>
        <w:tc>
          <w:tcPr>
            <w:tcW w:w="2016" w:type="dxa"/>
          </w:tcPr>
          <w:p w14:paraId="1019A3B7" w14:textId="50D9CD40"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118,657</w:t>
            </w:r>
          </w:p>
        </w:tc>
        <w:tc>
          <w:tcPr>
            <w:tcW w:w="2014" w:type="dxa"/>
          </w:tcPr>
          <w:p w14:paraId="42AA5F33" w14:textId="4EA3F2B5"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160,890</w:t>
            </w:r>
          </w:p>
        </w:tc>
      </w:tr>
      <w:tr w:rsidR="00F45D45" w:rsidRPr="0005042D" w14:paraId="1B3527A8" w14:textId="77777777" w:rsidTr="00F45D45">
        <w:tc>
          <w:tcPr>
            <w:tcW w:w="2006" w:type="dxa"/>
          </w:tcPr>
          <w:p w14:paraId="323E05D7" w14:textId="0B872CF1"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Juni 2024</w:t>
            </w:r>
          </w:p>
        </w:tc>
        <w:tc>
          <w:tcPr>
            <w:tcW w:w="2053" w:type="dxa"/>
          </w:tcPr>
          <w:p w14:paraId="1072D623" w14:textId="02A2D729"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139,432</w:t>
            </w:r>
          </w:p>
        </w:tc>
        <w:tc>
          <w:tcPr>
            <w:tcW w:w="2016" w:type="dxa"/>
          </w:tcPr>
          <w:p w14:paraId="208DA5B4" w14:textId="3C24E55C"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117,957</w:t>
            </w:r>
          </w:p>
        </w:tc>
        <w:tc>
          <w:tcPr>
            <w:tcW w:w="2014" w:type="dxa"/>
          </w:tcPr>
          <w:p w14:paraId="751AAB93" w14:textId="6E7FCD5E"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160,907</w:t>
            </w:r>
          </w:p>
        </w:tc>
      </w:tr>
      <w:tr w:rsidR="00F45D45" w:rsidRPr="0005042D" w14:paraId="7789A122" w14:textId="77777777" w:rsidTr="00F45D45">
        <w:tc>
          <w:tcPr>
            <w:tcW w:w="2006" w:type="dxa"/>
          </w:tcPr>
          <w:p w14:paraId="1FB7F5FB" w14:textId="7F4D3FE2"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 xml:space="preserve">Juli 2024 </w:t>
            </w:r>
          </w:p>
        </w:tc>
        <w:tc>
          <w:tcPr>
            <w:tcW w:w="2053" w:type="dxa"/>
          </w:tcPr>
          <w:p w14:paraId="6F645986" w14:textId="37F682EA"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139,175</w:t>
            </w:r>
          </w:p>
        </w:tc>
        <w:tc>
          <w:tcPr>
            <w:tcW w:w="2016" w:type="dxa"/>
          </w:tcPr>
          <w:p w14:paraId="77CB647C" w14:textId="070916EA"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117,499</w:t>
            </w:r>
          </w:p>
        </w:tc>
        <w:tc>
          <w:tcPr>
            <w:tcW w:w="2014" w:type="dxa"/>
          </w:tcPr>
          <w:p w14:paraId="50DADE29" w14:textId="02C0C290"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160,851</w:t>
            </w:r>
          </w:p>
        </w:tc>
      </w:tr>
      <w:tr w:rsidR="00F45D45" w:rsidRPr="0005042D" w14:paraId="755C33DC" w14:textId="77777777" w:rsidTr="00F45D45">
        <w:tc>
          <w:tcPr>
            <w:tcW w:w="2006" w:type="dxa"/>
          </w:tcPr>
          <w:p w14:paraId="3D799D2F" w14:textId="65A57E03"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 xml:space="preserve">Agustus 2024 </w:t>
            </w:r>
          </w:p>
        </w:tc>
        <w:tc>
          <w:tcPr>
            <w:tcW w:w="2053" w:type="dxa"/>
          </w:tcPr>
          <w:p w14:paraId="7D8FE90A" w14:textId="37F4C097"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138,981</w:t>
            </w:r>
          </w:p>
        </w:tc>
        <w:tc>
          <w:tcPr>
            <w:tcW w:w="2016" w:type="dxa"/>
          </w:tcPr>
          <w:p w14:paraId="14EC2417" w14:textId="438D3620"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117,192</w:t>
            </w:r>
          </w:p>
        </w:tc>
        <w:tc>
          <w:tcPr>
            <w:tcW w:w="2014" w:type="dxa"/>
          </w:tcPr>
          <w:p w14:paraId="423138C8" w14:textId="1B624F3B"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160,770</w:t>
            </w:r>
          </w:p>
        </w:tc>
      </w:tr>
      <w:tr w:rsidR="00F45D45" w:rsidRPr="0005042D" w14:paraId="2BFD0B5F" w14:textId="77777777" w:rsidTr="00F45D45">
        <w:tc>
          <w:tcPr>
            <w:tcW w:w="2006" w:type="dxa"/>
          </w:tcPr>
          <w:p w14:paraId="490AA375" w14:textId="5996DF7A"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September 2024</w:t>
            </w:r>
          </w:p>
        </w:tc>
        <w:tc>
          <w:tcPr>
            <w:tcW w:w="2053" w:type="dxa"/>
          </w:tcPr>
          <w:p w14:paraId="382DA58F" w14:textId="2586499A"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138,835</w:t>
            </w:r>
          </w:p>
        </w:tc>
        <w:tc>
          <w:tcPr>
            <w:tcW w:w="2016" w:type="dxa"/>
          </w:tcPr>
          <w:p w14:paraId="4A35218F" w14:textId="2BC25125"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116,982</w:t>
            </w:r>
          </w:p>
        </w:tc>
        <w:tc>
          <w:tcPr>
            <w:tcW w:w="2014" w:type="dxa"/>
          </w:tcPr>
          <w:p w14:paraId="73555725" w14:textId="58AFB4C2"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160,688</w:t>
            </w:r>
          </w:p>
        </w:tc>
      </w:tr>
      <w:tr w:rsidR="00F45D45" w:rsidRPr="0005042D" w14:paraId="0082F368" w14:textId="77777777" w:rsidTr="00F45D45">
        <w:tc>
          <w:tcPr>
            <w:tcW w:w="2006" w:type="dxa"/>
          </w:tcPr>
          <w:p w14:paraId="6BA7BA1E" w14:textId="7F42DEF2"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Oktober 2024</w:t>
            </w:r>
          </w:p>
        </w:tc>
        <w:tc>
          <w:tcPr>
            <w:tcW w:w="2053" w:type="dxa"/>
          </w:tcPr>
          <w:p w14:paraId="1C9BF0BC" w14:textId="67B658C8"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138,725</w:t>
            </w:r>
          </w:p>
        </w:tc>
        <w:tc>
          <w:tcPr>
            <w:tcW w:w="2016" w:type="dxa"/>
          </w:tcPr>
          <w:p w14:paraId="256F1C10" w14:textId="5978D67C"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116,835</w:t>
            </w:r>
          </w:p>
        </w:tc>
        <w:tc>
          <w:tcPr>
            <w:tcW w:w="2014" w:type="dxa"/>
          </w:tcPr>
          <w:p w14:paraId="32945B65" w14:textId="0BC9271F"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160,614</w:t>
            </w:r>
          </w:p>
        </w:tc>
      </w:tr>
      <w:tr w:rsidR="00F45D45" w:rsidRPr="0005042D" w14:paraId="28D9FFEB" w14:textId="77777777" w:rsidTr="00F45D45">
        <w:tc>
          <w:tcPr>
            <w:tcW w:w="2006" w:type="dxa"/>
          </w:tcPr>
          <w:p w14:paraId="274622A3" w14:textId="4A3C513D"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November 2024</w:t>
            </w:r>
          </w:p>
        </w:tc>
        <w:tc>
          <w:tcPr>
            <w:tcW w:w="2053" w:type="dxa"/>
          </w:tcPr>
          <w:p w14:paraId="48AB9AC2" w14:textId="3EEE7C18"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138,642</w:t>
            </w:r>
          </w:p>
        </w:tc>
        <w:tc>
          <w:tcPr>
            <w:tcW w:w="2016" w:type="dxa"/>
          </w:tcPr>
          <w:p w14:paraId="7A5CF29E" w14:textId="5E1B8886"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116,732</w:t>
            </w:r>
          </w:p>
        </w:tc>
        <w:tc>
          <w:tcPr>
            <w:tcW w:w="2014" w:type="dxa"/>
          </w:tcPr>
          <w:p w14:paraId="5AD4980D" w14:textId="6151546B"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160,552</w:t>
            </w:r>
          </w:p>
        </w:tc>
      </w:tr>
      <w:tr w:rsidR="00F45D45" w:rsidRPr="0005042D" w14:paraId="2C1EEF9A" w14:textId="77777777" w:rsidTr="00F45D45">
        <w:tc>
          <w:tcPr>
            <w:tcW w:w="2006" w:type="dxa"/>
          </w:tcPr>
          <w:p w14:paraId="2C09B20A" w14:textId="3CCDEF5C" w:rsidR="00F45D45" w:rsidRPr="0005042D" w:rsidRDefault="00F45D45" w:rsidP="00F45D45">
            <w:pPr>
              <w:pStyle w:val="Normal1"/>
              <w:spacing w:after="0" w:line="240" w:lineRule="auto"/>
              <w:rPr>
                <w:rFonts w:ascii="Garamond" w:eastAsia="Times New Roman" w:hAnsi="Garamond" w:cs="Times New Roman"/>
                <w:bCs/>
                <w:sz w:val="24"/>
                <w:szCs w:val="24"/>
                <w:lang w:val="id-ID"/>
              </w:rPr>
            </w:pPr>
            <w:r w:rsidRPr="0005042D">
              <w:rPr>
                <w:rFonts w:ascii="Garamond" w:eastAsia="Times New Roman" w:hAnsi="Garamond" w:cs="Times New Roman"/>
                <w:bCs/>
                <w:sz w:val="24"/>
                <w:szCs w:val="24"/>
                <w:lang w:val="id-ID"/>
              </w:rPr>
              <w:t xml:space="preserve">Desember 2024 </w:t>
            </w:r>
          </w:p>
        </w:tc>
        <w:tc>
          <w:tcPr>
            <w:tcW w:w="2053" w:type="dxa"/>
          </w:tcPr>
          <w:p w14:paraId="0AFFE3EE" w14:textId="0820819D"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138,579</w:t>
            </w:r>
          </w:p>
        </w:tc>
        <w:tc>
          <w:tcPr>
            <w:tcW w:w="2016" w:type="dxa"/>
          </w:tcPr>
          <w:p w14:paraId="15D7E114" w14:textId="6219175C"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116,657</w:t>
            </w:r>
          </w:p>
        </w:tc>
        <w:tc>
          <w:tcPr>
            <w:tcW w:w="2014" w:type="dxa"/>
          </w:tcPr>
          <w:p w14:paraId="15E277E9" w14:textId="77A20E84" w:rsidR="00F45D45" w:rsidRPr="0005042D" w:rsidRDefault="00F45D45" w:rsidP="00F45D45">
            <w:pPr>
              <w:pStyle w:val="Normal1"/>
              <w:spacing w:after="0" w:line="240" w:lineRule="auto"/>
              <w:jc w:val="center"/>
              <w:rPr>
                <w:rFonts w:ascii="Garamond" w:eastAsia="Times New Roman" w:hAnsi="Garamond" w:cs="Times New Roman"/>
                <w:b/>
                <w:sz w:val="24"/>
                <w:szCs w:val="24"/>
                <w:lang w:val="id-ID"/>
              </w:rPr>
            </w:pPr>
            <w:r w:rsidRPr="0005042D">
              <w:rPr>
                <w:rFonts w:ascii="Garamond" w:eastAsia="Times New Roman" w:hAnsi="Garamond" w:cs="Times New Roman"/>
                <w:color w:val="000000"/>
                <w:sz w:val="24"/>
                <w:szCs w:val="24"/>
              </w:rPr>
              <w:t>160,501</w:t>
            </w:r>
          </w:p>
        </w:tc>
      </w:tr>
    </w:tbl>
    <w:p w14:paraId="66DCB361" w14:textId="154C490D" w:rsidR="00F45D45" w:rsidRPr="0005042D" w:rsidRDefault="00F45D45" w:rsidP="00F45D45">
      <w:pPr>
        <w:pStyle w:val="Normal1"/>
        <w:pBdr>
          <w:top w:val="nil"/>
          <w:left w:val="nil"/>
          <w:bottom w:val="nil"/>
          <w:right w:val="nil"/>
          <w:between w:val="nil"/>
        </w:pBdr>
        <w:spacing w:after="0" w:line="360" w:lineRule="auto"/>
        <w:ind w:left="720"/>
        <w:rPr>
          <w:rFonts w:ascii="Garamond" w:eastAsia="Times New Roman" w:hAnsi="Garamond" w:cs="Times New Roman"/>
          <w:b/>
          <w:sz w:val="24"/>
          <w:szCs w:val="24"/>
        </w:rPr>
      </w:pPr>
      <w:r w:rsidRPr="0005042D">
        <w:rPr>
          <w:rFonts w:ascii="Garamond" w:eastAsia="Times New Roman" w:hAnsi="Garamond" w:cs="Times New Roman"/>
          <w:sz w:val="24"/>
          <w:szCs w:val="24"/>
        </w:rPr>
        <w:t xml:space="preserve">   </w:t>
      </w:r>
      <w:r w:rsidR="00514BFE" w:rsidRPr="006E675B">
        <w:rPr>
          <w:rFonts w:ascii="Garamond" w:eastAsia="Times New Roman" w:hAnsi="Garamond" w:cs="Times New Roman"/>
          <w:sz w:val="24"/>
          <w:szCs w:val="24"/>
          <w:lang w:val="en-ID"/>
        </w:rPr>
        <w:t>Source: Processed Data, 2024</w:t>
      </w:r>
    </w:p>
    <w:p w14:paraId="3BC6ABEA" w14:textId="7328AD52" w:rsidR="00F45D45" w:rsidRPr="0005042D" w:rsidRDefault="00767289" w:rsidP="00A0496C">
      <w:pPr>
        <w:pStyle w:val="Normal1"/>
        <w:pBdr>
          <w:top w:val="nil"/>
          <w:left w:val="nil"/>
          <w:bottom w:val="nil"/>
          <w:right w:val="nil"/>
          <w:between w:val="nil"/>
        </w:pBdr>
        <w:spacing w:after="0"/>
        <w:ind w:left="1134" w:firstLine="567"/>
        <w:jc w:val="both"/>
        <w:rPr>
          <w:rFonts w:ascii="Garamond" w:eastAsia="Times New Roman" w:hAnsi="Garamond" w:cs="Times New Roman"/>
          <w:b/>
          <w:sz w:val="24"/>
          <w:szCs w:val="24"/>
          <w:lang w:val="id-ID"/>
        </w:rPr>
      </w:pPr>
      <w:r w:rsidRPr="00767289">
        <w:rPr>
          <w:rFonts w:ascii="Garamond" w:hAnsi="Garamond"/>
          <w:sz w:val="24"/>
          <w:szCs w:val="24"/>
          <w:lang w:val="en-ID"/>
        </w:rPr>
        <w:t>"Based on these results, it can be concluded that the NTP in Bengkulu Province will remain above the value of 100, indicating that, in general, the economic condition of farmers is still in a surplus category. This is in line with the findings</w:t>
      </w:r>
      <w:r w:rsidRPr="00767289">
        <w:rPr>
          <w:rFonts w:ascii="Garamond" w:hAnsi="Garamond"/>
          <w:sz w:val="24"/>
          <w:szCs w:val="24"/>
          <w:lang w:val="en-ID"/>
        </w:rPr>
        <w:t xml:space="preserve"> </w:t>
      </w:r>
      <w:r w:rsidR="00A0496C" w:rsidRPr="0005042D">
        <w:rPr>
          <w:rFonts w:ascii="Garamond" w:hAnsi="Garamond"/>
          <w:sz w:val="24"/>
          <w:szCs w:val="24"/>
        </w:rPr>
        <w:fldChar w:fldCharType="begin" w:fldLock="1"/>
      </w:r>
      <w:r w:rsidR="00A132AA">
        <w:rPr>
          <w:rFonts w:ascii="Garamond" w:hAnsi="Garamond"/>
          <w:sz w:val="24"/>
          <w:szCs w:val="24"/>
        </w:rPr>
        <w:instrText>ADDIN CSL_CITATION {"citationItems":[{"id":"ITEM-1","itemData":{"DOI":"10.1088/1742-6596/1503/1/012002","author":[{"dropping-particle":"","family":"Pratiwi","given":"Dinda","non-dropping-particle":"","parse-names":false,"suffix":""},{"dropping-particle":"","family":"Agustini","given":"Sisilia M.U","non-dropping-particle":"","parse-names":false,"suffix":""},{"dropping-particle":"","family":"Windasari","given":"Wiwin","non-dropping-particle":"","parse-names":false,"suffix":""},{"dropping-particle":"","family":"Kencana","given":"Eka N.","non-dropping-particle":"","parse-names":false,"suffix":""}],"container-title":"Journal of Physics","id":"ITEM-1","issued":{"date-parts":[["2020"]]},"title":"Forecasting Farmer Exchange Rate in Bali Province Using Seasonal Autoregressive Integrated Moving Average (SARIMA) Method","type":"article-journal","volume":"1503"},"uris":["http://www.mendeley.com/documents/?uuid=3426ab13-26ad-4b02-bdb3-838ade0e0475"]}],"mendeley":{"formattedCitation":"(Pratiwi et al., 2020)","manualFormatting":"Pratiwi et al. (2020)","plainTextFormattedCitation":"(Pratiwi et al., 2020)","previouslyFormattedCitation":"(Pratiwi et al., 2020)"},"properties":{"noteIndex":0},"schema":"https://github.com/citation-style-language/schema/raw/master/csl-citation.json"}</w:instrText>
      </w:r>
      <w:r w:rsidR="00A0496C" w:rsidRPr="0005042D">
        <w:rPr>
          <w:rFonts w:ascii="Garamond" w:hAnsi="Garamond"/>
          <w:sz w:val="24"/>
          <w:szCs w:val="24"/>
        </w:rPr>
        <w:fldChar w:fldCharType="separate"/>
      </w:r>
      <w:r w:rsidR="00A0496C" w:rsidRPr="0005042D">
        <w:rPr>
          <w:rFonts w:ascii="Garamond" w:hAnsi="Garamond"/>
          <w:noProof/>
          <w:sz w:val="24"/>
          <w:szCs w:val="24"/>
        </w:rPr>
        <w:t>Pratiwi et al. (2020)</w:t>
      </w:r>
      <w:r w:rsidR="00A0496C" w:rsidRPr="0005042D">
        <w:rPr>
          <w:rFonts w:ascii="Garamond" w:hAnsi="Garamond"/>
          <w:sz w:val="24"/>
          <w:szCs w:val="24"/>
        </w:rPr>
        <w:fldChar w:fldCharType="end"/>
      </w:r>
      <w:r w:rsidR="00A0496C" w:rsidRPr="0005042D">
        <w:rPr>
          <w:rFonts w:ascii="Garamond" w:hAnsi="Garamond"/>
          <w:sz w:val="24"/>
          <w:szCs w:val="24"/>
        </w:rPr>
        <w:t xml:space="preserve">, </w:t>
      </w:r>
      <w:r w:rsidRPr="00767289">
        <w:rPr>
          <w:rFonts w:ascii="Garamond" w:hAnsi="Garamond"/>
          <w:sz w:val="24"/>
          <w:szCs w:val="24"/>
          <w:lang w:val="en-ID"/>
        </w:rPr>
        <w:t>"Based on these results, it can be concluded that the NTP in Bengkulu Province will remain above the value of 100, indicating that, in general, the economic condition of farmers is still in a surplus category. This is in line with findings that state the Farmer Exchange Rate (FER) can be used to project farmers’ purchasing power and support policies aimed at improving welfare</w:t>
      </w:r>
      <w:r>
        <w:rPr>
          <w:rFonts w:ascii="Garamond" w:hAnsi="Garamond"/>
          <w:sz w:val="24"/>
          <w:szCs w:val="24"/>
          <w:lang w:val="en-ID"/>
        </w:rPr>
        <w:t>.</w:t>
      </w:r>
    </w:p>
    <w:p w14:paraId="260F843B" w14:textId="77777777" w:rsidR="00767289" w:rsidRDefault="00767289" w:rsidP="00767289">
      <w:pPr>
        <w:pStyle w:val="Normal1"/>
        <w:numPr>
          <w:ilvl w:val="1"/>
          <w:numId w:val="3"/>
        </w:numPr>
        <w:pBdr>
          <w:top w:val="nil"/>
          <w:left w:val="nil"/>
          <w:bottom w:val="nil"/>
          <w:right w:val="nil"/>
          <w:between w:val="nil"/>
        </w:pBdr>
        <w:spacing w:after="0"/>
        <w:ind w:left="567" w:hanging="284"/>
        <w:jc w:val="both"/>
        <w:rPr>
          <w:rFonts w:ascii="Garamond" w:hAnsi="Garamond" w:cs="Times New Roman"/>
          <w:b/>
          <w:bCs/>
          <w:sz w:val="24"/>
          <w:szCs w:val="24"/>
          <w:lang w:val="en-ID"/>
        </w:rPr>
      </w:pPr>
      <w:r w:rsidRPr="00767289">
        <w:rPr>
          <w:rFonts w:ascii="Garamond" w:hAnsi="Garamond" w:cs="Times New Roman"/>
          <w:b/>
          <w:bCs/>
          <w:sz w:val="24"/>
          <w:szCs w:val="24"/>
          <w:lang w:val="en-ID"/>
        </w:rPr>
        <w:t xml:space="preserve">Farmer Welfare </w:t>
      </w:r>
      <w:r w:rsidRPr="00767289">
        <w:rPr>
          <w:rFonts w:ascii="Garamond" w:eastAsia="Times New Roman" w:hAnsi="Garamond" w:cs="Times New Roman"/>
          <w:b/>
          <w:sz w:val="24"/>
          <w:szCs w:val="24"/>
          <w:lang w:val="en-ID"/>
        </w:rPr>
        <w:t>Based</w:t>
      </w:r>
      <w:r w:rsidRPr="00767289">
        <w:rPr>
          <w:rFonts w:ascii="Garamond" w:hAnsi="Garamond" w:cs="Times New Roman"/>
          <w:b/>
          <w:bCs/>
          <w:sz w:val="24"/>
          <w:szCs w:val="24"/>
          <w:lang w:val="en-ID"/>
        </w:rPr>
        <w:t xml:space="preserve"> on Zakat-Based Social Group Classification</w:t>
      </w:r>
    </w:p>
    <w:p w14:paraId="06FCFC10" w14:textId="60D2D51C" w:rsidR="003B68D9" w:rsidRDefault="00767289" w:rsidP="003B68D9">
      <w:pPr>
        <w:pStyle w:val="Normal1"/>
        <w:pBdr>
          <w:top w:val="nil"/>
          <w:left w:val="nil"/>
          <w:bottom w:val="nil"/>
          <w:right w:val="nil"/>
          <w:between w:val="nil"/>
        </w:pBdr>
        <w:spacing w:after="0"/>
        <w:ind w:left="567" w:firstLine="567"/>
        <w:jc w:val="both"/>
        <w:rPr>
          <w:rFonts w:ascii="Garamond" w:hAnsi="Garamond" w:cs="Times New Roman"/>
          <w:sz w:val="24"/>
          <w:szCs w:val="24"/>
        </w:rPr>
      </w:pPr>
      <w:r w:rsidRPr="00767289">
        <w:rPr>
          <w:rFonts w:ascii="Garamond" w:hAnsi="Garamond" w:cs="Times New Roman"/>
          <w:sz w:val="24"/>
          <w:szCs w:val="24"/>
          <w:lang w:val="en-ID"/>
        </w:rPr>
        <w:t>The measurement of welfare from the perspective of Islamic economics is not solely based on income and consumption, but also takes into account spiritual and socio-religious aspects. One approach used is the classification of social groups based on zakat, which categorizes individuals into three main groups: the wealthy (</w:t>
      </w:r>
      <w:proofErr w:type="spellStart"/>
      <w:r w:rsidRPr="00767289">
        <w:rPr>
          <w:rFonts w:ascii="Garamond" w:hAnsi="Garamond" w:cs="Times New Roman"/>
          <w:i/>
          <w:iCs/>
          <w:sz w:val="24"/>
          <w:szCs w:val="24"/>
          <w:lang w:val="en-ID"/>
        </w:rPr>
        <w:t>muzakki</w:t>
      </w:r>
      <w:proofErr w:type="spellEnd"/>
      <w:r w:rsidRPr="00767289">
        <w:rPr>
          <w:rFonts w:ascii="Garamond" w:hAnsi="Garamond" w:cs="Times New Roman"/>
          <w:sz w:val="24"/>
          <w:szCs w:val="24"/>
          <w:lang w:val="en-ID"/>
        </w:rPr>
        <w:t>), the middle-income group, and the poor (</w:t>
      </w:r>
      <w:proofErr w:type="spellStart"/>
      <w:r w:rsidRPr="00767289">
        <w:rPr>
          <w:rFonts w:ascii="Garamond" w:hAnsi="Garamond" w:cs="Times New Roman"/>
          <w:i/>
          <w:iCs/>
          <w:sz w:val="24"/>
          <w:szCs w:val="24"/>
          <w:lang w:val="en-ID"/>
        </w:rPr>
        <w:t>mustahik</w:t>
      </w:r>
      <w:proofErr w:type="spellEnd"/>
      <w:r w:rsidRPr="00767289">
        <w:rPr>
          <w:rFonts w:ascii="Garamond" w:hAnsi="Garamond" w:cs="Times New Roman"/>
          <w:i/>
          <w:iCs/>
          <w:sz w:val="24"/>
          <w:szCs w:val="24"/>
          <w:lang w:val="en-ID"/>
        </w:rPr>
        <w:t xml:space="preserve"> or </w:t>
      </w:r>
      <w:proofErr w:type="spellStart"/>
      <w:r w:rsidRPr="00767289">
        <w:rPr>
          <w:rFonts w:ascii="Garamond" w:hAnsi="Garamond" w:cs="Times New Roman"/>
          <w:i/>
          <w:iCs/>
          <w:sz w:val="24"/>
          <w:szCs w:val="24"/>
          <w:lang w:val="en-ID"/>
        </w:rPr>
        <w:t>Ashnaf</w:t>
      </w:r>
      <w:proofErr w:type="spellEnd"/>
      <w:r w:rsidRPr="00767289">
        <w:rPr>
          <w:rFonts w:ascii="Garamond" w:hAnsi="Garamond" w:cs="Times New Roman"/>
          <w:i/>
          <w:iCs/>
          <w:sz w:val="24"/>
          <w:szCs w:val="24"/>
          <w:lang w:val="en-ID"/>
        </w:rPr>
        <w:t xml:space="preserve"> </w:t>
      </w:r>
      <w:proofErr w:type="spellStart"/>
      <w:r w:rsidRPr="00767289">
        <w:rPr>
          <w:rFonts w:ascii="Garamond" w:hAnsi="Garamond" w:cs="Times New Roman"/>
          <w:i/>
          <w:iCs/>
          <w:sz w:val="24"/>
          <w:szCs w:val="24"/>
          <w:lang w:val="en-ID"/>
        </w:rPr>
        <w:t>Tsamaniyah</w:t>
      </w:r>
      <w:proofErr w:type="spellEnd"/>
      <w:r w:rsidRPr="00767289">
        <w:rPr>
          <w:rFonts w:ascii="Garamond" w:hAnsi="Garamond" w:cs="Times New Roman"/>
          <w:sz w:val="24"/>
          <w:szCs w:val="24"/>
          <w:lang w:val="en-ID"/>
        </w:rPr>
        <w:t>). This approach more accurately reflects an individual's socioeconomic position and role within society, particularly in the context of distributive justice</w:t>
      </w:r>
      <w:r w:rsidRPr="00767289">
        <w:rPr>
          <w:rFonts w:ascii="Garamond" w:hAnsi="Garamond" w:cs="Times New Roman"/>
          <w:sz w:val="24"/>
          <w:szCs w:val="24"/>
          <w:lang w:val="en-ID"/>
        </w:rPr>
        <w:t xml:space="preserve"> </w:t>
      </w:r>
      <w:r w:rsidR="00A02016">
        <w:rPr>
          <w:rFonts w:ascii="Garamond" w:hAnsi="Garamond" w:cs="Times New Roman"/>
          <w:sz w:val="24"/>
          <w:szCs w:val="24"/>
        </w:rPr>
        <w:fldChar w:fldCharType="begin" w:fldLock="1"/>
      </w:r>
      <w:r w:rsidR="003B68D9">
        <w:rPr>
          <w:rFonts w:ascii="Garamond" w:hAnsi="Garamond" w:cs="Times New Roman"/>
          <w:sz w:val="24"/>
          <w:szCs w:val="24"/>
        </w:rPr>
        <w:instrText>ADDIN CSL_CITATION {"citationItems":[{"id":"ITEM-1","itemData":{"DOI":"10.1108/IMEFM-12-2018-0412","author":[{"dropping-particle":"","family":"Rahmat","given":"Rahman Saleh","non-dropping-particle":"","parse-names":false,"suffix":""},{"dropping-particle":"","family":"Nurzaman","given":"Mohammad Soleh","non-dropping-particle":"","parse-names":false,"suffix":""}],"container-title":"International Journal of Islamic and Middle Eastern Finance and Management","id":"ITEM-1","issue":"5","issued":{"date-parts":[["2019"]]},"page":"743-766","title":"Assesment of zakat distribution: A case study on zakat community development in Bringinsari village, Sukorejo district, Kendal","type":"article-journal","volume":"12"},"uris":["http://www.mendeley.com/documents/?uuid=a81881ee-cfae-468f-8547-5f2dabf6ac01"]},{"id":"ITEM-2","itemData":{"DOI":"10.22194/JGIAS/25.1427","author":[{"dropping-particle":"","family":"Mongkito","given":"Abdul Wahid","non-dropping-particle":"","parse-names":false,"suffix":""},{"dropping-particle":"","family":"Samdin","given":"","non-dropping-particle":"","parse-names":false,"suffix":""},{"dropping-particle":"","family":"Gamsir","given":"","non-dropping-particle":"","parse-names":false,"suffix":""},{"dropping-particle":"","family":"Sariadi","given":"La Ode","non-dropping-particle":"","parse-names":false,"suffix":""},{"dropping-particle":"","family":"Balaka","given":"Muh. Yani","non-dropping-particle":"","parse-names":false,"suffix":""},{"dropping-particle":"","family":"Lapipi","given":"","non-dropping-particle":"","parse-names":false,"suffix":""},{"dropping-particle":"","family":"Harafah","given":"La Ode Muhammad","non-dropping-particle":"","parse-names":false,"suffix":""},{"dropping-particle":"","family":"Irmawatty","given":"","non-dropping-particle":"","parse-names":false,"suffix":""},{"dropping-particle":"","family":"Alwahidin","given":"","non-dropping-particle":"","parse-names":false,"suffix":""},{"dropping-particle":"","family":"Nusantara","given":"Ambo Wonua","non-dropping-particle":"","parse-names":false,"suffix":""}],"container-title":"Journal of Global Innovations in Agricultural Sciences","id":"ITEM-2","issue":"1","issued":{"date-parts":[["2025"]]},"page":"285-296","title":"The Role of Zakat in Poverty Alleviation and Farmer Welfare; the Theoretical Review","type":"article-journal","volume":"13"},"uris":["http://www.mendeley.com/documents/?uuid=3e9840ff-d125-4f55-a3d9-3302ab77dd6c"]}],"mendeley":{"formattedCitation":"(Mongkito et al., 2025; Rahmat &amp; Nurzaman, 2019)","plainTextFormattedCitation":"(Mongkito et al., 2025; Rahmat &amp; Nurzaman, 2019)","previouslyFormattedCitation":"(Mongkito et al., 2025; Rahmat &amp; Nurzaman, 2019)"},"properties":{"noteIndex":0},"schema":"https://github.com/citation-style-language/schema/raw/master/csl-citation.json"}</w:instrText>
      </w:r>
      <w:r w:rsidR="00A02016">
        <w:rPr>
          <w:rFonts w:ascii="Garamond" w:hAnsi="Garamond" w:cs="Times New Roman"/>
          <w:sz w:val="24"/>
          <w:szCs w:val="24"/>
        </w:rPr>
        <w:fldChar w:fldCharType="separate"/>
      </w:r>
      <w:r w:rsidR="00A02016" w:rsidRPr="00A02016">
        <w:rPr>
          <w:rFonts w:ascii="Garamond" w:hAnsi="Garamond" w:cs="Times New Roman"/>
          <w:noProof/>
          <w:sz w:val="24"/>
          <w:szCs w:val="24"/>
        </w:rPr>
        <w:t>(Mongkito et al., 2025; Rahmat &amp; Nurzaman, 2019)</w:t>
      </w:r>
      <w:r w:rsidR="00A02016">
        <w:rPr>
          <w:rFonts w:ascii="Garamond" w:hAnsi="Garamond" w:cs="Times New Roman"/>
          <w:sz w:val="24"/>
          <w:szCs w:val="24"/>
        </w:rPr>
        <w:fldChar w:fldCharType="end"/>
      </w:r>
      <w:r w:rsidR="00A02016">
        <w:rPr>
          <w:rFonts w:ascii="Garamond" w:hAnsi="Garamond" w:cs="Times New Roman"/>
          <w:sz w:val="24"/>
          <w:szCs w:val="24"/>
        </w:rPr>
        <w:t>.</w:t>
      </w:r>
      <w:r w:rsidR="00A02016" w:rsidRPr="00A132AA">
        <w:rPr>
          <w:rFonts w:ascii="Garamond" w:hAnsi="Garamond" w:cs="Times New Roman"/>
          <w:sz w:val="24"/>
          <w:szCs w:val="24"/>
        </w:rPr>
        <w:t xml:space="preserve"> </w:t>
      </w:r>
    </w:p>
    <w:p w14:paraId="35FE6479" w14:textId="634EC34E" w:rsidR="003B68D9" w:rsidRDefault="00767289" w:rsidP="003B68D9">
      <w:pPr>
        <w:pStyle w:val="Normal1"/>
        <w:pBdr>
          <w:top w:val="nil"/>
          <w:left w:val="nil"/>
          <w:bottom w:val="nil"/>
          <w:right w:val="nil"/>
          <w:between w:val="nil"/>
        </w:pBdr>
        <w:spacing w:after="0"/>
        <w:ind w:left="567" w:firstLine="567"/>
        <w:jc w:val="both"/>
        <w:rPr>
          <w:rFonts w:ascii="Garamond" w:hAnsi="Garamond" w:cs="Times New Roman"/>
          <w:sz w:val="24"/>
          <w:szCs w:val="24"/>
        </w:rPr>
      </w:pPr>
      <w:r w:rsidRPr="00767289">
        <w:rPr>
          <w:rFonts w:ascii="Garamond" w:hAnsi="Garamond" w:cs="Times New Roman"/>
          <w:sz w:val="24"/>
          <w:szCs w:val="24"/>
          <w:lang w:val="en-ID"/>
        </w:rPr>
        <w:t xml:space="preserve">Based on the findings of this study, it was revealed that the majority of farmers in Bengkulu Province are classified as </w:t>
      </w:r>
      <w:proofErr w:type="spellStart"/>
      <w:r w:rsidRPr="00767289">
        <w:rPr>
          <w:rFonts w:ascii="Garamond" w:hAnsi="Garamond" w:cs="Times New Roman"/>
          <w:sz w:val="24"/>
          <w:szCs w:val="24"/>
          <w:lang w:val="en-ID"/>
        </w:rPr>
        <w:t>mustahik</w:t>
      </w:r>
      <w:proofErr w:type="spellEnd"/>
      <w:r w:rsidRPr="00767289">
        <w:rPr>
          <w:rFonts w:ascii="Garamond" w:hAnsi="Garamond" w:cs="Times New Roman"/>
          <w:sz w:val="24"/>
          <w:szCs w:val="24"/>
          <w:lang w:val="en-ID"/>
        </w:rPr>
        <w:t>, or individuals eligible to receive zakat. This indicates that the welfare level of farmers is still relatively low when viewed from their social position within the zakat system. This condition shows that farmers are not yet able to act as zakat givers (</w:t>
      </w:r>
      <w:proofErr w:type="spellStart"/>
      <w:r w:rsidRPr="00767289">
        <w:rPr>
          <w:rFonts w:ascii="Garamond" w:hAnsi="Garamond" w:cs="Times New Roman"/>
          <w:sz w:val="24"/>
          <w:szCs w:val="24"/>
          <w:lang w:val="en-ID"/>
        </w:rPr>
        <w:t>muzakki</w:t>
      </w:r>
      <w:proofErr w:type="spellEnd"/>
      <w:r w:rsidRPr="00767289">
        <w:rPr>
          <w:rFonts w:ascii="Garamond" w:hAnsi="Garamond" w:cs="Times New Roman"/>
          <w:sz w:val="24"/>
          <w:szCs w:val="24"/>
          <w:lang w:val="en-ID"/>
        </w:rPr>
        <w:t>), and still require socio-economic interventions to improve their standard of living. This finding is consistent with the results of previous research</w:t>
      </w:r>
      <w:r w:rsidR="00A132AA" w:rsidRPr="00A132AA">
        <w:rPr>
          <w:rFonts w:ascii="Garamond" w:hAnsi="Garamond" w:cs="Times New Roman"/>
          <w:sz w:val="24"/>
          <w:szCs w:val="24"/>
        </w:rPr>
        <w:t xml:space="preserve"> </w:t>
      </w:r>
      <w:r w:rsidR="003B68D9">
        <w:rPr>
          <w:rFonts w:ascii="Garamond" w:hAnsi="Garamond" w:cs="Times New Roman"/>
          <w:sz w:val="24"/>
          <w:szCs w:val="24"/>
        </w:rPr>
        <w:fldChar w:fldCharType="begin" w:fldLock="1"/>
      </w:r>
      <w:r w:rsidR="003B68D9">
        <w:rPr>
          <w:rFonts w:ascii="Garamond" w:hAnsi="Garamond" w:cs="Times New Roman"/>
          <w:sz w:val="24"/>
          <w:szCs w:val="24"/>
        </w:rPr>
        <w:instrText>ADDIN CSL_CITATION {"citationItems":[{"id":"ITEM-1","itemData":{"DOI":"10.1088/1755-1315/653/1/012092","ISSN":"17551315","abstract":"Bandung Regency is a sizeable horticultural supplier for West Java and DKI Jakarta, Indonesia. Horticultural farming faces the constraints of expensive input prices and price fluctuations. This can reduce the welfare of farmers. This study aims to determine the welfare level of horticulture farmers families in Pengalengan Sub-District, Bandung Regency, from June-September 2019. The research method is a survey. Respondents were taken 10 % of the population, i.e., as many as 92 farmers families. The welfare level is measured based on eleven BPS indicators, namely income, expenses, living conditions, housing facilities, household member health, the ease of obtaining health services, the ease in education services, and obtaining transportation facilities, religious life, taste safe, and exercise ease. The poor criteria according to World Bank standard is family expenses of less than 1.9 USD per capita per day. The results show that average income was IDR 9,400,000 per capita per year. The average expenses were IDR 7,283,743 per capita per year. All of the respondents are categorized as non-poor and in the high welfare category.","author":[{"dropping-particle":"","family":"Hapsari","given":"H.","non-dropping-particle":"","parse-names":false,"suffix":""},{"dropping-particle":"","family":"Wulandari","given":"E.","non-dropping-particle":"","parse-names":false,"suffix":""},{"dropping-particle":"","family":"Suminartika","given":"E.","non-dropping-particle":"","parse-names":false,"suffix":""},{"dropping-particle":"","family":"Karyani","given":"T.","non-dropping-particle":"","parse-names":false,"suffix":""}],"container-title":"IOP Conference Series: Earth and Environmental Science","id":"ITEM-1","issue":"1","issued":{"date-parts":[["2021"]]},"page":"1-7","title":"The Family Welfare of Horticulture Farmers: Case in Pegalengan District, Bandung Regency, West Java","type":"article-journal","volume":"653"},"uris":["http://www.mendeley.com/documents/?uuid=a8044e71-7b7c-412c-a9f0-3c3d18b18c5a"]}],"mendeley":{"formattedCitation":"(Hapsari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003B68D9">
        <w:rPr>
          <w:rFonts w:ascii="Garamond" w:hAnsi="Garamond" w:cs="Times New Roman"/>
          <w:sz w:val="24"/>
          <w:szCs w:val="24"/>
        </w:rPr>
        <w:fldChar w:fldCharType="separate"/>
      </w:r>
      <w:r w:rsidR="003B68D9" w:rsidRPr="003B68D9">
        <w:rPr>
          <w:rFonts w:ascii="Garamond" w:hAnsi="Garamond" w:cs="Times New Roman"/>
          <w:noProof/>
          <w:sz w:val="24"/>
          <w:szCs w:val="24"/>
        </w:rPr>
        <w:t xml:space="preserve">Hapsari et al., </w:t>
      </w:r>
      <w:r w:rsidR="003B68D9">
        <w:rPr>
          <w:rFonts w:ascii="Garamond" w:hAnsi="Garamond" w:cs="Times New Roman"/>
          <w:noProof/>
          <w:sz w:val="24"/>
          <w:szCs w:val="24"/>
        </w:rPr>
        <w:t>(</w:t>
      </w:r>
      <w:r w:rsidR="003B68D9" w:rsidRPr="003B68D9">
        <w:rPr>
          <w:rFonts w:ascii="Garamond" w:hAnsi="Garamond" w:cs="Times New Roman"/>
          <w:noProof/>
          <w:sz w:val="24"/>
          <w:szCs w:val="24"/>
        </w:rPr>
        <w:t>2021)</w:t>
      </w:r>
      <w:r w:rsidR="003B68D9">
        <w:rPr>
          <w:rFonts w:ascii="Garamond" w:hAnsi="Garamond" w:cs="Times New Roman"/>
          <w:sz w:val="24"/>
          <w:szCs w:val="24"/>
        </w:rPr>
        <w:fldChar w:fldCharType="end"/>
      </w:r>
      <w:r w:rsidR="00A132AA" w:rsidRPr="00A132AA">
        <w:rPr>
          <w:rFonts w:ascii="Garamond" w:hAnsi="Garamond" w:cs="Times New Roman"/>
          <w:sz w:val="24"/>
          <w:szCs w:val="24"/>
        </w:rPr>
        <w:t xml:space="preserve">, </w:t>
      </w:r>
      <w:r w:rsidRPr="00767289">
        <w:rPr>
          <w:rFonts w:ascii="Garamond" w:hAnsi="Garamond" w:cs="Times New Roman"/>
          <w:sz w:val="24"/>
          <w:szCs w:val="24"/>
          <w:lang w:val="en-ID"/>
        </w:rPr>
        <w:t>which indicates that although productive zakat has the potential to enhance the welfare of farmers, the majority of zakat recipients still fall into the non-</w:t>
      </w:r>
      <w:proofErr w:type="spellStart"/>
      <w:r w:rsidRPr="00767289">
        <w:rPr>
          <w:rFonts w:ascii="Garamond" w:hAnsi="Garamond" w:cs="Times New Roman"/>
          <w:i/>
          <w:iCs/>
          <w:sz w:val="24"/>
          <w:szCs w:val="24"/>
          <w:lang w:val="en-ID"/>
        </w:rPr>
        <w:t>muzakki</w:t>
      </w:r>
      <w:proofErr w:type="spellEnd"/>
      <w:r w:rsidRPr="00767289">
        <w:rPr>
          <w:rFonts w:ascii="Garamond" w:hAnsi="Garamond" w:cs="Times New Roman"/>
          <w:sz w:val="24"/>
          <w:szCs w:val="24"/>
          <w:lang w:val="en-ID"/>
        </w:rPr>
        <w:t xml:space="preserve"> category</w:t>
      </w:r>
      <w:r w:rsidR="00A132AA" w:rsidRPr="00A132AA">
        <w:rPr>
          <w:rFonts w:ascii="Garamond" w:hAnsi="Garamond" w:cs="Times New Roman"/>
          <w:sz w:val="24"/>
          <w:szCs w:val="24"/>
        </w:rPr>
        <w:t>.</w:t>
      </w:r>
    </w:p>
    <w:p w14:paraId="5154F7AD" w14:textId="655BE759" w:rsidR="003B68D9" w:rsidRDefault="00767289" w:rsidP="003B68D9">
      <w:pPr>
        <w:pStyle w:val="Normal1"/>
        <w:pBdr>
          <w:top w:val="nil"/>
          <w:left w:val="nil"/>
          <w:bottom w:val="nil"/>
          <w:right w:val="nil"/>
          <w:between w:val="nil"/>
        </w:pBdr>
        <w:spacing w:after="0"/>
        <w:ind w:left="567" w:firstLine="567"/>
        <w:jc w:val="both"/>
        <w:rPr>
          <w:rFonts w:ascii="Garamond" w:hAnsi="Garamond" w:cs="Times New Roman"/>
          <w:sz w:val="24"/>
          <w:szCs w:val="24"/>
        </w:rPr>
      </w:pPr>
      <w:r w:rsidRPr="00767289">
        <w:rPr>
          <w:rFonts w:ascii="Garamond" w:hAnsi="Garamond" w:cs="Times New Roman"/>
          <w:sz w:val="24"/>
          <w:szCs w:val="24"/>
          <w:lang w:val="en-ID"/>
        </w:rPr>
        <w:t xml:space="preserve">"Nevertheless, there are positive indications in certain regions, such as </w:t>
      </w:r>
      <w:proofErr w:type="spellStart"/>
      <w:r w:rsidRPr="00767289">
        <w:rPr>
          <w:rFonts w:ascii="Garamond" w:hAnsi="Garamond" w:cs="Times New Roman"/>
          <w:sz w:val="24"/>
          <w:szCs w:val="24"/>
          <w:lang w:val="en-ID"/>
        </w:rPr>
        <w:t>Mukomuko</w:t>
      </w:r>
      <w:proofErr w:type="spellEnd"/>
      <w:r w:rsidRPr="00767289">
        <w:rPr>
          <w:rFonts w:ascii="Garamond" w:hAnsi="Garamond" w:cs="Times New Roman"/>
          <w:sz w:val="24"/>
          <w:szCs w:val="24"/>
          <w:lang w:val="en-ID"/>
        </w:rPr>
        <w:t xml:space="preserve"> Regency, where some farmers who were previously classified as </w:t>
      </w:r>
      <w:proofErr w:type="spellStart"/>
      <w:r w:rsidRPr="00767289">
        <w:rPr>
          <w:rFonts w:ascii="Garamond" w:hAnsi="Garamond" w:cs="Times New Roman"/>
          <w:sz w:val="24"/>
          <w:szCs w:val="24"/>
          <w:lang w:val="en-ID"/>
        </w:rPr>
        <w:t>mustahik</w:t>
      </w:r>
      <w:proofErr w:type="spellEnd"/>
      <w:r w:rsidRPr="00767289">
        <w:rPr>
          <w:rFonts w:ascii="Garamond" w:hAnsi="Garamond" w:cs="Times New Roman"/>
          <w:sz w:val="24"/>
          <w:szCs w:val="24"/>
          <w:lang w:val="en-ID"/>
        </w:rPr>
        <w:t xml:space="preserve"> have experienced an improvement in status to become </w:t>
      </w:r>
      <w:proofErr w:type="spellStart"/>
      <w:r w:rsidRPr="00767289">
        <w:rPr>
          <w:rFonts w:ascii="Garamond" w:hAnsi="Garamond" w:cs="Times New Roman"/>
          <w:sz w:val="24"/>
          <w:szCs w:val="24"/>
          <w:lang w:val="en-ID"/>
        </w:rPr>
        <w:t>muzakki</w:t>
      </w:r>
      <w:proofErr w:type="spellEnd"/>
      <w:r w:rsidRPr="00767289">
        <w:rPr>
          <w:rFonts w:ascii="Garamond" w:hAnsi="Garamond" w:cs="Times New Roman"/>
          <w:sz w:val="24"/>
          <w:szCs w:val="24"/>
          <w:lang w:val="en-ID"/>
        </w:rPr>
        <w:t>. This suggests that socio-economic transformation through productive zakat programs can occur when implemented in a planned and sustainable manner</w:t>
      </w:r>
      <w:r w:rsidRPr="00767289">
        <w:rPr>
          <w:rFonts w:ascii="Garamond" w:hAnsi="Garamond" w:cs="Times New Roman"/>
          <w:sz w:val="24"/>
          <w:szCs w:val="24"/>
          <w:lang w:val="en-ID"/>
        </w:rPr>
        <w:t xml:space="preserve"> </w:t>
      </w:r>
      <w:r w:rsidR="003B68D9">
        <w:rPr>
          <w:rFonts w:ascii="Garamond" w:hAnsi="Garamond" w:cs="Times New Roman"/>
          <w:sz w:val="24"/>
          <w:szCs w:val="24"/>
        </w:rPr>
        <w:fldChar w:fldCharType="begin" w:fldLock="1"/>
      </w:r>
      <w:r w:rsidR="003B68D9">
        <w:rPr>
          <w:rFonts w:ascii="Garamond" w:hAnsi="Garamond" w:cs="Times New Roman"/>
          <w:sz w:val="24"/>
          <w:szCs w:val="24"/>
        </w:rPr>
        <w:instrText>ADDIN CSL_CITATION {"citationItems":[{"id":"ITEM-1","itemData":{"DOI":"10.1108/JIABR-05-2021-0145","ISSN":"17590825","abstract":"Purpose: This study aims to investigate the effects of zakat and business assistance on the growth and well-being of mustahiqs (zakat recipients). This study also investigates the impact of macroeconomic variables on the welfare of mutahiqs. Design/methodology/approach: The partial least squares-structural equation modelling method is used in this quantitative study, examining data from 137 mustahiqs. The data was collected from seven zakat institutions, which run effective zakat programmes to empower mustahiqs. Findings: Zakat empowerment programmes and business assistantships positively impact the growth of mustahiqs’ businesses, beneficial to their well-being. Nevertheless, their well-being is unaffected by the proxy of the macroeconomy. Originality/value: This study adds to the zakat literature by identifying the relationship between zakat, business growth, macroeconomic conditions and mustahiq welfare. Accordingly, this approach was made by combining primary and secondary data. This research offers a unique measure of welfare based on the concept of the Islamic objectives (Maqasid al-Shariah).","author":[{"dropping-particle":"","family":"Mawardi","given":"Imron","non-dropping-particle":"","parse-names":false,"suffix":""},{"dropping-particle":"","family":"Widiastuti","given":"Tika","non-dropping-particle":"","parse-names":false,"suffix":""},{"dropping-particle":"","family":"Mustofa","given":"Muhammad Ubaidillah","non-dropping-particle":"Al","parse-names":false,"suffix":""},{"dropping-particle":"","family":"Hakimi","given":"Fifi","non-dropping-particle":"","parse-names":false,"suffix":""}],"container-title":"Journal of Islamic Accounting and Business Research","id":"ITEM-1","issue":"1","issued":{"date-parts":[["2023"]]},"page":"118-140","title":"Analyzing The Impact of Productive Zakat on the Welfare of Zakat Recipients","type":"article-journal","volume":"14"},"uris":["http://www.mendeley.com/documents/?uuid=246efdf2-b9f0-4fa9-ad4b-7a25a913e179"]}],"mendeley":{"formattedCitation":"(Mawardi et al., 2023)","plainTextFormattedCitation":"(Mawardi et al., 2023)","previouslyFormattedCitation":"(Mawardi et al., 2023)"},"properties":{"noteIndex":0},"schema":"https://github.com/citation-style-language/schema/raw/master/csl-citation.json"}</w:instrText>
      </w:r>
      <w:r w:rsidR="003B68D9">
        <w:rPr>
          <w:rFonts w:ascii="Garamond" w:hAnsi="Garamond" w:cs="Times New Roman"/>
          <w:sz w:val="24"/>
          <w:szCs w:val="24"/>
        </w:rPr>
        <w:fldChar w:fldCharType="separate"/>
      </w:r>
      <w:r w:rsidR="003B68D9" w:rsidRPr="003B68D9">
        <w:rPr>
          <w:rFonts w:ascii="Garamond" w:hAnsi="Garamond" w:cs="Times New Roman"/>
          <w:noProof/>
          <w:sz w:val="24"/>
          <w:szCs w:val="24"/>
        </w:rPr>
        <w:t>(Mawardi et al., 2023)</w:t>
      </w:r>
      <w:r w:rsidR="003B68D9">
        <w:rPr>
          <w:rFonts w:ascii="Garamond" w:hAnsi="Garamond" w:cs="Times New Roman"/>
          <w:sz w:val="24"/>
          <w:szCs w:val="24"/>
        </w:rPr>
        <w:fldChar w:fldCharType="end"/>
      </w:r>
      <w:r w:rsidR="003B68D9">
        <w:rPr>
          <w:rFonts w:ascii="Garamond" w:hAnsi="Garamond" w:cs="Times New Roman"/>
          <w:sz w:val="24"/>
          <w:szCs w:val="24"/>
        </w:rPr>
        <w:t xml:space="preserve">. </w:t>
      </w:r>
      <w:r w:rsidRPr="00767289">
        <w:rPr>
          <w:rFonts w:ascii="Garamond" w:hAnsi="Garamond" w:cs="Times New Roman"/>
          <w:sz w:val="24"/>
          <w:szCs w:val="24"/>
          <w:lang w:val="en-ID"/>
        </w:rPr>
        <w:t>Similar success stories have also been documented in previous studies</w:t>
      </w:r>
      <w:r w:rsidR="003B68D9">
        <w:rPr>
          <w:rFonts w:ascii="Garamond" w:hAnsi="Garamond" w:cs="Times New Roman"/>
          <w:sz w:val="24"/>
          <w:szCs w:val="24"/>
        </w:rPr>
        <w:t xml:space="preserve"> </w:t>
      </w:r>
      <w:r w:rsidR="003B68D9">
        <w:rPr>
          <w:rFonts w:ascii="Garamond" w:hAnsi="Garamond" w:cs="Times New Roman"/>
          <w:sz w:val="24"/>
          <w:szCs w:val="24"/>
        </w:rPr>
        <w:fldChar w:fldCharType="begin" w:fldLock="1"/>
      </w:r>
      <w:r w:rsidR="003B68D9">
        <w:rPr>
          <w:rFonts w:ascii="Garamond" w:hAnsi="Garamond" w:cs="Times New Roman"/>
          <w:sz w:val="24"/>
          <w:szCs w:val="24"/>
        </w:rPr>
        <w:instrText>ADDIN CSL_CITATION {"citationItems":[{"id":"ITEM-1","itemData":{"author":[{"dropping-particle":"","family":"Beik","given":"Irfan Syauqi","non-dropping-particle":"","parse-names":false,"suffix":""},{"dropping-particle":"","family":"Bahri","given":"Efri Syamsul","non-dropping-particle":"","parse-names":false,"suffix":""},{"dropping-particle":"","family":"Asmita","given":"Budi","non-dropping-particle":"","parse-names":false,"suffix":""},{"dropping-particle":"","family":"Fahrudin","given":"","non-dropping-particle":"","parse-names":false,"suffix":""}],"container-title":"Test Engunering and Management","id":"ITEM-1","issued":{"date-parts":[["2019"]]},"page":"2881-2892","title":"Measurement of Zakat Impact through Sustainable Livelihood Impact Assessment on Balai Ternakin Tanah Datar","type":"article-journal","volume":"81"},"uris":["http://www.mendeley.com/documents/?uuid=998592cb-4bc7-46e7-a502-e68abe126009"]}],"mendeley":{"formattedCitation":"(Beik et al., 2019)","manualFormatting":"Beik et al. (2019)","plainTextFormattedCitation":"(Beik et al., 2019)","previouslyFormattedCitation":"(Beik et al., 2019)"},"properties":{"noteIndex":0},"schema":"https://github.com/citation-style-language/schema/raw/master/csl-citation.json"}</w:instrText>
      </w:r>
      <w:r w:rsidR="003B68D9">
        <w:rPr>
          <w:rFonts w:ascii="Garamond" w:hAnsi="Garamond" w:cs="Times New Roman"/>
          <w:sz w:val="24"/>
          <w:szCs w:val="24"/>
        </w:rPr>
        <w:fldChar w:fldCharType="separate"/>
      </w:r>
      <w:r w:rsidR="003B68D9" w:rsidRPr="003B68D9">
        <w:rPr>
          <w:rFonts w:ascii="Garamond" w:hAnsi="Garamond" w:cs="Times New Roman"/>
          <w:noProof/>
          <w:sz w:val="24"/>
          <w:szCs w:val="24"/>
        </w:rPr>
        <w:t>Beik et al.</w:t>
      </w:r>
      <w:r w:rsidR="003B68D9">
        <w:rPr>
          <w:rFonts w:ascii="Garamond" w:hAnsi="Garamond" w:cs="Times New Roman"/>
          <w:noProof/>
          <w:sz w:val="24"/>
          <w:szCs w:val="24"/>
        </w:rPr>
        <w:t xml:space="preserve"> (</w:t>
      </w:r>
      <w:r w:rsidR="003B68D9" w:rsidRPr="003B68D9">
        <w:rPr>
          <w:rFonts w:ascii="Garamond" w:hAnsi="Garamond" w:cs="Times New Roman"/>
          <w:noProof/>
          <w:sz w:val="24"/>
          <w:szCs w:val="24"/>
        </w:rPr>
        <w:t>2019)</w:t>
      </w:r>
      <w:r w:rsidR="003B68D9">
        <w:rPr>
          <w:rFonts w:ascii="Garamond" w:hAnsi="Garamond" w:cs="Times New Roman"/>
          <w:sz w:val="24"/>
          <w:szCs w:val="24"/>
        </w:rPr>
        <w:fldChar w:fldCharType="end"/>
      </w:r>
      <w:r w:rsidR="003B68D9">
        <w:rPr>
          <w:rFonts w:ascii="Garamond" w:hAnsi="Garamond" w:cs="Times New Roman"/>
          <w:sz w:val="24"/>
          <w:szCs w:val="24"/>
        </w:rPr>
        <w:t xml:space="preserve"> </w:t>
      </w:r>
      <w:r w:rsidRPr="00767289">
        <w:rPr>
          <w:rFonts w:ascii="Garamond" w:hAnsi="Garamond" w:cs="Times New Roman"/>
          <w:sz w:val="24"/>
          <w:szCs w:val="24"/>
          <w:lang w:val="en-ID"/>
        </w:rPr>
        <w:t xml:space="preserve">which shows that the zakat-based livestock program in Tanah Datar was able to increase the financial assets of </w:t>
      </w:r>
      <w:proofErr w:type="spellStart"/>
      <w:r w:rsidRPr="00767289">
        <w:rPr>
          <w:rFonts w:ascii="Garamond" w:hAnsi="Garamond" w:cs="Times New Roman"/>
          <w:sz w:val="24"/>
          <w:szCs w:val="24"/>
          <w:lang w:val="en-ID"/>
        </w:rPr>
        <w:t>mustahik</w:t>
      </w:r>
      <w:proofErr w:type="spellEnd"/>
      <w:r w:rsidRPr="00767289">
        <w:rPr>
          <w:rFonts w:ascii="Garamond" w:hAnsi="Garamond" w:cs="Times New Roman"/>
          <w:sz w:val="24"/>
          <w:szCs w:val="24"/>
          <w:lang w:val="en-ID"/>
        </w:rPr>
        <w:t xml:space="preserve"> through productive economic ventures</w:t>
      </w:r>
      <w:r w:rsidR="00A132AA" w:rsidRPr="00A132AA">
        <w:rPr>
          <w:rFonts w:ascii="Garamond" w:hAnsi="Garamond" w:cs="Times New Roman"/>
          <w:sz w:val="24"/>
          <w:szCs w:val="24"/>
        </w:rPr>
        <w:t>.</w:t>
      </w:r>
    </w:p>
    <w:p w14:paraId="5F17FE27" w14:textId="4A378624" w:rsidR="003B68D9" w:rsidRDefault="00767289" w:rsidP="003B68D9">
      <w:pPr>
        <w:pStyle w:val="Normal1"/>
        <w:pBdr>
          <w:top w:val="nil"/>
          <w:left w:val="nil"/>
          <w:bottom w:val="nil"/>
          <w:right w:val="nil"/>
          <w:between w:val="nil"/>
        </w:pBdr>
        <w:spacing w:after="0"/>
        <w:ind w:left="567" w:firstLine="567"/>
        <w:jc w:val="both"/>
        <w:rPr>
          <w:rFonts w:ascii="Garamond" w:hAnsi="Garamond" w:cs="Times New Roman"/>
          <w:sz w:val="24"/>
          <w:szCs w:val="24"/>
        </w:rPr>
      </w:pPr>
      <w:r w:rsidRPr="00767289">
        <w:rPr>
          <w:rFonts w:ascii="Garamond" w:hAnsi="Garamond" w:cs="Times New Roman"/>
          <w:sz w:val="24"/>
          <w:szCs w:val="24"/>
          <w:lang w:val="en-ID"/>
        </w:rPr>
        <w:t xml:space="preserve">This study also identifies institutional limitations, particularly in the areas of documentation and monitoring. Most BAZNAS offices at both provincial and district levels lack adequate record-keeping systems to document the longitudinal development of </w:t>
      </w:r>
      <w:proofErr w:type="spellStart"/>
      <w:r w:rsidRPr="00767289">
        <w:rPr>
          <w:rFonts w:ascii="Garamond" w:hAnsi="Garamond" w:cs="Times New Roman"/>
          <w:sz w:val="24"/>
          <w:szCs w:val="24"/>
          <w:lang w:val="en-ID"/>
        </w:rPr>
        <w:t>mustahik</w:t>
      </w:r>
      <w:proofErr w:type="spellEnd"/>
      <w:r w:rsidRPr="00767289">
        <w:rPr>
          <w:rFonts w:ascii="Garamond" w:hAnsi="Garamond" w:cs="Times New Roman"/>
          <w:sz w:val="24"/>
          <w:szCs w:val="24"/>
          <w:lang w:val="en-ID"/>
        </w:rPr>
        <w:t>, including their employment history and changes in social status. This poses a challenge in accurately measuring the effectiveness of zakat programs on the socio-economic mobility of beneficiaries</w:t>
      </w:r>
      <w:r w:rsidR="003B68D9">
        <w:rPr>
          <w:rFonts w:ascii="Garamond" w:hAnsi="Garamond" w:cs="Times New Roman"/>
          <w:sz w:val="24"/>
          <w:szCs w:val="24"/>
        </w:rPr>
        <w:fldChar w:fldCharType="begin" w:fldLock="1"/>
      </w:r>
      <w:r w:rsidR="009F79D8">
        <w:rPr>
          <w:rFonts w:ascii="Garamond" w:hAnsi="Garamond" w:cs="Times New Roman"/>
          <w:sz w:val="24"/>
          <w:szCs w:val="24"/>
        </w:rPr>
        <w:instrText>ADDIN CSL_CITATION {"citationItems":[{"id":"ITEM-1","itemData":{"author":[{"dropping-particle":"","family":"Boules","given":"Caroline","non-dropping-particle":"","parse-names":false,"suffix":""},{"dropping-particle":"","family":"Kato","given":"Yuki","non-dropping-particle":"","parse-names":false,"suffix":""}],"container-title":"Sustainable Agri-Food System: Producers' and Consumers' Perspective","id":"ITEM-1","issue":"2","issued":{"date-parts":[["2023"]]},"title":"Just Transition or Just Transitioning? Potentials and Limitations of Urban Growers’ Adaptations to the Impacts of the COVID-19 Pandemic","type":"article-journal","volume":"15"},"uris":["http://www.mendeley.com/documents/?uuid=a3e412df-9466-4f18-946c-e987d8b0e778"]}],"mendeley":{"formattedCitation":"(Boules &amp; Kato, 2023)","plainTextFormattedCitation":"(Boules &amp; Kato, 2023)","previouslyFormattedCitation":"(Boules &amp; Kato, 2023)"},"properties":{"noteIndex":0},"schema":"https://github.com/citation-style-language/schema/raw/master/csl-citation.json"}</w:instrText>
      </w:r>
      <w:r w:rsidR="003B68D9">
        <w:rPr>
          <w:rFonts w:ascii="Garamond" w:hAnsi="Garamond" w:cs="Times New Roman"/>
          <w:sz w:val="24"/>
          <w:szCs w:val="24"/>
        </w:rPr>
        <w:fldChar w:fldCharType="separate"/>
      </w:r>
      <w:r w:rsidR="003B68D9" w:rsidRPr="003B68D9">
        <w:rPr>
          <w:rFonts w:ascii="Garamond" w:hAnsi="Garamond" w:cs="Times New Roman"/>
          <w:noProof/>
          <w:sz w:val="24"/>
          <w:szCs w:val="24"/>
        </w:rPr>
        <w:t>(Boules &amp; Kato, 2023)</w:t>
      </w:r>
      <w:r w:rsidR="003B68D9">
        <w:rPr>
          <w:rFonts w:ascii="Garamond" w:hAnsi="Garamond" w:cs="Times New Roman"/>
          <w:sz w:val="24"/>
          <w:szCs w:val="24"/>
        </w:rPr>
        <w:fldChar w:fldCharType="end"/>
      </w:r>
      <w:r w:rsidR="003B68D9">
        <w:rPr>
          <w:rFonts w:ascii="Garamond" w:hAnsi="Garamond" w:cs="Times New Roman"/>
          <w:sz w:val="24"/>
          <w:szCs w:val="24"/>
        </w:rPr>
        <w:t xml:space="preserve">. </w:t>
      </w:r>
    </w:p>
    <w:p w14:paraId="424D2FD2" w14:textId="1EFAAA3B" w:rsidR="0005042D" w:rsidRPr="0005042D" w:rsidRDefault="00767289" w:rsidP="003B68D9">
      <w:pPr>
        <w:pStyle w:val="Normal1"/>
        <w:pBdr>
          <w:top w:val="nil"/>
          <w:left w:val="nil"/>
          <w:bottom w:val="nil"/>
          <w:right w:val="nil"/>
          <w:between w:val="nil"/>
        </w:pBdr>
        <w:spacing w:after="0"/>
        <w:ind w:left="567" w:firstLine="567"/>
        <w:jc w:val="both"/>
        <w:rPr>
          <w:rFonts w:ascii="Garamond" w:hAnsi="Garamond" w:cs="Times New Roman"/>
          <w:sz w:val="24"/>
          <w:szCs w:val="24"/>
        </w:rPr>
      </w:pPr>
      <w:r w:rsidRPr="00767289">
        <w:rPr>
          <w:rFonts w:ascii="Garamond" w:hAnsi="Garamond" w:cs="Times New Roman"/>
          <w:sz w:val="24"/>
          <w:szCs w:val="24"/>
          <w:lang w:val="en-ID"/>
        </w:rPr>
        <w:t xml:space="preserve">"Thus, the welfare level of farmers in Bengkulu Province is still largely dominated by the </w:t>
      </w:r>
      <w:proofErr w:type="spellStart"/>
      <w:r w:rsidRPr="00767289">
        <w:rPr>
          <w:rFonts w:ascii="Garamond" w:hAnsi="Garamond" w:cs="Times New Roman"/>
          <w:sz w:val="24"/>
          <w:szCs w:val="24"/>
          <w:lang w:val="en-ID"/>
        </w:rPr>
        <w:t>mustahik</w:t>
      </w:r>
      <w:proofErr w:type="spellEnd"/>
      <w:r w:rsidRPr="00767289">
        <w:rPr>
          <w:rFonts w:ascii="Garamond" w:hAnsi="Garamond" w:cs="Times New Roman"/>
          <w:sz w:val="24"/>
          <w:szCs w:val="24"/>
          <w:lang w:val="en-ID"/>
        </w:rPr>
        <w:t xml:space="preserve"> group (</w:t>
      </w:r>
      <w:proofErr w:type="spellStart"/>
      <w:r w:rsidRPr="00767289">
        <w:rPr>
          <w:rFonts w:ascii="Garamond" w:hAnsi="Garamond" w:cs="Times New Roman"/>
          <w:sz w:val="24"/>
          <w:szCs w:val="24"/>
          <w:lang w:val="en-ID"/>
        </w:rPr>
        <w:t>Ashnaf</w:t>
      </w:r>
      <w:proofErr w:type="spellEnd"/>
      <w:r w:rsidRPr="00767289">
        <w:rPr>
          <w:rFonts w:ascii="Garamond" w:hAnsi="Garamond" w:cs="Times New Roman"/>
          <w:sz w:val="24"/>
          <w:szCs w:val="24"/>
          <w:lang w:val="en-ID"/>
        </w:rPr>
        <w:t xml:space="preserve"> </w:t>
      </w:r>
      <w:proofErr w:type="spellStart"/>
      <w:r w:rsidRPr="00767289">
        <w:rPr>
          <w:rFonts w:ascii="Garamond" w:hAnsi="Garamond" w:cs="Times New Roman"/>
          <w:sz w:val="24"/>
          <w:szCs w:val="24"/>
          <w:lang w:val="en-ID"/>
        </w:rPr>
        <w:t>Tsamaniyah</w:t>
      </w:r>
      <w:proofErr w:type="spellEnd"/>
      <w:r w:rsidRPr="00767289">
        <w:rPr>
          <w:rFonts w:ascii="Garamond" w:hAnsi="Garamond" w:cs="Times New Roman"/>
          <w:sz w:val="24"/>
          <w:szCs w:val="24"/>
          <w:lang w:val="en-ID"/>
        </w:rPr>
        <w:t>), indicating the need to strengthen empowerment strategies based on productive zakat. However, there is potential for welfare improvement if mentoring, business development, and structured record-keeping can be optimized by zakat institutions. Moving forward, zakat-based social classification should be integrated with other quantitative indicators to provide a more comprehensive assessment of farmer welfare</w:t>
      </w:r>
      <w:r w:rsidR="00A132AA" w:rsidRPr="00A132AA">
        <w:rPr>
          <w:rFonts w:ascii="Garamond" w:hAnsi="Garamond" w:cs="Times New Roman"/>
          <w:sz w:val="24"/>
          <w:szCs w:val="24"/>
        </w:rPr>
        <w:t>.</w:t>
      </w:r>
    </w:p>
    <w:p w14:paraId="15A381D8" w14:textId="4D030735" w:rsidR="000E2F8F" w:rsidRPr="00957FEF" w:rsidRDefault="000E2F8F" w:rsidP="00957FEF">
      <w:pPr>
        <w:pStyle w:val="ListParagraph"/>
        <w:numPr>
          <w:ilvl w:val="0"/>
          <w:numId w:val="1"/>
        </w:numPr>
        <w:spacing w:after="0" w:line="276" w:lineRule="auto"/>
        <w:ind w:left="284" w:hanging="284"/>
        <w:rPr>
          <w:rFonts w:ascii="Times New Roman" w:hAnsi="Times New Roman" w:cs="Times New Roman"/>
          <w:b/>
          <w:bCs/>
        </w:rPr>
      </w:pPr>
      <w:r w:rsidRPr="00957FEF">
        <w:rPr>
          <w:rFonts w:ascii="Garamond" w:hAnsi="Garamond" w:cs="Times New Roman"/>
          <w:b/>
          <w:bCs/>
        </w:rPr>
        <w:t>Conclusion</w:t>
      </w:r>
      <w:r w:rsidRPr="00957FEF">
        <w:rPr>
          <w:rFonts w:ascii="Times New Roman" w:hAnsi="Times New Roman" w:cs="Times New Roman"/>
          <w:b/>
          <w:bCs/>
        </w:rPr>
        <w:t xml:space="preserve"> </w:t>
      </w:r>
    </w:p>
    <w:p w14:paraId="5A1C0A34" w14:textId="452C4663" w:rsidR="00DB3E3B" w:rsidRPr="00957FEF" w:rsidRDefault="00767289" w:rsidP="003B68D9">
      <w:pPr>
        <w:pStyle w:val="ListParagraph"/>
        <w:spacing w:after="0" w:line="276" w:lineRule="auto"/>
        <w:ind w:left="284" w:firstLine="850"/>
        <w:jc w:val="both"/>
        <w:rPr>
          <w:rFonts w:ascii="Garamond" w:hAnsi="Garamond" w:cs="Times New Roman"/>
        </w:rPr>
      </w:pPr>
      <w:r w:rsidRPr="00767289">
        <w:rPr>
          <w:rFonts w:ascii="Garamond" w:hAnsi="Garamond" w:cs="Times New Roman"/>
        </w:rPr>
        <w:t>The measurement of farmer welfare in Bengkulu Province in this study integrates the Farmer’s Terms of Trade (NTP) and zakat-based social group classification. Based on the findings, it can be concluded that</w:t>
      </w:r>
      <w:r w:rsidR="00DB3E3B" w:rsidRPr="00957FEF">
        <w:rPr>
          <w:rFonts w:ascii="Garamond" w:hAnsi="Garamond" w:cs="Times New Roman"/>
        </w:rPr>
        <w:t xml:space="preserve">: </w:t>
      </w:r>
    </w:p>
    <w:p w14:paraId="0B32C883" w14:textId="12907DCA" w:rsidR="002F6B1B" w:rsidRPr="0005042D" w:rsidRDefault="00767289" w:rsidP="002F6B1B">
      <w:pPr>
        <w:pStyle w:val="ListParagraph"/>
        <w:numPr>
          <w:ilvl w:val="0"/>
          <w:numId w:val="36"/>
        </w:numPr>
        <w:spacing w:after="0" w:line="276" w:lineRule="auto"/>
        <w:ind w:left="567" w:hanging="283"/>
        <w:jc w:val="both"/>
        <w:rPr>
          <w:rFonts w:ascii="Garamond" w:hAnsi="Garamond" w:cs="Times New Roman"/>
        </w:rPr>
      </w:pPr>
      <w:r w:rsidRPr="00767289">
        <w:rPr>
          <w:rFonts w:ascii="Garamond" w:hAnsi="Garamond" w:cs="Times New Roman"/>
        </w:rPr>
        <w:t xml:space="preserve">The optimal time series model for forecasting the Farmer’s Terms of Trade (NTP) in Bengkulu Province from 2021 to 2023 using the ARIMA method and Minitab 16 software is the </w:t>
      </w:r>
      <w:proofErr w:type="gramStart"/>
      <w:r w:rsidRPr="00767289">
        <w:rPr>
          <w:rFonts w:ascii="Garamond" w:hAnsi="Garamond" w:cs="Times New Roman"/>
        </w:rPr>
        <w:t>ARIMA(</w:t>
      </w:r>
      <w:proofErr w:type="gramEnd"/>
      <w:r w:rsidRPr="00767289">
        <w:rPr>
          <w:rFonts w:ascii="Garamond" w:hAnsi="Garamond" w:cs="Times New Roman"/>
        </w:rPr>
        <w:t>1,0,0) model. Therefore, the model for this data is</w:t>
      </w:r>
      <w:r w:rsidR="002F6B1B" w:rsidRPr="0005042D">
        <w:rPr>
          <w:rFonts w:ascii="Garamond" w:hAnsi="Garamond" w:cs="Times New Roman"/>
        </w:rPr>
        <w:t>:</w:t>
      </w:r>
    </w:p>
    <w:p w14:paraId="6AA2CE66" w14:textId="6F52F549" w:rsidR="00DB3E3B" w:rsidRPr="002F6B1B" w:rsidRDefault="00000000" w:rsidP="002F6B1B">
      <w:pPr>
        <w:pStyle w:val="ListParagraph"/>
        <w:tabs>
          <w:tab w:val="left" w:pos="1890"/>
        </w:tabs>
        <w:autoSpaceDE w:val="0"/>
        <w:autoSpaceDN w:val="0"/>
        <w:adjustRightInd w:val="0"/>
        <w:spacing w:after="0" w:line="276" w:lineRule="auto"/>
        <w:ind w:left="927"/>
        <w:jc w:val="center"/>
        <w:rPr>
          <w:rFonts w:ascii="Garamond" w:eastAsiaTheme="minorEastAsia" w:hAnsi="Garamond"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+0,8277</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t-1</m:t>
              </m:r>
            </m:sub>
          </m:sSub>
          <m:r>
            <w:rPr>
              <w:rFonts w:ascii="Cambria Math" w:hAnsi="Cambria Math" w:cs="Times New Roman"/>
            </w:rPr>
            <m:t>+</m:t>
          </m:r>
          <m:r>
            <m:rPr>
              <m:sty m:val="p"/>
            </m:rPr>
            <w:rPr>
              <w:rFonts w:ascii="Cambria Math" w:hAnsi="Cambria Math" w:cs="Times New Roman"/>
            </w:rPr>
            <m:t>23,88</m:t>
          </m:r>
        </m:oMath>
      </m:oMathPara>
    </w:p>
    <w:p w14:paraId="108D9978" w14:textId="7BA32EB3" w:rsidR="002F6B1B" w:rsidRDefault="00767289" w:rsidP="002F6B1B">
      <w:pPr>
        <w:pStyle w:val="ListParagraph"/>
        <w:numPr>
          <w:ilvl w:val="0"/>
          <w:numId w:val="36"/>
        </w:numPr>
        <w:spacing w:after="0" w:line="276" w:lineRule="auto"/>
        <w:ind w:left="567" w:hanging="283"/>
        <w:jc w:val="both"/>
        <w:rPr>
          <w:rFonts w:ascii="Garamond" w:hAnsi="Garamond" w:cs="Times New Roman"/>
        </w:rPr>
      </w:pPr>
      <w:r>
        <w:rPr>
          <w:rFonts w:ascii="Garamond" w:hAnsi="Garamond" w:cs="Times New Roman"/>
        </w:rPr>
        <w:t>T</w:t>
      </w:r>
      <w:r w:rsidRPr="00767289">
        <w:rPr>
          <w:rFonts w:ascii="Garamond" w:hAnsi="Garamond" w:cs="Times New Roman"/>
        </w:rPr>
        <w:t>he forecast results for the Farmer’s Terms of Trade (NTP) in Bengkulu Province from January to December 2024 indicate that the estimated NTP values remain stable and continue to fall within the surplus category, i.e., above the value of 100. This indicates that farmers’ income exceeds their expenditures and their purchasing power remains relatively well-maintained</w:t>
      </w:r>
      <w:r w:rsidR="002F6B1B">
        <w:rPr>
          <w:rFonts w:ascii="Garamond" w:hAnsi="Garamond" w:cs="Times New Roman"/>
        </w:rPr>
        <w:t xml:space="preserve">. </w:t>
      </w:r>
    </w:p>
    <w:p w14:paraId="5E528775" w14:textId="789ACBE6" w:rsidR="00DB3E3B" w:rsidRPr="002F6B1B" w:rsidRDefault="00767289" w:rsidP="002F6B1B">
      <w:pPr>
        <w:pStyle w:val="ListParagraph"/>
        <w:numPr>
          <w:ilvl w:val="0"/>
          <w:numId w:val="36"/>
        </w:numPr>
        <w:spacing w:after="0" w:line="276" w:lineRule="auto"/>
        <w:ind w:left="567" w:hanging="283"/>
        <w:jc w:val="both"/>
        <w:rPr>
          <w:rFonts w:ascii="Garamond" w:hAnsi="Garamond" w:cs="Times New Roman"/>
        </w:rPr>
      </w:pPr>
      <w:r w:rsidRPr="00767289">
        <w:rPr>
          <w:rFonts w:ascii="Garamond" w:hAnsi="Garamond" w:cs="Times New Roman"/>
        </w:rPr>
        <w:t xml:space="preserve">The welfare of farmers in Bengkulu Province, based on zakat-based social group classification, indicates that the majority of farmers are still classified as </w:t>
      </w:r>
      <w:proofErr w:type="spellStart"/>
      <w:r w:rsidRPr="00767289">
        <w:rPr>
          <w:rFonts w:ascii="Garamond" w:hAnsi="Garamond" w:cs="Times New Roman"/>
        </w:rPr>
        <w:t>mustahik</w:t>
      </w:r>
      <w:proofErr w:type="spellEnd"/>
      <w:r w:rsidRPr="00767289">
        <w:rPr>
          <w:rFonts w:ascii="Garamond" w:hAnsi="Garamond" w:cs="Times New Roman"/>
        </w:rPr>
        <w:t xml:space="preserve">, specifically belonging to the </w:t>
      </w:r>
      <w:proofErr w:type="spellStart"/>
      <w:r w:rsidRPr="00767289">
        <w:rPr>
          <w:rFonts w:ascii="Garamond" w:hAnsi="Garamond" w:cs="Times New Roman"/>
          <w:i/>
          <w:iCs/>
        </w:rPr>
        <w:t>asnaf</w:t>
      </w:r>
      <w:proofErr w:type="spellEnd"/>
      <w:r w:rsidRPr="00767289">
        <w:rPr>
          <w:rFonts w:ascii="Garamond" w:hAnsi="Garamond" w:cs="Times New Roman"/>
          <w:i/>
          <w:iCs/>
        </w:rPr>
        <w:t xml:space="preserve"> </w:t>
      </w:r>
      <w:proofErr w:type="spellStart"/>
      <w:r w:rsidRPr="00767289">
        <w:rPr>
          <w:rFonts w:ascii="Garamond" w:hAnsi="Garamond" w:cs="Times New Roman"/>
          <w:i/>
          <w:iCs/>
        </w:rPr>
        <w:t>tsamaniyah</w:t>
      </w:r>
      <w:proofErr w:type="spellEnd"/>
      <w:r w:rsidRPr="00767289">
        <w:rPr>
          <w:rFonts w:ascii="Garamond" w:hAnsi="Garamond" w:cs="Times New Roman"/>
        </w:rPr>
        <w:t xml:space="preserve"> social group</w:t>
      </w:r>
      <w:r>
        <w:rPr>
          <w:rFonts w:ascii="Garamond" w:hAnsi="Garamond" w:cs="Times New Roman"/>
        </w:rPr>
        <w:t>.</w:t>
      </w:r>
    </w:p>
    <w:p w14:paraId="6AA34FFC" w14:textId="22EBCEED" w:rsidR="00DB3E3B" w:rsidRPr="002F6B1B" w:rsidRDefault="00CC4FA1" w:rsidP="002F6B1B">
      <w:pPr>
        <w:pStyle w:val="ListParagraph"/>
        <w:spacing w:after="0" w:line="276" w:lineRule="auto"/>
        <w:ind w:left="284" w:firstLine="850"/>
        <w:jc w:val="both"/>
        <w:rPr>
          <w:rFonts w:ascii="Garamond" w:eastAsia="Times New Roman" w:hAnsi="Garamond" w:cs="Times New Roman"/>
        </w:rPr>
      </w:pPr>
      <w:r w:rsidRPr="00CC4FA1">
        <w:rPr>
          <w:rFonts w:ascii="Garamond" w:eastAsia="Times New Roman" w:hAnsi="Garamond" w:cs="Times New Roman"/>
        </w:rPr>
        <w:t xml:space="preserve">Based on the findings of this study, it is recommended that local governments and relevant institutions—particularly the Department of Agriculture, BAZNAS, and LAZ in Bengkulu Province—strengthen the integration between policies aimed at improving farmer welfare through productivity enhancement and price stabilization, and socio-religious approaches based on zakat through </w:t>
      </w:r>
      <w:proofErr w:type="spellStart"/>
      <w:r w:rsidRPr="00CC4FA1">
        <w:rPr>
          <w:rFonts w:ascii="Garamond" w:eastAsia="Times New Roman" w:hAnsi="Garamond" w:cs="Times New Roman"/>
        </w:rPr>
        <w:t>mustahik</w:t>
      </w:r>
      <w:proofErr w:type="spellEnd"/>
      <w:r w:rsidRPr="00CC4FA1">
        <w:rPr>
          <w:rFonts w:ascii="Garamond" w:eastAsia="Times New Roman" w:hAnsi="Garamond" w:cs="Times New Roman"/>
        </w:rPr>
        <w:t xml:space="preserve"> empowerment programs. The application of the </w:t>
      </w:r>
      <w:proofErr w:type="gramStart"/>
      <w:r w:rsidRPr="00CC4FA1">
        <w:rPr>
          <w:rFonts w:ascii="Garamond" w:eastAsia="Times New Roman" w:hAnsi="Garamond" w:cs="Times New Roman"/>
        </w:rPr>
        <w:t>ARIMA(</w:t>
      </w:r>
      <w:proofErr w:type="gramEnd"/>
      <w:r w:rsidRPr="00CC4FA1">
        <w:rPr>
          <w:rFonts w:ascii="Garamond" w:eastAsia="Times New Roman" w:hAnsi="Garamond" w:cs="Times New Roman"/>
        </w:rPr>
        <w:t xml:space="preserve">1,0,0) model, which has proven effective in forecasting NTP, is expected to serve as a reference for agricultural development planning that is more adaptive and responsive to the economic dynamics of farmers. Furthermore, it is crucial for zakat institutions to develop more accurate and sustainable systems for collecting and tracking the socio-economic status of </w:t>
      </w:r>
      <w:proofErr w:type="spellStart"/>
      <w:r w:rsidRPr="00CC4FA1">
        <w:rPr>
          <w:rFonts w:ascii="Garamond" w:eastAsia="Times New Roman" w:hAnsi="Garamond" w:cs="Times New Roman"/>
        </w:rPr>
        <w:t>mustahik</w:t>
      </w:r>
      <w:proofErr w:type="spellEnd"/>
      <w:r w:rsidRPr="00CC4FA1">
        <w:rPr>
          <w:rFonts w:ascii="Garamond" w:eastAsia="Times New Roman" w:hAnsi="Garamond" w:cs="Times New Roman"/>
        </w:rPr>
        <w:t xml:space="preserve"> in order to monitor the transformation of farmers from zakat recipients (</w:t>
      </w:r>
      <w:proofErr w:type="spellStart"/>
      <w:r w:rsidRPr="00CC4FA1">
        <w:rPr>
          <w:rFonts w:ascii="Garamond" w:eastAsia="Times New Roman" w:hAnsi="Garamond" w:cs="Times New Roman"/>
        </w:rPr>
        <w:t>mustahik</w:t>
      </w:r>
      <w:proofErr w:type="spellEnd"/>
      <w:r w:rsidRPr="00CC4FA1">
        <w:rPr>
          <w:rFonts w:ascii="Garamond" w:eastAsia="Times New Roman" w:hAnsi="Garamond" w:cs="Times New Roman"/>
        </w:rPr>
        <w:t>) to zakat givers (</w:t>
      </w:r>
      <w:proofErr w:type="spellStart"/>
      <w:r w:rsidRPr="00CC4FA1">
        <w:rPr>
          <w:rFonts w:ascii="Garamond" w:eastAsia="Times New Roman" w:hAnsi="Garamond" w:cs="Times New Roman"/>
        </w:rPr>
        <w:t>muzakki</w:t>
      </w:r>
      <w:proofErr w:type="spellEnd"/>
      <w:r w:rsidRPr="00CC4FA1">
        <w:rPr>
          <w:rFonts w:ascii="Garamond" w:eastAsia="Times New Roman" w:hAnsi="Garamond" w:cs="Times New Roman"/>
        </w:rPr>
        <w:t>) as a key indicator of the success of productive zakat programs</w:t>
      </w:r>
      <w:r>
        <w:rPr>
          <w:rFonts w:ascii="Garamond" w:eastAsia="Times New Roman" w:hAnsi="Garamond" w:cs="Times New Roman"/>
        </w:rPr>
        <w:t>.</w:t>
      </w:r>
    </w:p>
    <w:p w14:paraId="72CD5997" w14:textId="06350DA0" w:rsidR="000E2F8F" w:rsidRPr="00957FEF" w:rsidRDefault="000E2F8F" w:rsidP="00957FEF">
      <w:pPr>
        <w:pStyle w:val="ListParagraph"/>
        <w:numPr>
          <w:ilvl w:val="0"/>
          <w:numId w:val="1"/>
        </w:numPr>
        <w:spacing w:after="0" w:line="276" w:lineRule="auto"/>
        <w:ind w:left="284" w:hanging="284"/>
        <w:rPr>
          <w:rFonts w:ascii="Garamond" w:hAnsi="Garamond" w:cs="Times New Roman"/>
          <w:b/>
          <w:bCs/>
        </w:rPr>
      </w:pPr>
      <w:r w:rsidRPr="00957FEF">
        <w:rPr>
          <w:rFonts w:ascii="Garamond" w:hAnsi="Garamond" w:cs="Times New Roman"/>
          <w:b/>
          <w:bCs/>
        </w:rPr>
        <w:t xml:space="preserve">Reference </w:t>
      </w:r>
    </w:p>
    <w:p w14:paraId="6F29BD62" w14:textId="49349BCF" w:rsidR="009F79D8" w:rsidRPr="009F79D8" w:rsidRDefault="00570456" w:rsidP="009F79D8">
      <w:pPr>
        <w:widowControl w:val="0"/>
        <w:autoSpaceDE w:val="0"/>
        <w:autoSpaceDN w:val="0"/>
        <w:adjustRightInd w:val="0"/>
        <w:spacing w:after="0" w:line="240" w:lineRule="auto"/>
        <w:ind w:left="480" w:hanging="480"/>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9F79D8" w:rsidRPr="009F79D8">
        <w:rPr>
          <w:rFonts w:ascii="Times New Roman" w:hAnsi="Times New Roman" w:cs="Times New Roman"/>
          <w:noProof/>
          <w:kern w:val="0"/>
        </w:rPr>
        <w:t xml:space="preserve">Arhan, T. N., Darma, R., &amp; Munir, A. R. (2024). Analyzing Factors Influencing Farmer Term of Trade for Food Crops: A Case Study of South Sulawesi, Indonesia. </w:t>
      </w:r>
      <w:r w:rsidR="009F79D8" w:rsidRPr="009F79D8">
        <w:rPr>
          <w:rFonts w:ascii="Times New Roman" w:hAnsi="Times New Roman" w:cs="Times New Roman"/>
          <w:i/>
          <w:iCs/>
          <w:noProof/>
          <w:kern w:val="0"/>
        </w:rPr>
        <w:t>Universal Journal of Agricultural Research</w:t>
      </w:r>
      <w:r w:rsidR="009F79D8" w:rsidRPr="009F79D8">
        <w:rPr>
          <w:rFonts w:ascii="Times New Roman" w:hAnsi="Times New Roman" w:cs="Times New Roman"/>
          <w:noProof/>
          <w:kern w:val="0"/>
        </w:rPr>
        <w:t xml:space="preserve">, </w:t>
      </w:r>
      <w:r w:rsidR="009F79D8" w:rsidRPr="009F79D8">
        <w:rPr>
          <w:rFonts w:ascii="Times New Roman" w:hAnsi="Times New Roman" w:cs="Times New Roman"/>
          <w:i/>
          <w:iCs/>
          <w:noProof/>
          <w:kern w:val="0"/>
        </w:rPr>
        <w:t>12</w:t>
      </w:r>
      <w:r w:rsidR="009F79D8" w:rsidRPr="009F79D8">
        <w:rPr>
          <w:rFonts w:ascii="Times New Roman" w:hAnsi="Times New Roman" w:cs="Times New Roman"/>
          <w:noProof/>
          <w:kern w:val="0"/>
        </w:rPr>
        <w:t>(2), 422. https://doi.org/10.13189/ujar.2024.120220</w:t>
      </w:r>
    </w:p>
    <w:p w14:paraId="2F5343C0"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Arintoko, Sambodo, H., &amp; Priyono, R. (2025). Do International Oil Prices, Exchange Rates and Agricultural Credit Matter for Farmers’ Term of Trade in Indonesia? Empirical Evidence of Multiple Thresholds and Asymmetric Effects. </w:t>
      </w:r>
      <w:r w:rsidRPr="009F79D8">
        <w:rPr>
          <w:rFonts w:ascii="Times New Roman" w:hAnsi="Times New Roman" w:cs="Times New Roman"/>
          <w:i/>
          <w:iCs/>
          <w:noProof/>
          <w:kern w:val="0"/>
        </w:rPr>
        <w:t>Research on World Agricultural Economy</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6</w:t>
      </w:r>
      <w:r w:rsidRPr="009F79D8">
        <w:rPr>
          <w:rFonts w:ascii="Times New Roman" w:hAnsi="Times New Roman" w:cs="Times New Roman"/>
          <w:noProof/>
          <w:kern w:val="0"/>
        </w:rPr>
        <w:t>(1), 71–87. https://doi.org/10.36956/rwae.v6i1.1305</w:t>
      </w:r>
    </w:p>
    <w:p w14:paraId="285AED00"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Beik, I. S., Bahri, E. S., Asmita, B., &amp; Fahrudin. (2019). Measurement of Zakat Impact through Sustainable Livelihood Impact Assessment on Balai Ternakin Tanah Datar. </w:t>
      </w:r>
      <w:r w:rsidRPr="009F79D8">
        <w:rPr>
          <w:rFonts w:ascii="Times New Roman" w:hAnsi="Times New Roman" w:cs="Times New Roman"/>
          <w:i/>
          <w:iCs/>
          <w:noProof/>
          <w:kern w:val="0"/>
        </w:rPr>
        <w:t>Test Engunering and Management</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81</w:t>
      </w:r>
      <w:r w:rsidRPr="009F79D8">
        <w:rPr>
          <w:rFonts w:ascii="Times New Roman" w:hAnsi="Times New Roman" w:cs="Times New Roman"/>
          <w:noProof/>
          <w:kern w:val="0"/>
        </w:rPr>
        <w:t>, 2881–2892.</w:t>
      </w:r>
    </w:p>
    <w:p w14:paraId="4342E115"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Boules, C., &amp; Kato, Y. (2023). Just Transition or Just Transitioning? Potentials and Limitations of Urban Growers’ Adaptations to the Impacts of the COVID-19 Pandemic. </w:t>
      </w:r>
      <w:r w:rsidRPr="009F79D8">
        <w:rPr>
          <w:rFonts w:ascii="Times New Roman" w:hAnsi="Times New Roman" w:cs="Times New Roman"/>
          <w:i/>
          <w:iCs/>
          <w:noProof/>
          <w:kern w:val="0"/>
        </w:rPr>
        <w:t>Sustainable Agri-Food System: Producers’ and Consumers’ Perspective</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15</w:t>
      </w:r>
      <w:r w:rsidRPr="009F79D8">
        <w:rPr>
          <w:rFonts w:ascii="Times New Roman" w:hAnsi="Times New Roman" w:cs="Times New Roman"/>
          <w:noProof/>
          <w:kern w:val="0"/>
        </w:rPr>
        <w:t>(2).</w:t>
      </w:r>
    </w:p>
    <w:p w14:paraId="77C1B26D"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Box, G. E. P., Jenkins, G. M., Reinsel, G. C., &amp; Ljung, G. M. (2015). </w:t>
      </w:r>
      <w:r w:rsidRPr="009F79D8">
        <w:rPr>
          <w:rFonts w:ascii="Times New Roman" w:hAnsi="Times New Roman" w:cs="Times New Roman"/>
          <w:i/>
          <w:iCs/>
          <w:noProof/>
          <w:kern w:val="0"/>
        </w:rPr>
        <w:t>Time Series Analysis: Forecasting and Control</w:t>
      </w:r>
      <w:r w:rsidRPr="009F79D8">
        <w:rPr>
          <w:rFonts w:ascii="Times New Roman" w:hAnsi="Times New Roman" w:cs="Times New Roman"/>
          <w:noProof/>
          <w:kern w:val="0"/>
        </w:rPr>
        <w:t>. ohn Wiley and Sons Inc.</w:t>
      </w:r>
    </w:p>
    <w:p w14:paraId="5CE6EA98"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BPS. (2024). </w:t>
      </w:r>
      <w:r w:rsidRPr="009F79D8">
        <w:rPr>
          <w:rFonts w:ascii="Times New Roman" w:hAnsi="Times New Roman" w:cs="Times New Roman"/>
          <w:i/>
          <w:iCs/>
          <w:noProof/>
          <w:kern w:val="0"/>
        </w:rPr>
        <w:t>Produk Domestik Regional Bruto Provinsi-Provinsi di Indonesia Menurut Pengeluaran Tahun 2019-2023</w:t>
      </w:r>
      <w:r w:rsidRPr="009F79D8">
        <w:rPr>
          <w:rFonts w:ascii="Times New Roman" w:hAnsi="Times New Roman" w:cs="Times New Roman"/>
          <w:noProof/>
          <w:kern w:val="0"/>
        </w:rPr>
        <w:t>. https://web-api.bps.go.id/download.php?f=wk8AiQHS1+LvPhwGksT/ulhnKzhNeStVaHRzUDVPR3lvVEJ6T1p3dXR3Z29TVUVpRGZJV0Q2WklkeG9nVjU2STVROUl1dVhYaUVZbUVYYkpqM3Z0TzVKb05iODE2SjhZd3dSSFNUemRJUUZlc2VwVkRKU1JxM3BNckxlUXY5UnZtUXhldVRDbUdqNWd3WGhBRkdTSGR6VXBGSWpjNHdKcG</w:t>
      </w:r>
    </w:p>
    <w:p w14:paraId="21C2B1BF"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Etuk, E. (2012). A Multiplicative Seasonal Arima Model for Nigerian Unemployment Rates. </w:t>
      </w:r>
      <w:r w:rsidRPr="009F79D8">
        <w:rPr>
          <w:rFonts w:ascii="Times New Roman" w:hAnsi="Times New Roman" w:cs="Times New Roman"/>
          <w:i/>
          <w:iCs/>
          <w:noProof/>
          <w:kern w:val="0"/>
        </w:rPr>
        <w:t>The Bulletin of Society for Mathematical Services and Standards</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3</w:t>
      </w:r>
      <w:r w:rsidRPr="009F79D8">
        <w:rPr>
          <w:rFonts w:ascii="Times New Roman" w:hAnsi="Times New Roman" w:cs="Times New Roman"/>
          <w:noProof/>
          <w:kern w:val="0"/>
        </w:rPr>
        <w:t>, 46–53. https://doi.org/10.18052/www.scipress.com/BSMaSS.3.46</w:t>
      </w:r>
    </w:p>
    <w:p w14:paraId="4529AEC6"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FAO. (2017). </w:t>
      </w:r>
      <w:r w:rsidRPr="009F79D8">
        <w:rPr>
          <w:rFonts w:ascii="Times New Roman" w:hAnsi="Times New Roman" w:cs="Times New Roman"/>
          <w:i/>
          <w:iCs/>
          <w:noProof/>
          <w:kern w:val="0"/>
        </w:rPr>
        <w:t>The Future of Food and Agriculture: Trends and Challenges</w:t>
      </w:r>
      <w:r w:rsidRPr="009F79D8">
        <w:rPr>
          <w:rFonts w:ascii="Times New Roman" w:hAnsi="Times New Roman" w:cs="Times New Roman"/>
          <w:noProof/>
          <w:kern w:val="0"/>
        </w:rPr>
        <w:t>. Food and Agriculture Organization of The United Nations.</w:t>
      </w:r>
    </w:p>
    <w:p w14:paraId="6B22B938"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Group, W. B. (2025). </w:t>
      </w:r>
      <w:r w:rsidRPr="009F79D8">
        <w:rPr>
          <w:rFonts w:ascii="Times New Roman" w:hAnsi="Times New Roman" w:cs="Times New Roman"/>
          <w:i/>
          <w:iCs/>
          <w:noProof/>
          <w:kern w:val="0"/>
        </w:rPr>
        <w:t>Agriculture and Food: Overview</w:t>
      </w:r>
      <w:r w:rsidRPr="009F79D8">
        <w:rPr>
          <w:rFonts w:ascii="Times New Roman" w:hAnsi="Times New Roman" w:cs="Times New Roman"/>
          <w:noProof/>
          <w:kern w:val="0"/>
        </w:rPr>
        <w:t>. World Bank. https://www.worldbank.org/en/topic/agriculture/overview</w:t>
      </w:r>
    </w:p>
    <w:p w14:paraId="2E288AA3"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Hapsari, H., Wulandari, E., Suminartika, E., &amp; Karyani, T. (2021). The Family Welfare of Horticulture Farmers: Case in Pegalengan District, Bandung Regency, West Java. </w:t>
      </w:r>
      <w:r w:rsidRPr="009F79D8">
        <w:rPr>
          <w:rFonts w:ascii="Times New Roman" w:hAnsi="Times New Roman" w:cs="Times New Roman"/>
          <w:i/>
          <w:iCs/>
          <w:noProof/>
          <w:kern w:val="0"/>
        </w:rPr>
        <w:t>IOP Conference Series: Earth and Environmental Science</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653</w:t>
      </w:r>
      <w:r w:rsidRPr="009F79D8">
        <w:rPr>
          <w:rFonts w:ascii="Times New Roman" w:hAnsi="Times New Roman" w:cs="Times New Roman"/>
          <w:noProof/>
          <w:kern w:val="0"/>
        </w:rPr>
        <w:t>(1), 1–7. https://doi.org/10.1088/1755-1315/653/1/012092</w:t>
      </w:r>
    </w:p>
    <w:p w14:paraId="645B5B44"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J.Brocwell, P., &amp; A.Davis, R. (2016). </w:t>
      </w:r>
      <w:r w:rsidRPr="009F79D8">
        <w:rPr>
          <w:rFonts w:ascii="Times New Roman" w:hAnsi="Times New Roman" w:cs="Times New Roman"/>
          <w:i/>
          <w:iCs/>
          <w:noProof/>
          <w:kern w:val="0"/>
        </w:rPr>
        <w:t>Introduction to Time Series and Forecasting</w:t>
      </w:r>
      <w:r w:rsidRPr="009F79D8">
        <w:rPr>
          <w:rFonts w:ascii="Times New Roman" w:hAnsi="Times New Roman" w:cs="Times New Roman"/>
          <w:noProof/>
          <w:kern w:val="0"/>
        </w:rPr>
        <w:t>. Springer.</w:t>
      </w:r>
    </w:p>
    <w:p w14:paraId="1FC9278E"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Jaroensathapornkul, J., &amp; Tongpan, S. (2007). Impacts of Government Spending on Thailand’s Agricultural Sector. </w:t>
      </w:r>
      <w:r w:rsidRPr="009F79D8">
        <w:rPr>
          <w:rFonts w:ascii="Times New Roman" w:hAnsi="Times New Roman" w:cs="Times New Roman"/>
          <w:i/>
          <w:iCs/>
          <w:noProof/>
          <w:kern w:val="0"/>
        </w:rPr>
        <w:t>Kasetsart Journal of Soial Science</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28</w:t>
      </w:r>
      <w:r w:rsidRPr="009F79D8">
        <w:rPr>
          <w:rFonts w:ascii="Times New Roman" w:hAnsi="Times New Roman" w:cs="Times New Roman"/>
          <w:noProof/>
          <w:kern w:val="0"/>
        </w:rPr>
        <w:t>(3), 385–395.</w:t>
      </w:r>
    </w:p>
    <w:p w14:paraId="02FF42FD"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Khadarisna, S., Agustono, &amp; Qonita, A. (2022). Identifikasi Kinerja Subsektor Tanaman Pangan, Hortikultura, Perkebunan, Perternakan dan Jasa Pertanian dalam Pembangunan Perekonomian di Kabupaten Tulungagung. </w:t>
      </w:r>
      <w:r w:rsidRPr="009F79D8">
        <w:rPr>
          <w:rFonts w:ascii="Times New Roman" w:hAnsi="Times New Roman" w:cs="Times New Roman"/>
          <w:i/>
          <w:iCs/>
          <w:noProof/>
          <w:kern w:val="0"/>
        </w:rPr>
        <w:t>AGRISTA</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10</w:t>
      </w:r>
      <w:r w:rsidRPr="009F79D8">
        <w:rPr>
          <w:rFonts w:ascii="Times New Roman" w:hAnsi="Times New Roman" w:cs="Times New Roman"/>
          <w:noProof/>
          <w:kern w:val="0"/>
        </w:rPr>
        <w:t>(4), 97–111.</w:t>
      </w:r>
    </w:p>
    <w:p w14:paraId="15B99391"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Makridarkis, S., Wheelwrigth, &amp; McG. (1999). </w:t>
      </w:r>
      <w:r w:rsidRPr="009F79D8">
        <w:rPr>
          <w:rFonts w:ascii="Times New Roman" w:hAnsi="Times New Roman" w:cs="Times New Roman"/>
          <w:i/>
          <w:iCs/>
          <w:noProof/>
          <w:kern w:val="0"/>
        </w:rPr>
        <w:t>Metode dan Aplikasi Peramalan</w:t>
      </w:r>
      <w:r w:rsidRPr="009F79D8">
        <w:rPr>
          <w:rFonts w:ascii="Times New Roman" w:hAnsi="Times New Roman" w:cs="Times New Roman"/>
          <w:noProof/>
          <w:kern w:val="0"/>
        </w:rPr>
        <w:t>. Erlangga.</w:t>
      </w:r>
    </w:p>
    <w:p w14:paraId="0B5EE93D"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Mawardi, I., Widiastuti, T., Al Mustofa, M. U., &amp; Hakimi, F. (2023). Analyzing The Impact of Productive Zakat on the Welfare of Zakat Recipients. </w:t>
      </w:r>
      <w:r w:rsidRPr="009F79D8">
        <w:rPr>
          <w:rFonts w:ascii="Times New Roman" w:hAnsi="Times New Roman" w:cs="Times New Roman"/>
          <w:i/>
          <w:iCs/>
          <w:noProof/>
          <w:kern w:val="0"/>
        </w:rPr>
        <w:t>Journal of Islamic Accounting and Business Research</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14</w:t>
      </w:r>
      <w:r w:rsidRPr="009F79D8">
        <w:rPr>
          <w:rFonts w:ascii="Times New Roman" w:hAnsi="Times New Roman" w:cs="Times New Roman"/>
          <w:noProof/>
          <w:kern w:val="0"/>
        </w:rPr>
        <w:t>(1), 118–140. https://doi.org/10.1108/JIABR-05-2021-0145</w:t>
      </w:r>
    </w:p>
    <w:p w14:paraId="53267F2F"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Mongkito, A. W., Samdin, Gamsir, Sariadi, L. O., Balaka, M. Y., Lapipi, Harafah, L. O. M., Irmawatty, Alwahidin, &amp; Nusantara, A. W. (2025). The Role of Zakat in Poverty Alleviation and Farmer Welfare; the Theoretical Review. </w:t>
      </w:r>
      <w:r w:rsidRPr="009F79D8">
        <w:rPr>
          <w:rFonts w:ascii="Times New Roman" w:hAnsi="Times New Roman" w:cs="Times New Roman"/>
          <w:i/>
          <w:iCs/>
          <w:noProof/>
          <w:kern w:val="0"/>
        </w:rPr>
        <w:t>Journal of Global Innovations in Agricultural Sciences</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13</w:t>
      </w:r>
      <w:r w:rsidRPr="009F79D8">
        <w:rPr>
          <w:rFonts w:ascii="Times New Roman" w:hAnsi="Times New Roman" w:cs="Times New Roman"/>
          <w:noProof/>
          <w:kern w:val="0"/>
        </w:rPr>
        <w:t>(1), 285–296. https://doi.org/10.22194/JGIAS/25.1427</w:t>
      </w:r>
    </w:p>
    <w:p w14:paraId="06EA067E"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Pratiwi, D., Agustini, S. M. ., Windasari, W., &amp; Kencana, E. N. (2020). Forecasting Farmer Exchange Rate in Bali Province Using Seasonal Autoregressive Integrated Moving Average (SARIMA) Method. </w:t>
      </w:r>
      <w:r w:rsidRPr="009F79D8">
        <w:rPr>
          <w:rFonts w:ascii="Times New Roman" w:hAnsi="Times New Roman" w:cs="Times New Roman"/>
          <w:i/>
          <w:iCs/>
          <w:noProof/>
          <w:kern w:val="0"/>
        </w:rPr>
        <w:t>Journal of Physics</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1503</w:t>
      </w:r>
      <w:r w:rsidRPr="009F79D8">
        <w:rPr>
          <w:rFonts w:ascii="Times New Roman" w:hAnsi="Times New Roman" w:cs="Times New Roman"/>
          <w:noProof/>
          <w:kern w:val="0"/>
        </w:rPr>
        <w:t>. https://doi.org/10.1088/1742-6596/1503/1/012002</w:t>
      </w:r>
    </w:p>
    <w:p w14:paraId="5B07D023"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Rahmat, R. S., &amp; Nurzaman, M. S. (2019). Assesment of zakat distribution: A case study on zakat community development in Bringinsari village, Sukorejo district, Kendal. </w:t>
      </w:r>
      <w:r w:rsidRPr="009F79D8">
        <w:rPr>
          <w:rFonts w:ascii="Times New Roman" w:hAnsi="Times New Roman" w:cs="Times New Roman"/>
          <w:i/>
          <w:iCs/>
          <w:noProof/>
          <w:kern w:val="0"/>
        </w:rPr>
        <w:t>International Journal of Islamic and Middle Eastern Finance and Management</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12</w:t>
      </w:r>
      <w:r w:rsidRPr="009F79D8">
        <w:rPr>
          <w:rFonts w:ascii="Times New Roman" w:hAnsi="Times New Roman" w:cs="Times New Roman"/>
          <w:noProof/>
          <w:kern w:val="0"/>
        </w:rPr>
        <w:t>(5), 743–766. https://doi.org/10.1108/IMEFM-12-2018-0412</w:t>
      </w:r>
    </w:p>
    <w:p w14:paraId="55C8A9AD"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Ramadhani, R., Ginting, R., &amp; Ayu, S. . (2021). Analysis of factors affecting farmer exchange rate in North Sumatera Province. </w:t>
      </w:r>
      <w:r w:rsidRPr="009F79D8">
        <w:rPr>
          <w:rFonts w:ascii="Times New Roman" w:hAnsi="Times New Roman" w:cs="Times New Roman"/>
          <w:i/>
          <w:iCs/>
          <w:noProof/>
          <w:kern w:val="0"/>
        </w:rPr>
        <w:t>IOP Conference Series: Earth and Environmental Science</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782</w:t>
      </w:r>
      <w:r w:rsidRPr="009F79D8">
        <w:rPr>
          <w:rFonts w:ascii="Times New Roman" w:hAnsi="Times New Roman" w:cs="Times New Roman"/>
          <w:noProof/>
          <w:kern w:val="0"/>
        </w:rPr>
        <w:t>. https://doi.org/10.1088/1755-1315/782/2/022050</w:t>
      </w:r>
    </w:p>
    <w:p w14:paraId="0E223F52"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Sari, M., &amp; Uwi, M. (2025). Optimizing Local Resources in Sustainable Agricultural Systems for Rural Poverty Alleviation. </w:t>
      </w:r>
      <w:r w:rsidRPr="009F79D8">
        <w:rPr>
          <w:rFonts w:ascii="Times New Roman" w:hAnsi="Times New Roman" w:cs="Times New Roman"/>
          <w:i/>
          <w:iCs/>
          <w:noProof/>
          <w:kern w:val="0"/>
        </w:rPr>
        <w:t>Jurnal Kolaboratif Sains</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8</w:t>
      </w:r>
      <w:r w:rsidRPr="009F79D8">
        <w:rPr>
          <w:rFonts w:ascii="Times New Roman" w:hAnsi="Times New Roman" w:cs="Times New Roman"/>
          <w:noProof/>
          <w:kern w:val="0"/>
        </w:rPr>
        <w:t>(1), 264–270. https://doi.org/10.56338/jks.v8i1.6792</w:t>
      </w:r>
    </w:p>
    <w:p w14:paraId="52E3EEBA"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Saridewi, L. P., &amp; Hidayati, A. K. (2023). Analisis Nilai Tukar Petani Komoditas Kedelai di Yogyakarta. </w:t>
      </w:r>
      <w:r w:rsidRPr="009F79D8">
        <w:rPr>
          <w:rFonts w:ascii="Times New Roman" w:hAnsi="Times New Roman" w:cs="Times New Roman"/>
          <w:i/>
          <w:iCs/>
          <w:noProof/>
          <w:kern w:val="0"/>
        </w:rPr>
        <w:t>Journal of Agribusiness Science and Rural Development</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2</w:t>
      </w:r>
      <w:r w:rsidRPr="009F79D8">
        <w:rPr>
          <w:rFonts w:ascii="Times New Roman" w:hAnsi="Times New Roman" w:cs="Times New Roman"/>
          <w:noProof/>
          <w:kern w:val="0"/>
        </w:rPr>
        <w:t>(2), 15–24. https://doi.org/10.32639/jasrd.v2i2.363</w:t>
      </w:r>
    </w:p>
    <w:p w14:paraId="0D4A296B"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Simatupang, D. . (2008). </w:t>
      </w:r>
      <w:r w:rsidRPr="009F79D8">
        <w:rPr>
          <w:rFonts w:ascii="Times New Roman" w:hAnsi="Times New Roman" w:cs="Times New Roman"/>
          <w:i/>
          <w:iCs/>
          <w:noProof/>
          <w:kern w:val="0"/>
        </w:rPr>
        <w:t>Berbagai Mikroorganisme Rizosfer pada Tanaman Pepaya (Carica papaya L.) di Pusat Kajian Buah-buahan Tropika (PKBT) IPB Desa Ciomas, Kecamatan Pasirkuda, Kabupaten Bogor, Jawa Barat</w:t>
      </w:r>
      <w:r w:rsidRPr="009F79D8">
        <w:rPr>
          <w:rFonts w:ascii="Times New Roman" w:hAnsi="Times New Roman" w:cs="Times New Roman"/>
          <w:noProof/>
          <w:kern w:val="0"/>
        </w:rPr>
        <w:t>.</w:t>
      </w:r>
    </w:p>
    <w:p w14:paraId="7123AB29"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Sodiq, A. (2015). Konsep Kesejahteraan dalam Islam. </w:t>
      </w:r>
      <w:r w:rsidRPr="009F79D8">
        <w:rPr>
          <w:rFonts w:ascii="Times New Roman" w:hAnsi="Times New Roman" w:cs="Times New Roman"/>
          <w:i/>
          <w:iCs/>
          <w:noProof/>
          <w:kern w:val="0"/>
        </w:rPr>
        <w:t>Equilibrium</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3</w:t>
      </w:r>
      <w:r w:rsidRPr="009F79D8">
        <w:rPr>
          <w:rFonts w:ascii="Times New Roman" w:hAnsi="Times New Roman" w:cs="Times New Roman"/>
          <w:noProof/>
          <w:kern w:val="0"/>
        </w:rPr>
        <w:t>(2), 383.</w:t>
      </w:r>
    </w:p>
    <w:p w14:paraId="006A3411"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Statistik, B. P. (2022). </w:t>
      </w:r>
      <w:r w:rsidRPr="009F79D8">
        <w:rPr>
          <w:rFonts w:ascii="Times New Roman" w:hAnsi="Times New Roman" w:cs="Times New Roman"/>
          <w:i/>
          <w:iCs/>
          <w:noProof/>
          <w:kern w:val="0"/>
        </w:rPr>
        <w:t>Jumlah Penduduk Menurut Wilayah, Daerah Perkotaan/Perdesaan Indonesia Tahun 2022</w:t>
      </w:r>
      <w:r w:rsidRPr="009F79D8">
        <w:rPr>
          <w:rFonts w:ascii="Times New Roman" w:hAnsi="Times New Roman" w:cs="Times New Roman"/>
          <w:noProof/>
          <w:kern w:val="0"/>
        </w:rPr>
        <w:t>. https://sensus.bps.go.id/topik/tabular/sp2022/187/1/1200</w:t>
      </w:r>
    </w:p>
    <w:p w14:paraId="055C2082"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Sugiyono. (2016). </w:t>
      </w:r>
      <w:r w:rsidRPr="009F79D8">
        <w:rPr>
          <w:rFonts w:ascii="Times New Roman" w:hAnsi="Times New Roman" w:cs="Times New Roman"/>
          <w:i/>
          <w:iCs/>
          <w:noProof/>
          <w:kern w:val="0"/>
        </w:rPr>
        <w:t>Metode Penelitian Kuantitatif Kualitatif R&amp;D</w:t>
      </w:r>
      <w:r w:rsidRPr="009F79D8">
        <w:rPr>
          <w:rFonts w:ascii="Times New Roman" w:hAnsi="Times New Roman" w:cs="Times New Roman"/>
          <w:noProof/>
          <w:kern w:val="0"/>
        </w:rPr>
        <w:t>. Alfabeta.</w:t>
      </w:r>
    </w:p>
    <w:p w14:paraId="3A57D4C6"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Sulaksana, J. (2019). Analysis of Factors Affecting The Farmer’s Term of Trade of Fruit Farmers. </w:t>
      </w:r>
      <w:r w:rsidRPr="009F79D8">
        <w:rPr>
          <w:rFonts w:ascii="Times New Roman" w:hAnsi="Times New Roman" w:cs="Times New Roman"/>
          <w:i/>
          <w:iCs/>
          <w:noProof/>
          <w:kern w:val="0"/>
        </w:rPr>
        <w:t>IOP Conference Series: Earth and Environmental Science</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466</w:t>
      </w:r>
      <w:r w:rsidRPr="009F79D8">
        <w:rPr>
          <w:rFonts w:ascii="Times New Roman" w:hAnsi="Times New Roman" w:cs="Times New Roman"/>
          <w:noProof/>
          <w:kern w:val="0"/>
        </w:rPr>
        <w:t>. https://doi.org/10.1088/1755-1315/466/1/012017</w:t>
      </w:r>
    </w:p>
    <w:p w14:paraId="568A8215"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kern w:val="0"/>
        </w:rPr>
      </w:pPr>
      <w:r w:rsidRPr="009F79D8">
        <w:rPr>
          <w:rFonts w:ascii="Times New Roman" w:hAnsi="Times New Roman" w:cs="Times New Roman"/>
          <w:noProof/>
          <w:kern w:val="0"/>
        </w:rPr>
        <w:t xml:space="preserve">Tenriawaru, A. N., Arsyad, M., Amuriddin, A., Viantika, N. M., &amp; Meilani, N. H. (2021). Analisis dan Deteminan Nilai Tukar Petani Tanaman Pangan (NTPP) di Provinsi Sulawesi Selatan. </w:t>
      </w:r>
      <w:r w:rsidRPr="009F79D8">
        <w:rPr>
          <w:rFonts w:ascii="Times New Roman" w:hAnsi="Times New Roman" w:cs="Times New Roman"/>
          <w:i/>
          <w:iCs/>
          <w:noProof/>
          <w:kern w:val="0"/>
        </w:rPr>
        <w:t>Agritexts: Journal of Agricultural Extension</w:t>
      </w:r>
      <w:r w:rsidRPr="009F79D8">
        <w:rPr>
          <w:rFonts w:ascii="Times New Roman" w:hAnsi="Times New Roman" w:cs="Times New Roman"/>
          <w:noProof/>
          <w:kern w:val="0"/>
        </w:rPr>
        <w:t xml:space="preserve">, </w:t>
      </w:r>
      <w:r w:rsidRPr="009F79D8">
        <w:rPr>
          <w:rFonts w:ascii="Times New Roman" w:hAnsi="Times New Roman" w:cs="Times New Roman"/>
          <w:i/>
          <w:iCs/>
          <w:noProof/>
          <w:kern w:val="0"/>
        </w:rPr>
        <w:t>45</w:t>
      </w:r>
      <w:r w:rsidRPr="009F79D8">
        <w:rPr>
          <w:rFonts w:ascii="Times New Roman" w:hAnsi="Times New Roman" w:cs="Times New Roman"/>
          <w:noProof/>
          <w:kern w:val="0"/>
        </w:rPr>
        <w:t>(2), 146–151. https://doi.org/DOI: https://doi.org/10.20961/agritexts.v45i2.57364</w:t>
      </w:r>
    </w:p>
    <w:p w14:paraId="1AAD4B87" w14:textId="77777777" w:rsidR="009F79D8" w:rsidRPr="009F79D8" w:rsidRDefault="009F79D8" w:rsidP="009F79D8">
      <w:pPr>
        <w:widowControl w:val="0"/>
        <w:autoSpaceDE w:val="0"/>
        <w:autoSpaceDN w:val="0"/>
        <w:adjustRightInd w:val="0"/>
        <w:spacing w:after="0" w:line="240" w:lineRule="auto"/>
        <w:ind w:left="480" w:hanging="480"/>
        <w:rPr>
          <w:rFonts w:ascii="Times New Roman" w:hAnsi="Times New Roman" w:cs="Times New Roman"/>
          <w:noProof/>
        </w:rPr>
      </w:pPr>
      <w:r w:rsidRPr="009F79D8">
        <w:rPr>
          <w:rFonts w:ascii="Times New Roman" w:hAnsi="Times New Roman" w:cs="Times New Roman"/>
          <w:noProof/>
          <w:kern w:val="0"/>
        </w:rPr>
        <w:t xml:space="preserve">W.Creswel, J. (2008). </w:t>
      </w:r>
      <w:r w:rsidRPr="009F79D8">
        <w:rPr>
          <w:rFonts w:ascii="Times New Roman" w:hAnsi="Times New Roman" w:cs="Times New Roman"/>
          <w:i/>
          <w:iCs/>
          <w:noProof/>
          <w:kern w:val="0"/>
        </w:rPr>
        <w:t>Research Design: Qualitative, Quantitative and Mix Method Approach</w:t>
      </w:r>
      <w:r w:rsidRPr="009F79D8">
        <w:rPr>
          <w:rFonts w:ascii="Times New Roman" w:hAnsi="Times New Roman" w:cs="Times New Roman"/>
          <w:noProof/>
          <w:kern w:val="0"/>
        </w:rPr>
        <w:t>. Sage Publication.</w:t>
      </w:r>
    </w:p>
    <w:p w14:paraId="28CEF7D0" w14:textId="6394280E" w:rsidR="000E2F8F" w:rsidRPr="00F43949" w:rsidRDefault="00570456" w:rsidP="000E2F8F">
      <w:pPr>
        <w:pStyle w:val="ListParagraph"/>
        <w:spacing w:after="0" w:line="240" w:lineRule="auto"/>
        <w:rPr>
          <w:rFonts w:ascii="Times New Roman" w:hAnsi="Times New Roman" w:cs="Times New Roman"/>
        </w:rPr>
      </w:pPr>
      <w:r>
        <w:rPr>
          <w:rFonts w:ascii="Times New Roman" w:hAnsi="Times New Roman" w:cs="Times New Roman"/>
        </w:rPr>
        <w:fldChar w:fldCharType="end"/>
      </w:r>
    </w:p>
    <w:sectPr w:rsidR="000E2F8F" w:rsidRPr="00F43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410A" w14:textId="77777777" w:rsidR="009518D1" w:rsidRDefault="009518D1" w:rsidP="000E2F8F">
      <w:pPr>
        <w:spacing w:after="0" w:line="240" w:lineRule="auto"/>
      </w:pPr>
      <w:r>
        <w:separator/>
      </w:r>
    </w:p>
  </w:endnote>
  <w:endnote w:type="continuationSeparator" w:id="0">
    <w:p w14:paraId="7EDEA06D" w14:textId="77777777" w:rsidR="009518D1" w:rsidRDefault="009518D1" w:rsidP="000E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D832" w14:textId="77777777" w:rsidR="009518D1" w:rsidRDefault="009518D1" w:rsidP="000E2F8F">
      <w:pPr>
        <w:spacing w:after="0" w:line="240" w:lineRule="auto"/>
      </w:pPr>
      <w:r>
        <w:separator/>
      </w:r>
    </w:p>
  </w:footnote>
  <w:footnote w:type="continuationSeparator" w:id="0">
    <w:p w14:paraId="796D13EE" w14:textId="77777777" w:rsidR="009518D1" w:rsidRDefault="009518D1" w:rsidP="000E2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BB2"/>
    <w:multiLevelType w:val="hybridMultilevel"/>
    <w:tmpl w:val="4BBA725C"/>
    <w:lvl w:ilvl="0" w:tplc="8A58FCFE">
      <w:start w:val="1"/>
      <w:numFmt w:val="decimal"/>
      <w:lvlText w:val="%1."/>
      <w:lvlJc w:val="left"/>
      <w:pPr>
        <w:ind w:left="3829" w:hanging="360"/>
      </w:pPr>
      <w:rPr>
        <w:rFonts w:hint="default"/>
      </w:rPr>
    </w:lvl>
    <w:lvl w:ilvl="1" w:tplc="04210019" w:tentative="1">
      <w:start w:val="1"/>
      <w:numFmt w:val="lowerLetter"/>
      <w:lvlText w:val="%2."/>
      <w:lvlJc w:val="left"/>
      <w:pPr>
        <w:ind w:left="4549" w:hanging="360"/>
      </w:pPr>
    </w:lvl>
    <w:lvl w:ilvl="2" w:tplc="0421001B" w:tentative="1">
      <w:start w:val="1"/>
      <w:numFmt w:val="lowerRoman"/>
      <w:lvlText w:val="%3."/>
      <w:lvlJc w:val="right"/>
      <w:pPr>
        <w:ind w:left="5269" w:hanging="180"/>
      </w:pPr>
    </w:lvl>
    <w:lvl w:ilvl="3" w:tplc="0421000F" w:tentative="1">
      <w:start w:val="1"/>
      <w:numFmt w:val="decimal"/>
      <w:lvlText w:val="%4."/>
      <w:lvlJc w:val="left"/>
      <w:pPr>
        <w:ind w:left="5989" w:hanging="360"/>
      </w:pPr>
    </w:lvl>
    <w:lvl w:ilvl="4" w:tplc="04210019" w:tentative="1">
      <w:start w:val="1"/>
      <w:numFmt w:val="lowerLetter"/>
      <w:lvlText w:val="%5."/>
      <w:lvlJc w:val="left"/>
      <w:pPr>
        <w:ind w:left="6709" w:hanging="360"/>
      </w:pPr>
    </w:lvl>
    <w:lvl w:ilvl="5" w:tplc="0421001B" w:tentative="1">
      <w:start w:val="1"/>
      <w:numFmt w:val="lowerRoman"/>
      <w:lvlText w:val="%6."/>
      <w:lvlJc w:val="right"/>
      <w:pPr>
        <w:ind w:left="7429" w:hanging="180"/>
      </w:pPr>
    </w:lvl>
    <w:lvl w:ilvl="6" w:tplc="0421000F" w:tentative="1">
      <w:start w:val="1"/>
      <w:numFmt w:val="decimal"/>
      <w:lvlText w:val="%7."/>
      <w:lvlJc w:val="left"/>
      <w:pPr>
        <w:ind w:left="8149" w:hanging="360"/>
      </w:pPr>
    </w:lvl>
    <w:lvl w:ilvl="7" w:tplc="04210019" w:tentative="1">
      <w:start w:val="1"/>
      <w:numFmt w:val="lowerLetter"/>
      <w:lvlText w:val="%8."/>
      <w:lvlJc w:val="left"/>
      <w:pPr>
        <w:ind w:left="8869" w:hanging="360"/>
      </w:pPr>
    </w:lvl>
    <w:lvl w:ilvl="8" w:tplc="0421001B" w:tentative="1">
      <w:start w:val="1"/>
      <w:numFmt w:val="lowerRoman"/>
      <w:lvlText w:val="%9."/>
      <w:lvlJc w:val="right"/>
      <w:pPr>
        <w:ind w:left="9589" w:hanging="180"/>
      </w:pPr>
    </w:lvl>
  </w:abstractNum>
  <w:abstractNum w:abstractNumId="1" w15:restartNumberingAfterBreak="0">
    <w:nsid w:val="06B63336"/>
    <w:multiLevelType w:val="hybridMultilevel"/>
    <w:tmpl w:val="083EA406"/>
    <w:lvl w:ilvl="0" w:tplc="27EE3B5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07B610DE"/>
    <w:multiLevelType w:val="hybridMultilevel"/>
    <w:tmpl w:val="8892DEB8"/>
    <w:lvl w:ilvl="0" w:tplc="D706B21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A60362E"/>
    <w:multiLevelType w:val="hybridMultilevel"/>
    <w:tmpl w:val="C0565306"/>
    <w:lvl w:ilvl="0" w:tplc="0BEEE668">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15:restartNumberingAfterBreak="0">
    <w:nsid w:val="0B4C0788"/>
    <w:multiLevelType w:val="hybridMultilevel"/>
    <w:tmpl w:val="B4906A18"/>
    <w:lvl w:ilvl="0" w:tplc="88F49DA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1911789"/>
    <w:multiLevelType w:val="hybridMultilevel"/>
    <w:tmpl w:val="2BEA082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19F2BEB"/>
    <w:multiLevelType w:val="hybridMultilevel"/>
    <w:tmpl w:val="8BE08B96"/>
    <w:lvl w:ilvl="0" w:tplc="73366B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5062932"/>
    <w:multiLevelType w:val="hybridMultilevel"/>
    <w:tmpl w:val="2AAC5BCE"/>
    <w:lvl w:ilvl="0" w:tplc="73366B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2354114D"/>
    <w:multiLevelType w:val="hybridMultilevel"/>
    <w:tmpl w:val="3EAA9074"/>
    <w:lvl w:ilvl="0" w:tplc="4F0C06B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4977BC8"/>
    <w:multiLevelType w:val="hybridMultilevel"/>
    <w:tmpl w:val="3D94D83C"/>
    <w:lvl w:ilvl="0" w:tplc="E0AA68C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25F72A85"/>
    <w:multiLevelType w:val="hybridMultilevel"/>
    <w:tmpl w:val="ECAAEA6E"/>
    <w:lvl w:ilvl="0" w:tplc="991E7EF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2FF9173A"/>
    <w:multiLevelType w:val="hybridMultilevel"/>
    <w:tmpl w:val="89589E02"/>
    <w:lvl w:ilvl="0" w:tplc="155CAE5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32B455C1"/>
    <w:multiLevelType w:val="multilevel"/>
    <w:tmpl w:val="821866E2"/>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9180B"/>
    <w:multiLevelType w:val="hybridMultilevel"/>
    <w:tmpl w:val="8514CCC2"/>
    <w:lvl w:ilvl="0" w:tplc="EA6859D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34822A17"/>
    <w:multiLevelType w:val="hybridMultilevel"/>
    <w:tmpl w:val="ACFE2358"/>
    <w:lvl w:ilvl="0" w:tplc="2E7E1DD0">
      <w:start w:val="1"/>
      <w:numFmt w:val="upperLetter"/>
      <w:lvlText w:val="%1."/>
      <w:lvlJc w:val="left"/>
      <w:pPr>
        <w:ind w:left="720" w:hanging="360"/>
      </w:pPr>
      <w:rPr>
        <w:rFonts w:ascii="Garamond" w:hAnsi="Garamond"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74245C"/>
    <w:multiLevelType w:val="hybridMultilevel"/>
    <w:tmpl w:val="6E42393E"/>
    <w:lvl w:ilvl="0" w:tplc="088ADE0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44DA1142"/>
    <w:multiLevelType w:val="hybridMultilevel"/>
    <w:tmpl w:val="C264306A"/>
    <w:lvl w:ilvl="0" w:tplc="38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15:restartNumberingAfterBreak="0">
    <w:nsid w:val="4752598C"/>
    <w:multiLevelType w:val="multilevel"/>
    <w:tmpl w:val="821866E2"/>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230CD6"/>
    <w:multiLevelType w:val="multilevel"/>
    <w:tmpl w:val="821866E2"/>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932DC3"/>
    <w:multiLevelType w:val="hybridMultilevel"/>
    <w:tmpl w:val="C67E715A"/>
    <w:lvl w:ilvl="0" w:tplc="BB880652">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0" w15:restartNumberingAfterBreak="0">
    <w:nsid w:val="57800686"/>
    <w:multiLevelType w:val="hybridMultilevel"/>
    <w:tmpl w:val="944802A0"/>
    <w:lvl w:ilvl="0" w:tplc="04090019">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1" w15:restartNumberingAfterBreak="0">
    <w:nsid w:val="5D5C6A5B"/>
    <w:multiLevelType w:val="multilevel"/>
    <w:tmpl w:val="821866E2"/>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A0450F"/>
    <w:multiLevelType w:val="hybridMultilevel"/>
    <w:tmpl w:val="0F5C8B54"/>
    <w:lvl w:ilvl="0" w:tplc="38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EA5E47"/>
    <w:multiLevelType w:val="hybridMultilevel"/>
    <w:tmpl w:val="4AA0581E"/>
    <w:lvl w:ilvl="0" w:tplc="06D8FE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7225D7D"/>
    <w:multiLevelType w:val="hybridMultilevel"/>
    <w:tmpl w:val="6A388482"/>
    <w:lvl w:ilvl="0" w:tplc="B938487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69EE2DDE"/>
    <w:multiLevelType w:val="hybridMultilevel"/>
    <w:tmpl w:val="560EBEBE"/>
    <w:lvl w:ilvl="0" w:tplc="8D58113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6C973EA7"/>
    <w:multiLevelType w:val="multilevel"/>
    <w:tmpl w:val="4C38504E"/>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1D0BCB"/>
    <w:multiLevelType w:val="hybridMultilevel"/>
    <w:tmpl w:val="58320092"/>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6E4E726B"/>
    <w:multiLevelType w:val="hybridMultilevel"/>
    <w:tmpl w:val="5DAE4544"/>
    <w:lvl w:ilvl="0" w:tplc="88B4CF0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0B7662C"/>
    <w:multiLevelType w:val="hybridMultilevel"/>
    <w:tmpl w:val="B776BED0"/>
    <w:lvl w:ilvl="0" w:tplc="D2440DD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71A10282"/>
    <w:multiLevelType w:val="multilevel"/>
    <w:tmpl w:val="674E75F6"/>
    <w:lvl w:ilvl="0">
      <w:start w:val="1"/>
      <w:numFmt w:val="upperLetter"/>
      <w:lvlText w:val="%1."/>
      <w:lvlJc w:val="left"/>
      <w:pPr>
        <w:ind w:left="6173"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934035"/>
    <w:multiLevelType w:val="hybridMultilevel"/>
    <w:tmpl w:val="3A16E7F0"/>
    <w:lvl w:ilvl="0" w:tplc="90D4B2B4">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15:restartNumberingAfterBreak="0">
    <w:nsid w:val="751A2AD6"/>
    <w:multiLevelType w:val="hybridMultilevel"/>
    <w:tmpl w:val="2AAC5BCE"/>
    <w:lvl w:ilvl="0" w:tplc="73366B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795930A2"/>
    <w:multiLevelType w:val="hybridMultilevel"/>
    <w:tmpl w:val="BEDA5FDC"/>
    <w:lvl w:ilvl="0" w:tplc="3A3091EE">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4" w15:restartNumberingAfterBreak="0">
    <w:nsid w:val="79D81CDF"/>
    <w:multiLevelType w:val="hybridMultilevel"/>
    <w:tmpl w:val="B34E47A0"/>
    <w:lvl w:ilvl="0" w:tplc="49D6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683B96"/>
    <w:multiLevelType w:val="multilevel"/>
    <w:tmpl w:val="821866E2"/>
    <w:lvl w:ilvl="0">
      <w:start w:val="1"/>
      <w:numFmt w:val="upp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807621">
    <w:abstractNumId w:val="14"/>
  </w:num>
  <w:num w:numId="2" w16cid:durableId="374503462">
    <w:abstractNumId w:val="8"/>
  </w:num>
  <w:num w:numId="3" w16cid:durableId="1809325742">
    <w:abstractNumId w:val="30"/>
  </w:num>
  <w:num w:numId="4" w16cid:durableId="397291767">
    <w:abstractNumId w:val="17"/>
  </w:num>
  <w:num w:numId="5" w16cid:durableId="934437038">
    <w:abstractNumId w:val="34"/>
  </w:num>
  <w:num w:numId="6" w16cid:durableId="1678539875">
    <w:abstractNumId w:val="21"/>
  </w:num>
  <w:num w:numId="7" w16cid:durableId="47733010">
    <w:abstractNumId w:val="13"/>
  </w:num>
  <w:num w:numId="8" w16cid:durableId="1066687259">
    <w:abstractNumId w:val="26"/>
  </w:num>
  <w:num w:numId="9" w16cid:durableId="844905095">
    <w:abstractNumId w:val="18"/>
  </w:num>
  <w:num w:numId="10" w16cid:durableId="712923499">
    <w:abstractNumId w:val="27"/>
  </w:num>
  <w:num w:numId="11" w16cid:durableId="229535654">
    <w:abstractNumId w:val="15"/>
  </w:num>
  <w:num w:numId="12" w16cid:durableId="547301239">
    <w:abstractNumId w:val="35"/>
  </w:num>
  <w:num w:numId="13" w16cid:durableId="1542550232">
    <w:abstractNumId w:val="9"/>
  </w:num>
  <w:num w:numId="14" w16cid:durableId="555094844">
    <w:abstractNumId w:val="12"/>
  </w:num>
  <w:num w:numId="15" w16cid:durableId="809439327">
    <w:abstractNumId w:val="19"/>
  </w:num>
  <w:num w:numId="16" w16cid:durableId="976951343">
    <w:abstractNumId w:val="20"/>
  </w:num>
  <w:num w:numId="17" w16cid:durableId="1003043843">
    <w:abstractNumId w:val="0"/>
  </w:num>
  <w:num w:numId="18" w16cid:durableId="724990423">
    <w:abstractNumId w:val="32"/>
  </w:num>
  <w:num w:numId="19" w16cid:durableId="1104226126">
    <w:abstractNumId w:val="16"/>
  </w:num>
  <w:num w:numId="20" w16cid:durableId="1708523715">
    <w:abstractNumId w:val="7"/>
  </w:num>
  <w:num w:numId="21" w16cid:durableId="490028296">
    <w:abstractNumId w:val="4"/>
  </w:num>
  <w:num w:numId="22" w16cid:durableId="782041775">
    <w:abstractNumId w:val="6"/>
  </w:num>
  <w:num w:numId="23" w16cid:durableId="1610505536">
    <w:abstractNumId w:val="11"/>
  </w:num>
  <w:num w:numId="24" w16cid:durableId="942684297">
    <w:abstractNumId w:val="31"/>
  </w:num>
  <w:num w:numId="25" w16cid:durableId="572083058">
    <w:abstractNumId w:val="25"/>
  </w:num>
  <w:num w:numId="26" w16cid:durableId="1999503763">
    <w:abstractNumId w:val="33"/>
  </w:num>
  <w:num w:numId="27" w16cid:durableId="199711425">
    <w:abstractNumId w:val="29"/>
  </w:num>
  <w:num w:numId="28" w16cid:durableId="1801220294">
    <w:abstractNumId w:val="22"/>
  </w:num>
  <w:num w:numId="29" w16cid:durableId="2042433610">
    <w:abstractNumId w:val="23"/>
  </w:num>
  <w:num w:numId="30" w16cid:durableId="1069426294">
    <w:abstractNumId w:val="1"/>
  </w:num>
  <w:num w:numId="31" w16cid:durableId="1547451375">
    <w:abstractNumId w:val="3"/>
  </w:num>
  <w:num w:numId="32" w16cid:durableId="1897281563">
    <w:abstractNumId w:val="28"/>
  </w:num>
  <w:num w:numId="33" w16cid:durableId="1445996129">
    <w:abstractNumId w:val="24"/>
  </w:num>
  <w:num w:numId="34" w16cid:durableId="314771751">
    <w:abstractNumId w:val="2"/>
  </w:num>
  <w:num w:numId="35" w16cid:durableId="542836847">
    <w:abstractNumId w:val="10"/>
  </w:num>
  <w:num w:numId="36" w16cid:durableId="188102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8F"/>
    <w:rsid w:val="0005042D"/>
    <w:rsid w:val="000B7050"/>
    <w:rsid w:val="000E2F8F"/>
    <w:rsid w:val="0010078F"/>
    <w:rsid w:val="00113B06"/>
    <w:rsid w:val="001557CB"/>
    <w:rsid w:val="001B3218"/>
    <w:rsid w:val="001C52D3"/>
    <w:rsid w:val="001F362F"/>
    <w:rsid w:val="00207DB9"/>
    <w:rsid w:val="002259F8"/>
    <w:rsid w:val="002F6B1B"/>
    <w:rsid w:val="00306EC5"/>
    <w:rsid w:val="00316918"/>
    <w:rsid w:val="003B68D9"/>
    <w:rsid w:val="003C7CD5"/>
    <w:rsid w:val="004516B9"/>
    <w:rsid w:val="00490CA9"/>
    <w:rsid w:val="004C1D95"/>
    <w:rsid w:val="004C3A9F"/>
    <w:rsid w:val="00514BFE"/>
    <w:rsid w:val="0053195E"/>
    <w:rsid w:val="00570456"/>
    <w:rsid w:val="005A1B37"/>
    <w:rsid w:val="005B5A1D"/>
    <w:rsid w:val="005D799F"/>
    <w:rsid w:val="0060062C"/>
    <w:rsid w:val="00600DAA"/>
    <w:rsid w:val="00607D63"/>
    <w:rsid w:val="00622556"/>
    <w:rsid w:val="006509D9"/>
    <w:rsid w:val="00676058"/>
    <w:rsid w:val="00681986"/>
    <w:rsid w:val="006C7026"/>
    <w:rsid w:val="006D0849"/>
    <w:rsid w:val="006D3CC8"/>
    <w:rsid w:val="006E675B"/>
    <w:rsid w:val="006E6ED1"/>
    <w:rsid w:val="00721BF1"/>
    <w:rsid w:val="00730862"/>
    <w:rsid w:val="007479FA"/>
    <w:rsid w:val="0076345D"/>
    <w:rsid w:val="00767289"/>
    <w:rsid w:val="00782075"/>
    <w:rsid w:val="007858B1"/>
    <w:rsid w:val="007910BD"/>
    <w:rsid w:val="00791525"/>
    <w:rsid w:val="007A3F60"/>
    <w:rsid w:val="007B2074"/>
    <w:rsid w:val="007C68CD"/>
    <w:rsid w:val="00872ABB"/>
    <w:rsid w:val="009518D1"/>
    <w:rsid w:val="00954727"/>
    <w:rsid w:val="00957FEF"/>
    <w:rsid w:val="00974F45"/>
    <w:rsid w:val="009F79D8"/>
    <w:rsid w:val="00A02016"/>
    <w:rsid w:val="00A0496C"/>
    <w:rsid w:val="00A132AA"/>
    <w:rsid w:val="00A17E3D"/>
    <w:rsid w:val="00A81589"/>
    <w:rsid w:val="00AB4BE0"/>
    <w:rsid w:val="00AD0AEC"/>
    <w:rsid w:val="00B0012A"/>
    <w:rsid w:val="00B339B9"/>
    <w:rsid w:val="00B66513"/>
    <w:rsid w:val="00B77F9B"/>
    <w:rsid w:val="00B9143B"/>
    <w:rsid w:val="00BF60D4"/>
    <w:rsid w:val="00CA585A"/>
    <w:rsid w:val="00CC4FA1"/>
    <w:rsid w:val="00DA63C0"/>
    <w:rsid w:val="00DB3E3B"/>
    <w:rsid w:val="00E075C7"/>
    <w:rsid w:val="00E078C0"/>
    <w:rsid w:val="00E8689D"/>
    <w:rsid w:val="00EB73D7"/>
    <w:rsid w:val="00EB77C4"/>
    <w:rsid w:val="00EE7BCB"/>
    <w:rsid w:val="00F10115"/>
    <w:rsid w:val="00F43949"/>
    <w:rsid w:val="00F45D45"/>
    <w:rsid w:val="00F56CE0"/>
    <w:rsid w:val="00F63226"/>
    <w:rsid w:val="00F86354"/>
    <w:rsid w:val="00F9127F"/>
    <w:rsid w:val="00F95255"/>
    <w:rsid w:val="00FB053D"/>
    <w:rsid w:val="00FE2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8F50"/>
  <w15:chartTrackingRefBased/>
  <w15:docId w15:val="{379A96B9-D383-4E15-B1FD-64383EF0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2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E2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E2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E2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E2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E2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E2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E2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E2F8F"/>
    <w:rPr>
      <w:rFonts w:eastAsiaTheme="majorEastAsia" w:cstheme="majorBidi"/>
      <w:i/>
      <w:iCs/>
      <w:color w:val="2F5496" w:themeColor="accent1" w:themeShade="BF"/>
    </w:rPr>
  </w:style>
  <w:style w:type="character" w:customStyle="1" w:styleId="Heading5Char">
    <w:name w:val="Heading 5 Char"/>
    <w:basedOn w:val="DefaultParagraphFont"/>
    <w:link w:val="Heading5"/>
    <w:rsid w:val="000E2F8F"/>
    <w:rPr>
      <w:rFonts w:eastAsiaTheme="majorEastAsia" w:cstheme="majorBidi"/>
      <w:color w:val="2F5496" w:themeColor="accent1" w:themeShade="BF"/>
    </w:rPr>
  </w:style>
  <w:style w:type="character" w:customStyle="1" w:styleId="Heading6Char">
    <w:name w:val="Heading 6 Char"/>
    <w:basedOn w:val="DefaultParagraphFont"/>
    <w:link w:val="Heading6"/>
    <w:rsid w:val="000E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F8F"/>
    <w:rPr>
      <w:rFonts w:eastAsiaTheme="majorEastAsia" w:cstheme="majorBidi"/>
      <w:color w:val="272727" w:themeColor="text1" w:themeTint="D8"/>
    </w:rPr>
  </w:style>
  <w:style w:type="paragraph" w:styleId="Title">
    <w:name w:val="Title"/>
    <w:basedOn w:val="Normal"/>
    <w:next w:val="Normal"/>
    <w:link w:val="TitleChar"/>
    <w:qFormat/>
    <w:rsid w:val="000E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E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F8F"/>
    <w:pPr>
      <w:spacing w:before="160"/>
      <w:jc w:val="center"/>
    </w:pPr>
    <w:rPr>
      <w:i/>
      <w:iCs/>
      <w:color w:val="404040" w:themeColor="text1" w:themeTint="BF"/>
    </w:rPr>
  </w:style>
  <w:style w:type="character" w:customStyle="1" w:styleId="QuoteChar">
    <w:name w:val="Quote Char"/>
    <w:basedOn w:val="DefaultParagraphFont"/>
    <w:link w:val="Quote"/>
    <w:uiPriority w:val="29"/>
    <w:rsid w:val="000E2F8F"/>
    <w:rPr>
      <w:i/>
      <w:iCs/>
      <w:color w:val="404040" w:themeColor="text1" w:themeTint="BF"/>
    </w:rPr>
  </w:style>
  <w:style w:type="paragraph" w:styleId="ListParagraph">
    <w:name w:val="List Paragraph"/>
    <w:basedOn w:val="Normal"/>
    <w:uiPriority w:val="34"/>
    <w:qFormat/>
    <w:rsid w:val="000E2F8F"/>
    <w:pPr>
      <w:ind w:left="720"/>
      <w:contextualSpacing/>
    </w:pPr>
  </w:style>
  <w:style w:type="character" w:styleId="IntenseEmphasis">
    <w:name w:val="Intense Emphasis"/>
    <w:basedOn w:val="DefaultParagraphFont"/>
    <w:uiPriority w:val="21"/>
    <w:qFormat/>
    <w:rsid w:val="000E2F8F"/>
    <w:rPr>
      <w:i/>
      <w:iCs/>
      <w:color w:val="2F5496" w:themeColor="accent1" w:themeShade="BF"/>
    </w:rPr>
  </w:style>
  <w:style w:type="paragraph" w:styleId="IntenseQuote">
    <w:name w:val="Intense Quote"/>
    <w:basedOn w:val="Normal"/>
    <w:next w:val="Normal"/>
    <w:link w:val="IntenseQuoteChar"/>
    <w:uiPriority w:val="30"/>
    <w:qFormat/>
    <w:rsid w:val="000E2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F8F"/>
    <w:rPr>
      <w:i/>
      <w:iCs/>
      <w:color w:val="2F5496" w:themeColor="accent1" w:themeShade="BF"/>
    </w:rPr>
  </w:style>
  <w:style w:type="character" w:styleId="IntenseReference">
    <w:name w:val="Intense Reference"/>
    <w:basedOn w:val="DefaultParagraphFont"/>
    <w:uiPriority w:val="32"/>
    <w:qFormat/>
    <w:rsid w:val="000E2F8F"/>
    <w:rPr>
      <w:b/>
      <w:bCs/>
      <w:smallCaps/>
      <w:color w:val="2F5496" w:themeColor="accent1" w:themeShade="BF"/>
      <w:spacing w:val="5"/>
    </w:rPr>
  </w:style>
  <w:style w:type="paragraph" w:customStyle="1" w:styleId="Normal1">
    <w:name w:val="Normal1"/>
    <w:rsid w:val="00DB3E3B"/>
    <w:pPr>
      <w:spacing w:after="200" w:line="276" w:lineRule="auto"/>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DB3E3B"/>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B3E3B"/>
    <w:rPr>
      <w:rFonts w:ascii="Tahoma" w:eastAsia="Calibri"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DB3E3B"/>
    <w:rPr>
      <w:sz w:val="16"/>
      <w:szCs w:val="16"/>
    </w:rPr>
  </w:style>
  <w:style w:type="paragraph" w:styleId="CommentText">
    <w:name w:val="annotation text"/>
    <w:basedOn w:val="Normal"/>
    <w:link w:val="CommentTextChar"/>
    <w:uiPriority w:val="99"/>
    <w:semiHidden/>
    <w:unhideWhenUsed/>
    <w:rsid w:val="00DB3E3B"/>
    <w:pPr>
      <w:spacing w:after="200"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semiHidden/>
    <w:rsid w:val="00DB3E3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B3E3B"/>
    <w:rPr>
      <w:b/>
      <w:bCs/>
    </w:rPr>
  </w:style>
  <w:style w:type="character" w:customStyle="1" w:styleId="CommentSubjectChar">
    <w:name w:val="Comment Subject Char"/>
    <w:basedOn w:val="CommentTextChar"/>
    <w:link w:val="CommentSubject"/>
    <w:uiPriority w:val="99"/>
    <w:semiHidden/>
    <w:rsid w:val="00DB3E3B"/>
    <w:rPr>
      <w:rFonts w:ascii="Calibri" w:eastAsia="Calibri" w:hAnsi="Calibri" w:cs="Calibri"/>
      <w:b/>
      <w:bCs/>
      <w:kern w:val="0"/>
      <w:sz w:val="20"/>
      <w:szCs w:val="20"/>
      <w:lang w:val="en-US"/>
      <w14:ligatures w14:val="none"/>
    </w:rPr>
  </w:style>
  <w:style w:type="paragraph" w:styleId="FootnoteText">
    <w:name w:val="footnote text"/>
    <w:basedOn w:val="Normal"/>
    <w:link w:val="FootnoteTextChar"/>
    <w:uiPriority w:val="99"/>
    <w:unhideWhenUsed/>
    <w:rsid w:val="00DB3E3B"/>
    <w:pPr>
      <w:spacing w:after="0" w:line="240" w:lineRule="auto"/>
    </w:pPr>
    <w:rPr>
      <w:noProof/>
      <w:kern w:val="0"/>
      <w:sz w:val="20"/>
      <w:szCs w:val="20"/>
      <w:lang w:val="en-US"/>
      <w14:ligatures w14:val="none"/>
    </w:rPr>
  </w:style>
  <w:style w:type="character" w:customStyle="1" w:styleId="FootnoteTextChar">
    <w:name w:val="Footnote Text Char"/>
    <w:basedOn w:val="DefaultParagraphFont"/>
    <w:link w:val="FootnoteText"/>
    <w:uiPriority w:val="99"/>
    <w:rsid w:val="00DB3E3B"/>
    <w:rPr>
      <w:noProof/>
      <w:kern w:val="0"/>
      <w:sz w:val="20"/>
      <w:szCs w:val="20"/>
      <w:lang w:val="en-US"/>
      <w14:ligatures w14:val="none"/>
    </w:rPr>
  </w:style>
  <w:style w:type="character" w:styleId="FootnoteReference">
    <w:name w:val="footnote reference"/>
    <w:basedOn w:val="DefaultParagraphFont"/>
    <w:uiPriority w:val="99"/>
    <w:semiHidden/>
    <w:unhideWhenUsed/>
    <w:rsid w:val="00DB3E3B"/>
    <w:rPr>
      <w:vertAlign w:val="superscript"/>
    </w:rPr>
  </w:style>
  <w:style w:type="table" w:styleId="TableGrid">
    <w:name w:val="Table Grid"/>
    <w:basedOn w:val="TableNormal"/>
    <w:uiPriority w:val="39"/>
    <w:rsid w:val="00DB3E3B"/>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DB3E3B"/>
    <w:rPr>
      <w:vertAlign w:val="superscript"/>
    </w:rPr>
  </w:style>
  <w:style w:type="paragraph" w:styleId="NormalWeb">
    <w:name w:val="Normal (Web)"/>
    <w:basedOn w:val="Normal"/>
    <w:uiPriority w:val="99"/>
    <w:unhideWhenUsed/>
    <w:rsid w:val="00DB3E3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
    <w:name w:val="a"/>
    <w:basedOn w:val="DefaultParagraphFont"/>
    <w:rsid w:val="00DB3E3B"/>
  </w:style>
  <w:style w:type="character" w:customStyle="1" w:styleId="l6">
    <w:name w:val="l6"/>
    <w:basedOn w:val="DefaultParagraphFont"/>
    <w:rsid w:val="00DB3E3B"/>
  </w:style>
  <w:style w:type="character" w:customStyle="1" w:styleId="l7">
    <w:name w:val="l7"/>
    <w:basedOn w:val="DefaultParagraphFont"/>
    <w:rsid w:val="00DB3E3B"/>
  </w:style>
  <w:style w:type="character" w:customStyle="1" w:styleId="l8">
    <w:name w:val="l8"/>
    <w:basedOn w:val="DefaultParagraphFont"/>
    <w:rsid w:val="00DB3E3B"/>
  </w:style>
  <w:style w:type="character" w:styleId="Hyperlink">
    <w:name w:val="Hyperlink"/>
    <w:basedOn w:val="DefaultParagraphFont"/>
    <w:uiPriority w:val="99"/>
    <w:unhideWhenUsed/>
    <w:rsid w:val="004C1D95"/>
    <w:rPr>
      <w:color w:val="0563C1" w:themeColor="hyperlink"/>
      <w:u w:val="single"/>
    </w:rPr>
  </w:style>
  <w:style w:type="character" w:styleId="UnresolvedMention">
    <w:name w:val="Unresolved Mention"/>
    <w:basedOn w:val="DefaultParagraphFont"/>
    <w:uiPriority w:val="99"/>
    <w:semiHidden/>
    <w:unhideWhenUsed/>
    <w:rsid w:val="004C1D95"/>
    <w:rPr>
      <w:color w:val="605E5C"/>
      <w:shd w:val="clear" w:color="auto" w:fill="E1DFDD"/>
    </w:rPr>
  </w:style>
  <w:style w:type="character" w:styleId="Strong">
    <w:name w:val="Strong"/>
    <w:basedOn w:val="DefaultParagraphFont"/>
    <w:uiPriority w:val="22"/>
    <w:qFormat/>
    <w:rsid w:val="007479FA"/>
    <w:rPr>
      <w:b/>
      <w:bCs/>
    </w:rPr>
  </w:style>
  <w:style w:type="character" w:customStyle="1" w:styleId="katex-mathml">
    <w:name w:val="katex-mathml"/>
    <w:basedOn w:val="DefaultParagraphFont"/>
    <w:rsid w:val="00BF60D4"/>
  </w:style>
  <w:style w:type="character" w:customStyle="1" w:styleId="mord">
    <w:name w:val="mord"/>
    <w:basedOn w:val="DefaultParagraphFont"/>
    <w:rsid w:val="00BF60D4"/>
  </w:style>
  <w:style w:type="character" w:customStyle="1" w:styleId="vlist-s">
    <w:name w:val="vlist-s"/>
    <w:basedOn w:val="DefaultParagraphFont"/>
    <w:rsid w:val="00BF60D4"/>
  </w:style>
  <w:style w:type="character" w:customStyle="1" w:styleId="mrel">
    <w:name w:val="mrel"/>
    <w:basedOn w:val="DefaultParagraphFont"/>
    <w:rsid w:val="00BF60D4"/>
  </w:style>
  <w:style w:type="character" w:customStyle="1" w:styleId="mpunct">
    <w:name w:val="mpunct"/>
    <w:basedOn w:val="DefaultParagraphFont"/>
    <w:rsid w:val="00BF60D4"/>
  </w:style>
  <w:style w:type="character" w:customStyle="1" w:styleId="mbin">
    <w:name w:val="mbin"/>
    <w:basedOn w:val="DefaultParagraphFont"/>
    <w:rsid w:val="00BF60D4"/>
  </w:style>
  <w:style w:type="character" w:styleId="Emphasis">
    <w:name w:val="Emphasis"/>
    <w:basedOn w:val="DefaultParagraphFont"/>
    <w:uiPriority w:val="20"/>
    <w:qFormat/>
    <w:rsid w:val="00A04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2043">
      <w:bodyDiv w:val="1"/>
      <w:marLeft w:val="0"/>
      <w:marRight w:val="0"/>
      <w:marTop w:val="0"/>
      <w:marBottom w:val="0"/>
      <w:divBdr>
        <w:top w:val="none" w:sz="0" w:space="0" w:color="auto"/>
        <w:left w:val="none" w:sz="0" w:space="0" w:color="auto"/>
        <w:bottom w:val="none" w:sz="0" w:space="0" w:color="auto"/>
        <w:right w:val="none" w:sz="0" w:space="0" w:color="auto"/>
      </w:divBdr>
    </w:div>
    <w:div w:id="1295718973">
      <w:bodyDiv w:val="1"/>
      <w:marLeft w:val="0"/>
      <w:marRight w:val="0"/>
      <w:marTop w:val="0"/>
      <w:marBottom w:val="0"/>
      <w:divBdr>
        <w:top w:val="none" w:sz="0" w:space="0" w:color="auto"/>
        <w:left w:val="none" w:sz="0" w:space="0" w:color="auto"/>
        <w:bottom w:val="none" w:sz="0" w:space="0" w:color="auto"/>
        <w:right w:val="none" w:sz="0" w:space="0" w:color="auto"/>
      </w:divBdr>
    </w:div>
    <w:div w:id="16796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ngs@mail.uinfasbengkulu.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angs@mail.uinfasbengkulu.ac.id" TargetMode="External"/><Relationship Id="rId4" Type="http://schemas.openxmlformats.org/officeDocument/2006/relationships/settings" Target="settings.xml"/><Relationship Id="rId9" Type="http://schemas.openxmlformats.org/officeDocument/2006/relationships/hyperlink" Target="mailto:nurlialatipah@mail.uinfasbengkulu.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3159-DA54-43DB-A388-C89C224B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10</Pages>
  <Words>10049</Words>
  <Characters>57282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c:creator>
  <cp:keywords/>
  <dc:description/>
  <cp:lastModifiedBy>hp .</cp:lastModifiedBy>
  <cp:revision>33</cp:revision>
  <dcterms:created xsi:type="dcterms:W3CDTF">2025-05-06T00:43:00Z</dcterms:created>
  <dcterms:modified xsi:type="dcterms:W3CDTF">2025-06-30T09:47:00Z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9a2f0826-c32f-326e-b6f6-bb182b0a9478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http://www.zotero.org/styles/modern-humanities-research-association-3rd-edition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