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751F" w:rsidRDefault="0017751F">
      <w:pPr>
        <w:pStyle w:val="Heading1"/>
        <w:ind w:firstLine="1490"/>
        <w:rPr>
          <w:rFonts w:ascii="Arial Narrow" w:eastAsia="Arial Narrow" w:hAnsi="Arial Narrow" w:cs="Arial Narrow"/>
        </w:rPr>
      </w:pPr>
    </w:p>
    <w:p w:rsidR="00556442" w:rsidRDefault="00556442" w:rsidP="00556442">
      <w:pPr>
        <w:jc w:val="center"/>
        <w:rPr>
          <w:rFonts w:asciiTheme="majorBidi" w:hAnsiTheme="majorBidi" w:cstheme="majorBidi"/>
          <w:b/>
          <w:bCs/>
          <w:sz w:val="28"/>
          <w:szCs w:val="40"/>
        </w:rPr>
      </w:pPr>
      <w:r w:rsidRPr="00835B41">
        <w:rPr>
          <w:rFonts w:asciiTheme="majorBidi" w:hAnsiTheme="majorBidi" w:cstheme="majorBidi"/>
          <w:b/>
          <w:bCs/>
          <w:sz w:val="28"/>
          <w:szCs w:val="40"/>
        </w:rPr>
        <w:t xml:space="preserve">ETNOMATEMATIKA PADA TRANSAKSI JUAL BELI </w:t>
      </w:r>
      <w:r>
        <w:rPr>
          <w:rFonts w:asciiTheme="majorBidi" w:hAnsiTheme="majorBidi" w:cstheme="majorBidi"/>
          <w:b/>
          <w:bCs/>
          <w:sz w:val="28"/>
          <w:szCs w:val="40"/>
        </w:rPr>
        <w:t xml:space="preserve"> </w:t>
      </w:r>
    </w:p>
    <w:p w:rsidR="00352784" w:rsidRPr="00352784" w:rsidRDefault="00556442" w:rsidP="00556442">
      <w:pPr>
        <w:pStyle w:val="E-JournalTitle"/>
        <w:ind w:firstLine="0"/>
        <w:rPr>
          <w:rFonts w:ascii="Arial Narrow" w:hAnsi="Arial Narrow"/>
          <w:sz w:val="28"/>
          <w:szCs w:val="28"/>
          <w:lang w:val="en-US"/>
        </w:rPr>
      </w:pPr>
      <w:r w:rsidRPr="00835B41">
        <w:rPr>
          <w:rFonts w:asciiTheme="majorBidi" w:hAnsiTheme="majorBidi" w:cstheme="majorBidi"/>
          <w:bCs/>
          <w:sz w:val="28"/>
          <w:szCs w:val="40"/>
        </w:rPr>
        <w:t>DI PASAR TRADISIONAL KOTA BENGKULU</w:t>
      </w:r>
    </w:p>
    <w:p w:rsidR="0017751F" w:rsidRDefault="00B96E3E" w:rsidP="00556442">
      <w:pPr>
        <w:pStyle w:val="Heading1"/>
        <w:ind w:left="0"/>
        <w:rPr>
          <w:rFonts w:ascii="Arial Narrow" w:eastAsia="Arial Narrow" w:hAnsi="Arial Narrow" w:cs="Arial Narrow"/>
          <w:b w:val="0"/>
          <w:color w:val="000000"/>
          <w:sz w:val="23"/>
          <w:szCs w:val="23"/>
        </w:rPr>
      </w:pPr>
      <w:r>
        <w:rPr>
          <w:rFonts w:ascii="Arial Narrow" w:eastAsia="Arial Narrow" w:hAnsi="Arial Narrow" w:cs="Arial Narrow"/>
        </w:rPr>
        <w:t xml:space="preserve"> </w:t>
      </w:r>
    </w:p>
    <w:p w:rsidR="0017751F" w:rsidRDefault="00352784">
      <w:pPr>
        <w:spacing w:before="1"/>
        <w:ind w:left="258" w:right="70"/>
        <w:jc w:val="center"/>
        <w:rPr>
          <w:rFonts w:ascii="Arial Narrow" w:eastAsia="Arial Narrow" w:hAnsi="Arial Narrow" w:cs="Arial Narrow"/>
          <w:b/>
          <w:sz w:val="24"/>
          <w:szCs w:val="24"/>
        </w:rPr>
      </w:pPr>
      <w:proofErr w:type="spellStart"/>
      <w:r w:rsidRPr="00352784">
        <w:rPr>
          <w:rFonts w:ascii="Arial Narrow" w:hAnsi="Arial Narrow"/>
          <w:b/>
        </w:rPr>
        <w:t>Betti</w:t>
      </w:r>
      <w:proofErr w:type="spellEnd"/>
      <w:r w:rsidRPr="00352784">
        <w:rPr>
          <w:rFonts w:ascii="Arial Narrow" w:hAnsi="Arial Narrow"/>
          <w:b/>
        </w:rPr>
        <w:t xml:space="preserve"> Dian </w:t>
      </w:r>
      <w:proofErr w:type="spellStart"/>
      <w:r w:rsidRPr="00352784">
        <w:rPr>
          <w:rFonts w:ascii="Arial Narrow" w:hAnsi="Arial Narrow"/>
          <w:b/>
        </w:rPr>
        <w:t>Wahyuni</w:t>
      </w:r>
      <w:proofErr w:type="spellEnd"/>
      <w:r w:rsidRPr="00352784">
        <w:rPr>
          <w:rFonts w:ascii="Arial Narrow" w:eastAsia="Arial Narrow" w:hAnsi="Arial Narrow" w:cs="Arial Narrow"/>
          <w:b/>
          <w:vertAlign w:val="superscript"/>
        </w:rPr>
        <w:t xml:space="preserve"> </w:t>
      </w:r>
      <w:r w:rsidR="00B96E3E" w:rsidRPr="00352784">
        <w:rPr>
          <w:rFonts w:ascii="Arial Narrow" w:eastAsia="Arial Narrow" w:hAnsi="Arial Narrow" w:cs="Arial Narrow"/>
          <w:b/>
          <w:vertAlign w:val="superscript"/>
        </w:rPr>
        <w:t>1</w:t>
      </w:r>
      <w:proofErr w:type="gramStart"/>
      <w:r w:rsidR="00B96E3E" w:rsidRPr="00352784">
        <w:rPr>
          <w:rFonts w:ascii="Arial Narrow" w:eastAsia="Arial Narrow" w:hAnsi="Arial Narrow" w:cs="Arial Narrow"/>
          <w:b/>
          <w:vertAlign w:val="superscript"/>
        </w:rPr>
        <w:t xml:space="preserve">) </w:t>
      </w:r>
      <w:r w:rsidR="00B96E3E" w:rsidRPr="00352784">
        <w:rPr>
          <w:rFonts w:ascii="Arial Narrow" w:eastAsia="Arial Narrow" w:hAnsi="Arial Narrow" w:cs="Arial Narrow"/>
          <w:b/>
        </w:rPr>
        <w:t>,</w:t>
      </w:r>
      <w:proofErr w:type="gramEnd"/>
      <w:r w:rsidR="00B96E3E" w:rsidRPr="00352784">
        <w:rPr>
          <w:rFonts w:ascii="Arial Narrow" w:eastAsia="Arial Narrow" w:hAnsi="Arial Narrow" w:cs="Arial Narrow"/>
          <w:b/>
        </w:rPr>
        <w:t xml:space="preserve"> </w:t>
      </w:r>
      <w:proofErr w:type="spellStart"/>
      <w:r w:rsidRPr="00352784">
        <w:rPr>
          <w:rFonts w:ascii="Arial Narrow" w:hAnsi="Arial Narrow"/>
          <w:b/>
        </w:rPr>
        <w:t>Mela</w:t>
      </w:r>
      <w:proofErr w:type="spellEnd"/>
      <w:r w:rsidRPr="00352784">
        <w:rPr>
          <w:rFonts w:ascii="Arial Narrow" w:hAnsi="Arial Narrow"/>
          <w:b/>
        </w:rPr>
        <w:t xml:space="preserve"> Aziza</w:t>
      </w:r>
      <w:r w:rsidRPr="00352784">
        <w:rPr>
          <w:rFonts w:ascii="Arial Narrow" w:hAnsi="Arial Narrow"/>
          <w:b/>
          <w:vertAlign w:val="superscript"/>
        </w:rPr>
        <w:t xml:space="preserve"> </w:t>
      </w:r>
      <w:r w:rsidR="00B96E3E" w:rsidRPr="00352784">
        <w:rPr>
          <w:rFonts w:ascii="Arial Narrow" w:eastAsia="Arial Narrow" w:hAnsi="Arial Narrow" w:cs="Arial Narrow"/>
          <w:b/>
          <w:vertAlign w:val="superscript"/>
        </w:rPr>
        <w:t>2)</w:t>
      </w:r>
      <w:r w:rsidR="00B96E3E">
        <w:rPr>
          <w:rFonts w:ascii="Arial Narrow" w:eastAsia="Arial Narrow" w:hAnsi="Arial Narrow" w:cs="Arial Narrow"/>
          <w:b/>
          <w:sz w:val="26"/>
          <w:szCs w:val="26"/>
          <w:vertAlign w:val="superscript"/>
        </w:rPr>
        <w:t xml:space="preserve"> </w:t>
      </w:r>
    </w:p>
    <w:p w:rsidR="0017751F" w:rsidRDefault="00B96E3E">
      <w:pPr>
        <w:pBdr>
          <w:top w:val="nil"/>
          <w:left w:val="nil"/>
          <w:bottom w:val="nil"/>
          <w:right w:val="nil"/>
          <w:between w:val="nil"/>
        </w:pBdr>
        <w:ind w:left="258" w:right="70"/>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vertAlign w:val="superscript"/>
        </w:rPr>
        <w:t>1)</w:t>
      </w:r>
      <w:r>
        <w:rPr>
          <w:rFonts w:ascii="Arial Narrow" w:eastAsia="Arial Narrow" w:hAnsi="Arial Narrow" w:cs="Arial Narrow"/>
          <w:color w:val="000000"/>
          <w:sz w:val="24"/>
          <w:szCs w:val="24"/>
        </w:rPr>
        <w:t xml:space="preserve"> </w:t>
      </w:r>
      <w:proofErr w:type="spellStart"/>
      <w:r w:rsidR="00352784">
        <w:rPr>
          <w:rFonts w:ascii="Arial Narrow" w:eastAsia="Arial Narrow" w:hAnsi="Arial Narrow" w:cs="Arial Narrow"/>
          <w:color w:val="000000"/>
          <w:sz w:val="24"/>
          <w:szCs w:val="24"/>
        </w:rPr>
        <w:t>Fatmawati</w:t>
      </w:r>
      <w:proofErr w:type="spellEnd"/>
      <w:r w:rsidR="00352784">
        <w:rPr>
          <w:rFonts w:ascii="Arial Narrow" w:eastAsia="Arial Narrow" w:hAnsi="Arial Narrow" w:cs="Arial Narrow"/>
          <w:color w:val="000000"/>
          <w:sz w:val="24"/>
          <w:szCs w:val="24"/>
        </w:rPr>
        <w:t xml:space="preserve"> Sukarno State Islamic</w:t>
      </w:r>
      <w:r w:rsidR="00352784">
        <w:rPr>
          <w:rFonts w:ascii="Arial Narrow" w:eastAsia="Arial Narrow" w:hAnsi="Arial Narrow" w:cs="Arial Narrow"/>
          <w:color w:val="000000"/>
          <w:sz w:val="24"/>
          <w:szCs w:val="24"/>
        </w:rPr>
        <w:t xml:space="preserve"> </w:t>
      </w:r>
      <w:r w:rsidR="00556442">
        <w:rPr>
          <w:rFonts w:ascii="Arial Narrow" w:eastAsia="Arial Narrow" w:hAnsi="Arial Narrow" w:cs="Arial Narrow"/>
          <w:color w:val="000000"/>
          <w:sz w:val="24"/>
          <w:szCs w:val="24"/>
        </w:rPr>
        <w:t>University, Bengkulu</w:t>
      </w:r>
    </w:p>
    <w:p w:rsidR="0017751F" w:rsidRDefault="00B96E3E">
      <w:pPr>
        <w:pBdr>
          <w:top w:val="nil"/>
          <w:left w:val="nil"/>
          <w:bottom w:val="nil"/>
          <w:right w:val="nil"/>
          <w:between w:val="nil"/>
        </w:pBdr>
        <w:ind w:left="258" w:right="70"/>
        <w:jc w:val="center"/>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 </w:t>
      </w:r>
      <w:hyperlink r:id="rId8" w:history="1">
        <w:r w:rsidR="002A1132" w:rsidRPr="00CF31C6">
          <w:rPr>
            <w:rStyle w:val="Hyperlink"/>
            <w:rFonts w:ascii="Arial Narrow" w:eastAsia="Arial Narrow" w:hAnsi="Arial Narrow" w:cs="Arial Narrow"/>
            <w:sz w:val="24"/>
            <w:szCs w:val="24"/>
          </w:rPr>
          <w:t>betti.dian@mail.uinfasbengkulu.ac.id</w:t>
        </w:r>
      </w:hyperlink>
    </w:p>
    <w:p w:rsidR="0017751F" w:rsidRDefault="00B96E3E">
      <w:pPr>
        <w:pBdr>
          <w:top w:val="nil"/>
          <w:left w:val="nil"/>
          <w:bottom w:val="nil"/>
          <w:right w:val="nil"/>
          <w:between w:val="nil"/>
        </w:pBdr>
        <w:spacing w:before="1"/>
        <w:ind w:left="258" w:right="70"/>
        <w:jc w:val="center"/>
        <w:rPr>
          <w:rFonts w:ascii="Arial Narrow" w:eastAsia="Arial Narrow" w:hAnsi="Arial Narrow" w:cs="Arial Narrow"/>
          <w:color w:val="000000"/>
          <w:sz w:val="24"/>
          <w:szCs w:val="24"/>
        </w:rPr>
      </w:pPr>
      <w:proofErr w:type="gramStart"/>
      <w:r>
        <w:rPr>
          <w:rFonts w:ascii="Arial Narrow" w:eastAsia="Arial Narrow" w:hAnsi="Arial Narrow" w:cs="Arial Narrow"/>
          <w:color w:val="000000"/>
          <w:sz w:val="24"/>
          <w:szCs w:val="24"/>
          <w:vertAlign w:val="superscript"/>
        </w:rPr>
        <w:t>2)</w:t>
      </w:r>
      <w:r w:rsidR="00556442">
        <w:rPr>
          <w:rFonts w:ascii="Arial Narrow" w:eastAsia="Arial Narrow" w:hAnsi="Arial Narrow" w:cs="Arial Narrow"/>
          <w:color w:val="000000"/>
          <w:sz w:val="24"/>
          <w:szCs w:val="24"/>
        </w:rPr>
        <w:t>University</w:t>
      </w:r>
      <w:proofErr w:type="gramEnd"/>
      <w:r w:rsidR="00556442">
        <w:rPr>
          <w:rFonts w:ascii="Arial Narrow" w:eastAsia="Arial Narrow" w:hAnsi="Arial Narrow" w:cs="Arial Narrow"/>
          <w:color w:val="000000"/>
          <w:sz w:val="24"/>
          <w:szCs w:val="24"/>
        </w:rPr>
        <w:t xml:space="preserve"> of Edinburgh, UK </w:t>
      </w:r>
    </w:p>
    <w:p w:rsidR="0017751F" w:rsidRDefault="00B96E3E">
      <w:pPr>
        <w:pBdr>
          <w:top w:val="nil"/>
          <w:left w:val="nil"/>
          <w:bottom w:val="nil"/>
          <w:right w:val="nil"/>
          <w:between w:val="nil"/>
        </w:pBdr>
        <w:spacing w:before="1"/>
        <w:ind w:left="258" w:right="70"/>
        <w:jc w:val="center"/>
        <w:rPr>
          <w:rFonts w:ascii="Arial Narrow" w:eastAsia="Arial Narrow" w:hAnsi="Arial Narrow" w:cs="Arial Narrow"/>
          <w:color w:val="0000FF"/>
          <w:sz w:val="24"/>
          <w:szCs w:val="24"/>
          <w:u w:val="single"/>
        </w:rPr>
      </w:pPr>
      <w:r>
        <w:rPr>
          <w:rFonts w:ascii="Arial Narrow" w:eastAsia="Arial Narrow" w:hAnsi="Arial Narrow" w:cs="Arial Narrow"/>
          <w:color w:val="000000"/>
          <w:sz w:val="24"/>
          <w:szCs w:val="24"/>
        </w:rPr>
        <w:t xml:space="preserve"> </w:t>
      </w:r>
      <w:hyperlink r:id="rId9">
        <w:r>
          <w:rPr>
            <w:rFonts w:ascii="Arial Narrow" w:eastAsia="Arial Narrow" w:hAnsi="Arial Narrow" w:cs="Arial Narrow"/>
            <w:color w:val="0000FF"/>
            <w:sz w:val="24"/>
            <w:szCs w:val="24"/>
          </w:rPr>
          <w:t>emailpenulis_2@abc.ac.id</w:t>
        </w:r>
      </w:hyperlink>
    </w:p>
    <w:p w:rsidR="0017751F" w:rsidRDefault="0017751F">
      <w:pPr>
        <w:pBdr>
          <w:top w:val="nil"/>
          <w:left w:val="nil"/>
          <w:bottom w:val="nil"/>
          <w:right w:val="nil"/>
          <w:between w:val="nil"/>
        </w:pBdr>
        <w:spacing w:before="1"/>
        <w:ind w:left="258" w:right="70"/>
        <w:jc w:val="center"/>
        <w:rPr>
          <w:rFonts w:ascii="Arial Narrow" w:eastAsia="Arial Narrow" w:hAnsi="Arial Narrow" w:cs="Arial Narrow"/>
          <w:color w:val="000000"/>
          <w:sz w:val="24"/>
          <w:szCs w:val="24"/>
        </w:rPr>
      </w:pPr>
    </w:p>
    <w:p w:rsidR="0017751F" w:rsidRDefault="00556442">
      <w:pPr>
        <w:pStyle w:val="Heading2"/>
        <w:spacing w:before="92"/>
        <w:ind w:left="100"/>
        <w:jc w:val="center"/>
        <w:rPr>
          <w:sz w:val="22"/>
          <w:szCs w:val="22"/>
        </w:rPr>
      </w:pPr>
      <w:r>
        <w:rPr>
          <w:rFonts w:ascii="Arial Narrow" w:eastAsia="Arial Narrow" w:hAnsi="Arial Narrow" w:cs="Arial Narrow"/>
          <w:sz w:val="22"/>
          <w:szCs w:val="22"/>
        </w:rPr>
        <w:t>ABSTRAK</w:t>
      </w:r>
    </w:p>
    <w:p w:rsidR="0017751F" w:rsidRPr="005658EC" w:rsidRDefault="005658EC">
      <w:pPr>
        <w:pBdr>
          <w:top w:val="nil"/>
          <w:left w:val="nil"/>
          <w:bottom w:val="nil"/>
          <w:right w:val="nil"/>
          <w:between w:val="nil"/>
        </w:pBdr>
        <w:spacing w:before="1"/>
        <w:ind w:left="100" w:right="116"/>
        <w:jc w:val="both"/>
        <w:rPr>
          <w:rFonts w:ascii="Arial Narrow" w:eastAsia="Arial Narrow" w:hAnsi="Arial Narrow" w:cs="Arial Narrow"/>
          <w:i/>
          <w:color w:val="000000"/>
        </w:rPr>
      </w:pPr>
      <w:proofErr w:type="spellStart"/>
      <w:r w:rsidRPr="005658EC">
        <w:rPr>
          <w:rFonts w:ascii="Arial Narrow" w:hAnsi="Arial Narrow" w:cstheme="majorBidi"/>
        </w:rPr>
        <w:t>Penelitian</w:t>
      </w:r>
      <w:proofErr w:type="spellEnd"/>
      <w:r w:rsidRPr="005658EC">
        <w:rPr>
          <w:rFonts w:ascii="Arial Narrow" w:hAnsi="Arial Narrow" w:cstheme="majorBidi"/>
        </w:rPr>
        <w:t xml:space="preserve"> </w:t>
      </w:r>
      <w:proofErr w:type="spellStart"/>
      <w:r w:rsidRPr="005658EC">
        <w:rPr>
          <w:rFonts w:ascii="Arial Narrow" w:hAnsi="Arial Narrow" w:cstheme="majorBidi"/>
        </w:rPr>
        <w:t>ini</w:t>
      </w:r>
      <w:proofErr w:type="spellEnd"/>
      <w:r w:rsidRPr="005658EC">
        <w:rPr>
          <w:rFonts w:ascii="Arial Narrow" w:hAnsi="Arial Narrow" w:cstheme="majorBidi"/>
        </w:rPr>
        <w:t xml:space="preserve"> </w:t>
      </w:r>
      <w:proofErr w:type="spellStart"/>
      <w:r w:rsidRPr="005658EC">
        <w:rPr>
          <w:rFonts w:ascii="Arial Narrow" w:hAnsi="Arial Narrow" w:cstheme="majorBidi"/>
        </w:rPr>
        <w:t>bertujuan</w:t>
      </w:r>
      <w:proofErr w:type="spellEnd"/>
      <w:r w:rsidRPr="005658EC">
        <w:rPr>
          <w:rFonts w:ascii="Arial Narrow" w:hAnsi="Arial Narrow" w:cstheme="majorBidi"/>
        </w:rPr>
        <w:t xml:space="preserve"> </w:t>
      </w:r>
      <w:proofErr w:type="spellStart"/>
      <w:proofErr w:type="gramStart"/>
      <w:r w:rsidRPr="005658EC">
        <w:rPr>
          <w:rFonts w:ascii="Arial Narrow" w:hAnsi="Arial Narrow" w:cstheme="majorBidi"/>
        </w:rPr>
        <w:t>untuk</w:t>
      </w:r>
      <w:proofErr w:type="spellEnd"/>
      <w:r w:rsidRPr="005658EC">
        <w:rPr>
          <w:rFonts w:ascii="Arial Narrow" w:hAnsi="Arial Narrow" w:cstheme="majorBidi"/>
        </w:rPr>
        <w:t xml:space="preserve">  </w:t>
      </w:r>
      <w:proofErr w:type="spellStart"/>
      <w:r w:rsidRPr="005658EC">
        <w:rPr>
          <w:rFonts w:ascii="Arial Narrow" w:hAnsi="Arial Narrow" w:cstheme="majorBidi"/>
        </w:rPr>
        <w:t>mengidentifikasi</w:t>
      </w:r>
      <w:proofErr w:type="spellEnd"/>
      <w:proofErr w:type="gramEnd"/>
      <w:r w:rsidRPr="005658EC">
        <w:rPr>
          <w:rFonts w:ascii="Arial Narrow" w:hAnsi="Arial Narrow" w:cstheme="majorBidi"/>
        </w:rPr>
        <w:t xml:space="preserve"> </w:t>
      </w:r>
      <w:proofErr w:type="spellStart"/>
      <w:r w:rsidRPr="005658EC">
        <w:rPr>
          <w:rFonts w:ascii="Arial Narrow" w:hAnsi="Arial Narrow" w:cstheme="majorBidi"/>
        </w:rPr>
        <w:t>dan</w:t>
      </w:r>
      <w:proofErr w:type="spellEnd"/>
      <w:r w:rsidRPr="005658EC">
        <w:rPr>
          <w:rFonts w:ascii="Arial Narrow" w:hAnsi="Arial Narrow" w:cstheme="majorBidi"/>
        </w:rPr>
        <w:t xml:space="preserve"> </w:t>
      </w:r>
      <w:proofErr w:type="spellStart"/>
      <w:r w:rsidRPr="005658EC">
        <w:rPr>
          <w:rFonts w:ascii="Arial Narrow" w:hAnsi="Arial Narrow" w:cstheme="majorBidi"/>
        </w:rPr>
        <w:t>mendeskripsikan</w:t>
      </w:r>
      <w:proofErr w:type="spellEnd"/>
      <w:r w:rsidRPr="005658EC">
        <w:rPr>
          <w:rFonts w:ascii="Arial Narrow" w:hAnsi="Arial Narrow" w:cstheme="majorBidi"/>
        </w:rPr>
        <w:t xml:space="preserve"> </w:t>
      </w:r>
      <w:proofErr w:type="spellStart"/>
      <w:r w:rsidRPr="005658EC">
        <w:rPr>
          <w:rFonts w:ascii="Arial Narrow" w:hAnsi="Arial Narrow" w:cstheme="majorBidi"/>
        </w:rPr>
        <w:t>etnomatematika</w:t>
      </w:r>
      <w:proofErr w:type="spellEnd"/>
      <w:r w:rsidRPr="005658EC">
        <w:rPr>
          <w:rFonts w:ascii="Arial Narrow" w:hAnsi="Arial Narrow" w:cstheme="majorBidi"/>
        </w:rPr>
        <w:t xml:space="preserve"> </w:t>
      </w:r>
      <w:proofErr w:type="spellStart"/>
      <w:r w:rsidRPr="005658EC">
        <w:rPr>
          <w:rFonts w:ascii="Arial Narrow" w:hAnsi="Arial Narrow" w:cstheme="majorBidi"/>
        </w:rPr>
        <w:t>pada</w:t>
      </w:r>
      <w:proofErr w:type="spellEnd"/>
      <w:r w:rsidRPr="005658EC">
        <w:rPr>
          <w:rFonts w:ascii="Arial Narrow" w:hAnsi="Arial Narrow" w:cstheme="majorBidi"/>
        </w:rPr>
        <w:t xml:space="preserve"> </w:t>
      </w:r>
      <w:proofErr w:type="spellStart"/>
      <w:r w:rsidRPr="005658EC">
        <w:rPr>
          <w:rFonts w:ascii="Arial Narrow" w:hAnsi="Arial Narrow" w:cstheme="majorBidi"/>
        </w:rPr>
        <w:t>aktivitas</w:t>
      </w:r>
      <w:proofErr w:type="spellEnd"/>
      <w:r w:rsidRPr="005658EC">
        <w:rPr>
          <w:rFonts w:ascii="Arial Narrow" w:hAnsi="Arial Narrow" w:cstheme="majorBidi"/>
        </w:rPr>
        <w:t xml:space="preserve"> </w:t>
      </w:r>
      <w:proofErr w:type="spellStart"/>
      <w:r w:rsidRPr="005658EC">
        <w:rPr>
          <w:rFonts w:ascii="Arial Narrow" w:hAnsi="Arial Narrow" w:cstheme="majorBidi"/>
        </w:rPr>
        <w:t>transaksi</w:t>
      </w:r>
      <w:proofErr w:type="spellEnd"/>
      <w:r w:rsidRPr="005658EC">
        <w:rPr>
          <w:rFonts w:ascii="Arial Narrow" w:hAnsi="Arial Narrow" w:cstheme="majorBidi"/>
        </w:rPr>
        <w:t xml:space="preserve"> </w:t>
      </w:r>
      <w:proofErr w:type="spellStart"/>
      <w:r w:rsidRPr="005658EC">
        <w:rPr>
          <w:rFonts w:ascii="Arial Narrow" w:hAnsi="Arial Narrow" w:cstheme="majorBidi"/>
        </w:rPr>
        <w:t>jual</w:t>
      </w:r>
      <w:proofErr w:type="spellEnd"/>
      <w:r w:rsidRPr="005658EC">
        <w:rPr>
          <w:rFonts w:ascii="Arial Narrow" w:hAnsi="Arial Narrow" w:cstheme="majorBidi"/>
        </w:rPr>
        <w:t xml:space="preserve"> </w:t>
      </w:r>
      <w:proofErr w:type="spellStart"/>
      <w:r w:rsidRPr="005658EC">
        <w:rPr>
          <w:rFonts w:ascii="Arial Narrow" w:hAnsi="Arial Narrow" w:cstheme="majorBidi"/>
        </w:rPr>
        <w:t>beli</w:t>
      </w:r>
      <w:proofErr w:type="spellEnd"/>
      <w:r w:rsidRPr="005658EC">
        <w:rPr>
          <w:rFonts w:ascii="Arial Narrow" w:hAnsi="Arial Narrow" w:cstheme="majorBidi"/>
        </w:rPr>
        <w:t xml:space="preserve"> yang </w:t>
      </w:r>
      <w:proofErr w:type="spellStart"/>
      <w:r w:rsidRPr="005658EC">
        <w:rPr>
          <w:rFonts w:ascii="Arial Narrow" w:hAnsi="Arial Narrow" w:cstheme="majorBidi"/>
        </w:rPr>
        <w:t>dilakukan</w:t>
      </w:r>
      <w:proofErr w:type="spellEnd"/>
      <w:r w:rsidRPr="005658EC">
        <w:rPr>
          <w:rFonts w:ascii="Arial Narrow" w:hAnsi="Arial Narrow" w:cstheme="majorBidi"/>
        </w:rPr>
        <w:t xml:space="preserve"> </w:t>
      </w:r>
      <w:proofErr w:type="spellStart"/>
      <w:r w:rsidRPr="005658EC">
        <w:rPr>
          <w:rFonts w:ascii="Arial Narrow" w:hAnsi="Arial Narrow" w:cstheme="majorBidi"/>
        </w:rPr>
        <w:t>pedagang</w:t>
      </w:r>
      <w:proofErr w:type="spellEnd"/>
      <w:r w:rsidRPr="005658EC">
        <w:rPr>
          <w:rFonts w:ascii="Arial Narrow" w:hAnsi="Arial Narrow" w:cstheme="majorBidi"/>
        </w:rPr>
        <w:t xml:space="preserve"> di </w:t>
      </w:r>
      <w:proofErr w:type="spellStart"/>
      <w:r w:rsidRPr="005658EC">
        <w:rPr>
          <w:rFonts w:ascii="Arial Narrow" w:hAnsi="Arial Narrow" w:cstheme="majorBidi"/>
        </w:rPr>
        <w:t>pasar</w:t>
      </w:r>
      <w:proofErr w:type="spellEnd"/>
      <w:r w:rsidRPr="005658EC">
        <w:rPr>
          <w:rFonts w:ascii="Arial Narrow" w:hAnsi="Arial Narrow" w:cstheme="majorBidi"/>
        </w:rPr>
        <w:t xml:space="preserve"> </w:t>
      </w:r>
      <w:proofErr w:type="spellStart"/>
      <w:r w:rsidRPr="005658EC">
        <w:rPr>
          <w:rFonts w:ascii="Arial Narrow" w:hAnsi="Arial Narrow" w:cstheme="majorBidi"/>
        </w:rPr>
        <w:t>tradisional</w:t>
      </w:r>
      <w:proofErr w:type="spellEnd"/>
      <w:r w:rsidRPr="005658EC">
        <w:rPr>
          <w:rFonts w:ascii="Arial Narrow" w:hAnsi="Arial Narrow" w:cstheme="majorBidi"/>
        </w:rPr>
        <w:t xml:space="preserve"> Kota Bengkulu </w:t>
      </w:r>
      <w:proofErr w:type="spellStart"/>
      <w:r w:rsidRPr="005658EC">
        <w:rPr>
          <w:rFonts w:ascii="Arial Narrow" w:hAnsi="Arial Narrow" w:cstheme="majorBidi"/>
        </w:rPr>
        <w:t>berdasarkan</w:t>
      </w:r>
      <w:proofErr w:type="spellEnd"/>
      <w:r w:rsidRPr="005658EC">
        <w:rPr>
          <w:rFonts w:ascii="Arial Narrow" w:hAnsi="Arial Narrow" w:cstheme="majorBidi"/>
        </w:rPr>
        <w:t xml:space="preserve"> </w:t>
      </w:r>
      <w:proofErr w:type="spellStart"/>
      <w:r w:rsidRPr="005658EC">
        <w:rPr>
          <w:rFonts w:ascii="Arial Narrow" w:hAnsi="Arial Narrow" w:cstheme="majorBidi"/>
        </w:rPr>
        <w:t>teori</w:t>
      </w:r>
      <w:proofErr w:type="spellEnd"/>
      <w:r w:rsidRPr="005658EC">
        <w:rPr>
          <w:rFonts w:ascii="Arial Narrow" w:hAnsi="Arial Narrow" w:cstheme="majorBidi"/>
        </w:rPr>
        <w:t xml:space="preserve"> </w:t>
      </w:r>
      <w:proofErr w:type="spellStart"/>
      <w:r w:rsidRPr="005658EC">
        <w:rPr>
          <w:rFonts w:ascii="Arial Narrow" w:hAnsi="Arial Narrow" w:cstheme="majorBidi"/>
        </w:rPr>
        <w:t>aktivitas</w:t>
      </w:r>
      <w:proofErr w:type="spellEnd"/>
      <w:r w:rsidRPr="005658EC">
        <w:rPr>
          <w:rFonts w:ascii="Arial Narrow" w:hAnsi="Arial Narrow" w:cstheme="majorBidi"/>
        </w:rPr>
        <w:t xml:space="preserve"> fundamental </w:t>
      </w:r>
      <w:proofErr w:type="spellStart"/>
      <w:r w:rsidRPr="005658EC">
        <w:rPr>
          <w:rFonts w:ascii="Arial Narrow" w:hAnsi="Arial Narrow" w:cstheme="majorBidi"/>
        </w:rPr>
        <w:t>matematis</w:t>
      </w:r>
      <w:proofErr w:type="spellEnd"/>
      <w:r w:rsidRPr="005658EC">
        <w:rPr>
          <w:rFonts w:ascii="Arial Narrow" w:hAnsi="Arial Narrow" w:cstheme="majorBidi"/>
        </w:rPr>
        <w:t xml:space="preserve"> Bishop. </w:t>
      </w:r>
      <w:proofErr w:type="spellStart"/>
      <w:proofErr w:type="gramStart"/>
      <w:r w:rsidRPr="005658EC">
        <w:rPr>
          <w:rFonts w:ascii="Arial Narrow" w:hAnsi="Arial Narrow" w:cstheme="majorBidi"/>
          <w:spacing w:val="1"/>
        </w:rPr>
        <w:t>P</w:t>
      </w:r>
      <w:r w:rsidRPr="005658EC">
        <w:rPr>
          <w:rFonts w:ascii="Arial Narrow" w:hAnsi="Arial Narrow" w:cstheme="majorBidi"/>
          <w:spacing w:val="-1"/>
        </w:rPr>
        <w:t>e</w:t>
      </w:r>
      <w:r w:rsidRPr="005658EC">
        <w:rPr>
          <w:rFonts w:ascii="Arial Narrow" w:hAnsi="Arial Narrow" w:cstheme="majorBidi"/>
        </w:rPr>
        <w:t>n</w:t>
      </w:r>
      <w:r w:rsidRPr="005658EC">
        <w:rPr>
          <w:rFonts w:ascii="Arial Narrow" w:hAnsi="Arial Narrow" w:cstheme="majorBidi"/>
          <w:spacing w:val="-1"/>
        </w:rPr>
        <w:t>e</w:t>
      </w:r>
      <w:r w:rsidRPr="005658EC">
        <w:rPr>
          <w:rFonts w:ascii="Arial Narrow" w:hAnsi="Arial Narrow" w:cstheme="majorBidi"/>
        </w:rPr>
        <w:t>lit</w:t>
      </w:r>
      <w:r w:rsidRPr="005658EC">
        <w:rPr>
          <w:rFonts w:ascii="Arial Narrow" w:hAnsi="Arial Narrow" w:cstheme="majorBidi"/>
          <w:spacing w:val="1"/>
        </w:rPr>
        <w:t>i</w:t>
      </w:r>
      <w:r w:rsidRPr="005658EC">
        <w:rPr>
          <w:rFonts w:ascii="Arial Narrow" w:hAnsi="Arial Narrow" w:cstheme="majorBidi"/>
          <w:spacing w:val="-1"/>
        </w:rPr>
        <w:t>a</w:t>
      </w:r>
      <w:r w:rsidRPr="005658EC">
        <w:rPr>
          <w:rFonts w:ascii="Arial Narrow" w:hAnsi="Arial Narrow" w:cstheme="majorBidi"/>
        </w:rPr>
        <w:t>n</w:t>
      </w:r>
      <w:proofErr w:type="spellEnd"/>
      <w:r w:rsidRPr="005658EC">
        <w:rPr>
          <w:rFonts w:ascii="Arial Narrow" w:hAnsi="Arial Narrow" w:cstheme="majorBidi"/>
        </w:rPr>
        <w:t xml:space="preserve"> </w:t>
      </w:r>
      <w:proofErr w:type="spellStart"/>
      <w:r w:rsidRPr="005658EC">
        <w:rPr>
          <w:rFonts w:ascii="Arial Narrow" w:hAnsi="Arial Narrow" w:cstheme="majorBidi"/>
        </w:rPr>
        <w:t>ini</w:t>
      </w:r>
      <w:proofErr w:type="spellEnd"/>
      <w:r w:rsidRPr="005658EC">
        <w:rPr>
          <w:rFonts w:ascii="Arial Narrow" w:hAnsi="Arial Narrow" w:cstheme="majorBidi"/>
          <w:spacing w:val="4"/>
        </w:rPr>
        <w:t xml:space="preserve"> </w:t>
      </w:r>
      <w:proofErr w:type="spellStart"/>
      <w:r w:rsidRPr="005658EC">
        <w:rPr>
          <w:rFonts w:ascii="Arial Narrow" w:hAnsi="Arial Narrow" w:cstheme="majorBidi"/>
          <w:spacing w:val="4"/>
        </w:rPr>
        <w:t>adalah</w:t>
      </w:r>
      <w:proofErr w:type="spellEnd"/>
      <w:r w:rsidRPr="005658EC">
        <w:rPr>
          <w:rFonts w:ascii="Arial Narrow" w:hAnsi="Arial Narrow" w:cstheme="majorBidi"/>
          <w:spacing w:val="4"/>
        </w:rPr>
        <w:t xml:space="preserve"> </w:t>
      </w:r>
      <w:proofErr w:type="spellStart"/>
      <w:r w:rsidRPr="005658EC">
        <w:rPr>
          <w:rFonts w:ascii="Arial Narrow" w:hAnsi="Arial Narrow" w:cstheme="majorBidi"/>
          <w:spacing w:val="4"/>
        </w:rPr>
        <w:t>penelitian</w:t>
      </w:r>
      <w:proofErr w:type="spellEnd"/>
      <w:r w:rsidRPr="005658EC">
        <w:rPr>
          <w:rFonts w:ascii="Arial Narrow" w:hAnsi="Arial Narrow" w:cstheme="majorBidi"/>
          <w:spacing w:val="4"/>
        </w:rPr>
        <w:t xml:space="preserve"> </w:t>
      </w:r>
      <w:proofErr w:type="spellStart"/>
      <w:r w:rsidRPr="005658EC">
        <w:rPr>
          <w:rFonts w:ascii="Arial Narrow" w:hAnsi="Arial Narrow" w:cstheme="majorBidi"/>
          <w:spacing w:val="4"/>
        </w:rPr>
        <w:t>eksploratif</w:t>
      </w:r>
      <w:proofErr w:type="spellEnd"/>
      <w:r w:rsidRPr="005658EC">
        <w:rPr>
          <w:rFonts w:ascii="Arial Narrow" w:hAnsi="Arial Narrow" w:cstheme="majorBidi"/>
          <w:spacing w:val="4"/>
        </w:rPr>
        <w:t xml:space="preserve"> </w:t>
      </w:r>
      <w:proofErr w:type="spellStart"/>
      <w:r w:rsidRPr="005658EC">
        <w:rPr>
          <w:rFonts w:ascii="Arial Narrow" w:hAnsi="Arial Narrow" w:cstheme="majorBidi"/>
          <w:spacing w:val="4"/>
        </w:rPr>
        <w:t>menggunakan</w:t>
      </w:r>
      <w:proofErr w:type="spellEnd"/>
      <w:r w:rsidRPr="005658EC">
        <w:rPr>
          <w:rFonts w:ascii="Arial Narrow" w:hAnsi="Arial Narrow" w:cstheme="majorBidi"/>
          <w:spacing w:val="4"/>
        </w:rPr>
        <w:t xml:space="preserve"> </w:t>
      </w:r>
      <w:proofErr w:type="spellStart"/>
      <w:r w:rsidRPr="005658EC">
        <w:rPr>
          <w:rFonts w:ascii="Arial Narrow" w:hAnsi="Arial Narrow" w:cstheme="majorBidi"/>
          <w:spacing w:val="4"/>
        </w:rPr>
        <w:t>pendekatan</w:t>
      </w:r>
      <w:proofErr w:type="spellEnd"/>
      <w:r w:rsidRPr="005658EC">
        <w:rPr>
          <w:rFonts w:ascii="Arial Narrow" w:hAnsi="Arial Narrow" w:cstheme="majorBidi"/>
          <w:spacing w:val="4"/>
        </w:rPr>
        <w:t xml:space="preserve"> </w:t>
      </w:r>
      <w:proofErr w:type="spellStart"/>
      <w:r w:rsidRPr="005658EC">
        <w:rPr>
          <w:rFonts w:ascii="Arial Narrow" w:hAnsi="Arial Narrow" w:cstheme="majorBidi"/>
        </w:rPr>
        <w:t>ku</w:t>
      </w:r>
      <w:r w:rsidRPr="005658EC">
        <w:rPr>
          <w:rFonts w:ascii="Arial Narrow" w:hAnsi="Arial Narrow" w:cstheme="majorBidi"/>
          <w:spacing w:val="-1"/>
        </w:rPr>
        <w:t>a</w:t>
      </w:r>
      <w:r w:rsidRPr="005658EC">
        <w:rPr>
          <w:rFonts w:ascii="Arial Narrow" w:hAnsi="Arial Narrow" w:cstheme="majorBidi"/>
        </w:rPr>
        <w:t>lit</w:t>
      </w:r>
      <w:r w:rsidRPr="005658EC">
        <w:rPr>
          <w:rFonts w:ascii="Arial Narrow" w:hAnsi="Arial Narrow" w:cstheme="majorBidi"/>
          <w:spacing w:val="-1"/>
        </w:rPr>
        <w:t>a</w:t>
      </w:r>
      <w:r w:rsidRPr="005658EC">
        <w:rPr>
          <w:rFonts w:ascii="Arial Narrow" w:hAnsi="Arial Narrow" w:cstheme="majorBidi"/>
        </w:rPr>
        <w:t>ti</w:t>
      </w:r>
      <w:r w:rsidRPr="005658EC">
        <w:rPr>
          <w:rFonts w:ascii="Arial Narrow" w:hAnsi="Arial Narrow" w:cstheme="majorBidi"/>
          <w:spacing w:val="2"/>
        </w:rPr>
        <w:t>f</w:t>
      </w:r>
      <w:proofErr w:type="spellEnd"/>
      <w:r w:rsidRPr="005658EC">
        <w:rPr>
          <w:rFonts w:ascii="Arial Narrow" w:hAnsi="Arial Narrow" w:cstheme="majorBidi"/>
        </w:rPr>
        <w:t>.</w:t>
      </w:r>
      <w:proofErr w:type="gramEnd"/>
      <w:r w:rsidRPr="005658EC">
        <w:rPr>
          <w:rFonts w:ascii="Arial Narrow" w:hAnsi="Arial Narrow" w:cstheme="majorBidi"/>
        </w:rPr>
        <w:t xml:space="preserve"> </w:t>
      </w:r>
      <w:proofErr w:type="spellStart"/>
      <w:r w:rsidRPr="005658EC">
        <w:rPr>
          <w:rFonts w:ascii="Arial Narrow" w:hAnsi="Arial Narrow" w:cstheme="majorBidi"/>
        </w:rPr>
        <w:t>Subyek</w:t>
      </w:r>
      <w:proofErr w:type="spellEnd"/>
      <w:r w:rsidRPr="005658EC">
        <w:rPr>
          <w:rFonts w:ascii="Arial Narrow" w:hAnsi="Arial Narrow" w:cstheme="majorBidi"/>
        </w:rPr>
        <w:t xml:space="preserve"> </w:t>
      </w:r>
      <w:proofErr w:type="spellStart"/>
      <w:r w:rsidRPr="005658EC">
        <w:rPr>
          <w:rFonts w:ascii="Arial Narrow" w:hAnsi="Arial Narrow" w:cstheme="majorBidi"/>
        </w:rPr>
        <w:t>penelitian</w:t>
      </w:r>
      <w:proofErr w:type="spellEnd"/>
      <w:r w:rsidRPr="005658EC">
        <w:rPr>
          <w:rFonts w:ascii="Arial Narrow" w:hAnsi="Arial Narrow" w:cstheme="majorBidi"/>
        </w:rPr>
        <w:t xml:space="preserve"> </w:t>
      </w:r>
      <w:proofErr w:type="spellStart"/>
      <w:r w:rsidRPr="005658EC">
        <w:rPr>
          <w:rFonts w:ascii="Arial Narrow" w:hAnsi="Arial Narrow" w:cstheme="majorBidi"/>
        </w:rPr>
        <w:t>dipilih</w:t>
      </w:r>
      <w:proofErr w:type="spellEnd"/>
      <w:r w:rsidRPr="005658EC">
        <w:rPr>
          <w:rFonts w:ascii="Arial Narrow" w:hAnsi="Arial Narrow" w:cstheme="majorBidi"/>
        </w:rPr>
        <w:t xml:space="preserve"> </w:t>
      </w:r>
      <w:proofErr w:type="spellStart"/>
      <w:r w:rsidRPr="005658EC">
        <w:rPr>
          <w:rFonts w:ascii="Arial Narrow" w:hAnsi="Arial Narrow" w:cstheme="majorBidi"/>
        </w:rPr>
        <w:t>secara</w:t>
      </w:r>
      <w:proofErr w:type="spellEnd"/>
      <w:r w:rsidRPr="005658EC">
        <w:rPr>
          <w:rFonts w:ascii="Arial Narrow" w:hAnsi="Arial Narrow" w:cstheme="majorBidi"/>
        </w:rPr>
        <w:t xml:space="preserve"> </w:t>
      </w:r>
      <w:proofErr w:type="gramStart"/>
      <w:r w:rsidRPr="005658EC">
        <w:rPr>
          <w:rFonts w:ascii="Arial Narrow" w:hAnsi="Arial Narrow" w:cstheme="majorBidi"/>
          <w:i/>
          <w:iCs/>
        </w:rPr>
        <w:t>purposive</w:t>
      </w:r>
      <w:r w:rsidRPr="005658EC">
        <w:rPr>
          <w:rFonts w:ascii="Arial Narrow" w:hAnsi="Arial Narrow" w:cstheme="majorBidi"/>
        </w:rPr>
        <w:t xml:space="preserve">  </w:t>
      </w:r>
      <w:proofErr w:type="spellStart"/>
      <w:r w:rsidRPr="005658EC">
        <w:rPr>
          <w:rFonts w:ascii="Arial Narrow" w:hAnsi="Arial Narrow" w:cstheme="majorBidi"/>
        </w:rPr>
        <w:t>meliputi</w:t>
      </w:r>
      <w:proofErr w:type="spellEnd"/>
      <w:proofErr w:type="gramEnd"/>
      <w:r w:rsidRPr="005658EC">
        <w:rPr>
          <w:rFonts w:ascii="Arial Narrow" w:hAnsi="Arial Narrow" w:cstheme="majorBidi"/>
        </w:rPr>
        <w:t xml:space="preserve"> </w:t>
      </w:r>
      <w:proofErr w:type="spellStart"/>
      <w:r w:rsidRPr="005658EC">
        <w:rPr>
          <w:rFonts w:ascii="Arial Narrow" w:hAnsi="Arial Narrow" w:cstheme="majorBidi"/>
        </w:rPr>
        <w:t>pedagang</w:t>
      </w:r>
      <w:proofErr w:type="spellEnd"/>
      <w:r w:rsidRPr="005658EC">
        <w:rPr>
          <w:rFonts w:ascii="Arial Narrow" w:hAnsi="Arial Narrow" w:cstheme="majorBidi"/>
        </w:rPr>
        <w:t xml:space="preserve"> </w:t>
      </w:r>
      <w:proofErr w:type="spellStart"/>
      <w:r w:rsidRPr="005658EC">
        <w:rPr>
          <w:rFonts w:ascii="Arial Narrow" w:hAnsi="Arial Narrow" w:cstheme="majorBidi"/>
        </w:rPr>
        <w:t>beras</w:t>
      </w:r>
      <w:proofErr w:type="spellEnd"/>
      <w:r w:rsidRPr="005658EC">
        <w:rPr>
          <w:rFonts w:ascii="Arial Narrow" w:hAnsi="Arial Narrow" w:cstheme="majorBidi"/>
        </w:rPr>
        <w:t xml:space="preserve">, </w:t>
      </w:r>
      <w:proofErr w:type="spellStart"/>
      <w:r w:rsidRPr="005658EC">
        <w:rPr>
          <w:rFonts w:ascii="Arial Narrow" w:hAnsi="Arial Narrow" w:cstheme="majorBidi"/>
        </w:rPr>
        <w:t>pedagang</w:t>
      </w:r>
      <w:proofErr w:type="spellEnd"/>
      <w:r w:rsidRPr="005658EC">
        <w:rPr>
          <w:rFonts w:ascii="Arial Narrow" w:hAnsi="Arial Narrow" w:cstheme="majorBidi"/>
        </w:rPr>
        <w:t xml:space="preserve"> </w:t>
      </w:r>
      <w:proofErr w:type="spellStart"/>
      <w:r w:rsidRPr="005658EC">
        <w:rPr>
          <w:rFonts w:ascii="Arial Narrow" w:hAnsi="Arial Narrow" w:cstheme="majorBidi"/>
        </w:rPr>
        <w:t>kacang-kacangan</w:t>
      </w:r>
      <w:proofErr w:type="spellEnd"/>
      <w:r w:rsidRPr="005658EC">
        <w:rPr>
          <w:rFonts w:ascii="Arial Narrow" w:hAnsi="Arial Narrow" w:cstheme="majorBidi"/>
        </w:rPr>
        <w:t xml:space="preserve">, </w:t>
      </w:r>
      <w:proofErr w:type="spellStart"/>
      <w:r w:rsidRPr="005658EC">
        <w:rPr>
          <w:rFonts w:ascii="Arial Narrow" w:hAnsi="Arial Narrow" w:cstheme="majorBidi"/>
        </w:rPr>
        <w:t>pedagang</w:t>
      </w:r>
      <w:proofErr w:type="spellEnd"/>
      <w:r w:rsidRPr="005658EC">
        <w:rPr>
          <w:rFonts w:ascii="Arial Narrow" w:hAnsi="Arial Narrow" w:cstheme="majorBidi"/>
        </w:rPr>
        <w:t xml:space="preserve"> </w:t>
      </w:r>
      <w:proofErr w:type="spellStart"/>
      <w:r w:rsidRPr="005658EC">
        <w:rPr>
          <w:rFonts w:ascii="Arial Narrow" w:hAnsi="Arial Narrow" w:cstheme="majorBidi"/>
        </w:rPr>
        <w:t>telur</w:t>
      </w:r>
      <w:proofErr w:type="spellEnd"/>
      <w:r w:rsidRPr="005658EC">
        <w:rPr>
          <w:rFonts w:ascii="Arial Narrow" w:hAnsi="Arial Narrow" w:cstheme="majorBidi"/>
        </w:rPr>
        <w:t xml:space="preserve">, </w:t>
      </w:r>
      <w:proofErr w:type="spellStart"/>
      <w:r w:rsidRPr="005658EC">
        <w:rPr>
          <w:rFonts w:ascii="Arial Narrow" w:hAnsi="Arial Narrow" w:cstheme="majorBidi"/>
        </w:rPr>
        <w:t>dan</w:t>
      </w:r>
      <w:proofErr w:type="spellEnd"/>
      <w:r w:rsidRPr="005658EC">
        <w:rPr>
          <w:rFonts w:ascii="Arial Narrow" w:hAnsi="Arial Narrow" w:cstheme="majorBidi"/>
        </w:rPr>
        <w:t xml:space="preserve"> </w:t>
      </w:r>
      <w:proofErr w:type="spellStart"/>
      <w:r w:rsidRPr="005658EC">
        <w:rPr>
          <w:rFonts w:ascii="Arial Narrow" w:hAnsi="Arial Narrow" w:cstheme="majorBidi"/>
        </w:rPr>
        <w:t>pedagang</w:t>
      </w:r>
      <w:proofErr w:type="spellEnd"/>
      <w:r w:rsidRPr="005658EC">
        <w:rPr>
          <w:rFonts w:ascii="Arial Narrow" w:hAnsi="Arial Narrow" w:cstheme="majorBidi"/>
        </w:rPr>
        <w:t xml:space="preserve"> </w:t>
      </w:r>
      <w:proofErr w:type="spellStart"/>
      <w:r w:rsidRPr="005658EC">
        <w:rPr>
          <w:rFonts w:ascii="Arial Narrow" w:hAnsi="Arial Narrow" w:cstheme="majorBidi"/>
        </w:rPr>
        <w:t>sayur</w:t>
      </w:r>
      <w:proofErr w:type="spellEnd"/>
      <w:r w:rsidRPr="005658EC">
        <w:rPr>
          <w:rFonts w:ascii="Arial Narrow" w:hAnsi="Arial Narrow" w:cstheme="majorBidi"/>
        </w:rPr>
        <w:t xml:space="preserve">. </w:t>
      </w:r>
      <w:proofErr w:type="spellStart"/>
      <w:proofErr w:type="gramStart"/>
      <w:r w:rsidRPr="005658EC">
        <w:rPr>
          <w:rFonts w:ascii="Arial Narrow" w:hAnsi="Arial Narrow" w:cstheme="majorBidi"/>
        </w:rPr>
        <w:t>Instrumen</w:t>
      </w:r>
      <w:proofErr w:type="spellEnd"/>
      <w:r w:rsidRPr="005658EC">
        <w:rPr>
          <w:rFonts w:ascii="Arial Narrow" w:hAnsi="Arial Narrow" w:cstheme="majorBidi"/>
        </w:rPr>
        <w:t xml:space="preserve"> </w:t>
      </w:r>
      <w:proofErr w:type="spellStart"/>
      <w:r w:rsidRPr="005658EC">
        <w:rPr>
          <w:rFonts w:ascii="Arial Narrow" w:hAnsi="Arial Narrow" w:cstheme="majorBidi"/>
        </w:rPr>
        <w:t>penelitian</w:t>
      </w:r>
      <w:proofErr w:type="spellEnd"/>
      <w:r w:rsidRPr="005658EC">
        <w:rPr>
          <w:rFonts w:ascii="Arial Narrow" w:hAnsi="Arial Narrow" w:cstheme="majorBidi"/>
        </w:rPr>
        <w:t xml:space="preserve"> </w:t>
      </w:r>
      <w:proofErr w:type="spellStart"/>
      <w:r w:rsidRPr="005658EC">
        <w:rPr>
          <w:rFonts w:ascii="Arial Narrow" w:hAnsi="Arial Narrow" w:cstheme="majorBidi"/>
        </w:rPr>
        <w:t>berupa</w:t>
      </w:r>
      <w:proofErr w:type="spellEnd"/>
      <w:r w:rsidRPr="005658EC">
        <w:rPr>
          <w:rFonts w:ascii="Arial Narrow" w:hAnsi="Arial Narrow" w:cstheme="majorBidi"/>
        </w:rPr>
        <w:t xml:space="preserve"> </w:t>
      </w:r>
      <w:proofErr w:type="spellStart"/>
      <w:r w:rsidRPr="005658EC">
        <w:rPr>
          <w:rFonts w:ascii="Arial Narrow" w:hAnsi="Arial Narrow" w:cstheme="majorBidi"/>
        </w:rPr>
        <w:t>lembar</w:t>
      </w:r>
      <w:proofErr w:type="spellEnd"/>
      <w:r w:rsidRPr="005658EC">
        <w:rPr>
          <w:rFonts w:ascii="Arial Narrow" w:hAnsi="Arial Narrow" w:cstheme="majorBidi"/>
        </w:rPr>
        <w:t xml:space="preserve"> </w:t>
      </w:r>
      <w:proofErr w:type="spellStart"/>
      <w:r w:rsidRPr="005658EC">
        <w:rPr>
          <w:rFonts w:ascii="Arial Narrow" w:hAnsi="Arial Narrow" w:cstheme="majorBidi"/>
        </w:rPr>
        <w:t>observasi</w:t>
      </w:r>
      <w:proofErr w:type="spellEnd"/>
      <w:r w:rsidRPr="005658EC">
        <w:rPr>
          <w:rFonts w:ascii="Arial Narrow" w:hAnsi="Arial Narrow" w:cstheme="majorBidi"/>
        </w:rPr>
        <w:t xml:space="preserve">, </w:t>
      </w:r>
      <w:proofErr w:type="spellStart"/>
      <w:r w:rsidRPr="005658EC">
        <w:rPr>
          <w:rFonts w:ascii="Arial Narrow" w:hAnsi="Arial Narrow" w:cstheme="majorBidi"/>
        </w:rPr>
        <w:t>dokumentasi</w:t>
      </w:r>
      <w:proofErr w:type="spellEnd"/>
      <w:r w:rsidRPr="005658EC">
        <w:rPr>
          <w:rFonts w:ascii="Arial Narrow" w:hAnsi="Arial Narrow" w:cstheme="majorBidi"/>
        </w:rPr>
        <w:t xml:space="preserve">, </w:t>
      </w:r>
      <w:proofErr w:type="spellStart"/>
      <w:r w:rsidRPr="005658EC">
        <w:rPr>
          <w:rFonts w:ascii="Arial Narrow" w:hAnsi="Arial Narrow" w:cstheme="majorBidi"/>
        </w:rPr>
        <w:t>dan</w:t>
      </w:r>
      <w:proofErr w:type="spellEnd"/>
      <w:r w:rsidRPr="005658EC">
        <w:rPr>
          <w:rFonts w:ascii="Arial Narrow" w:hAnsi="Arial Narrow" w:cstheme="majorBidi"/>
        </w:rPr>
        <w:t xml:space="preserve"> </w:t>
      </w:r>
      <w:proofErr w:type="spellStart"/>
      <w:r w:rsidRPr="005658EC">
        <w:rPr>
          <w:rFonts w:ascii="Arial Narrow" w:hAnsi="Arial Narrow" w:cstheme="majorBidi"/>
        </w:rPr>
        <w:t>wawancara</w:t>
      </w:r>
      <w:proofErr w:type="spellEnd"/>
      <w:r w:rsidRPr="005658EC">
        <w:rPr>
          <w:rFonts w:ascii="Arial Narrow" w:hAnsi="Arial Narrow" w:cstheme="majorBidi"/>
        </w:rPr>
        <w:t>.</w:t>
      </w:r>
      <w:proofErr w:type="gramEnd"/>
      <w:r w:rsidRPr="005658EC">
        <w:rPr>
          <w:rFonts w:ascii="Arial Narrow" w:hAnsi="Arial Narrow" w:cstheme="majorBidi"/>
        </w:rPr>
        <w:t xml:space="preserve"> </w:t>
      </w:r>
      <w:proofErr w:type="spellStart"/>
      <w:proofErr w:type="gramStart"/>
      <w:r w:rsidRPr="005658EC">
        <w:rPr>
          <w:rFonts w:ascii="Arial Narrow" w:hAnsi="Arial Narrow" w:cstheme="majorBidi"/>
        </w:rPr>
        <w:t>Teknik</w:t>
      </w:r>
      <w:proofErr w:type="spellEnd"/>
      <w:r w:rsidRPr="005658EC">
        <w:rPr>
          <w:rFonts w:ascii="Arial Narrow" w:hAnsi="Arial Narrow" w:cstheme="majorBidi"/>
        </w:rPr>
        <w:t xml:space="preserve"> </w:t>
      </w:r>
      <w:proofErr w:type="spellStart"/>
      <w:r w:rsidRPr="005658EC">
        <w:rPr>
          <w:rFonts w:ascii="Arial Narrow" w:hAnsi="Arial Narrow" w:cstheme="majorBidi"/>
        </w:rPr>
        <w:t>analisis</w:t>
      </w:r>
      <w:proofErr w:type="spellEnd"/>
      <w:r w:rsidRPr="005658EC">
        <w:rPr>
          <w:rFonts w:ascii="Arial Narrow" w:hAnsi="Arial Narrow" w:cstheme="majorBidi"/>
        </w:rPr>
        <w:t xml:space="preserve"> data </w:t>
      </w:r>
      <w:proofErr w:type="spellStart"/>
      <w:r w:rsidRPr="005658EC">
        <w:rPr>
          <w:rFonts w:ascii="Arial Narrow" w:hAnsi="Arial Narrow" w:cstheme="majorBidi"/>
        </w:rPr>
        <w:t>melalui</w:t>
      </w:r>
      <w:proofErr w:type="spellEnd"/>
      <w:r w:rsidRPr="005658EC">
        <w:rPr>
          <w:rFonts w:ascii="Arial Narrow" w:hAnsi="Arial Narrow" w:cstheme="majorBidi"/>
        </w:rPr>
        <w:t xml:space="preserve"> </w:t>
      </w:r>
      <w:proofErr w:type="spellStart"/>
      <w:r w:rsidRPr="005658EC">
        <w:rPr>
          <w:rFonts w:ascii="Arial Narrow" w:hAnsi="Arial Narrow" w:cstheme="majorBidi"/>
        </w:rPr>
        <w:t>tiga</w:t>
      </w:r>
      <w:proofErr w:type="spellEnd"/>
      <w:r w:rsidRPr="005658EC">
        <w:rPr>
          <w:rFonts w:ascii="Arial Narrow" w:hAnsi="Arial Narrow" w:cstheme="majorBidi"/>
        </w:rPr>
        <w:t xml:space="preserve"> </w:t>
      </w:r>
      <w:proofErr w:type="spellStart"/>
      <w:r w:rsidRPr="005658EC">
        <w:rPr>
          <w:rFonts w:ascii="Arial Narrow" w:hAnsi="Arial Narrow" w:cstheme="majorBidi"/>
        </w:rPr>
        <w:t>tahap</w:t>
      </w:r>
      <w:proofErr w:type="spellEnd"/>
      <w:r w:rsidRPr="005658EC">
        <w:rPr>
          <w:rFonts w:ascii="Arial Narrow" w:hAnsi="Arial Narrow" w:cstheme="majorBidi"/>
        </w:rPr>
        <w:t xml:space="preserve"> </w:t>
      </w:r>
      <w:proofErr w:type="spellStart"/>
      <w:r w:rsidRPr="005658EC">
        <w:rPr>
          <w:rFonts w:ascii="Arial Narrow" w:hAnsi="Arial Narrow" w:cstheme="majorBidi"/>
          <w:i/>
          <w:iCs/>
        </w:rPr>
        <w:t>triangulasi</w:t>
      </w:r>
      <w:proofErr w:type="spellEnd"/>
      <w:r w:rsidRPr="005658EC">
        <w:rPr>
          <w:rFonts w:ascii="Arial Narrow" w:hAnsi="Arial Narrow" w:cstheme="majorBidi"/>
        </w:rPr>
        <w:t xml:space="preserve">, </w:t>
      </w:r>
      <w:proofErr w:type="spellStart"/>
      <w:r w:rsidRPr="005658EC">
        <w:rPr>
          <w:rFonts w:ascii="Arial Narrow" w:hAnsi="Arial Narrow" w:cstheme="majorBidi"/>
        </w:rPr>
        <w:t>yaitu</w:t>
      </w:r>
      <w:proofErr w:type="spellEnd"/>
      <w:r w:rsidRPr="005658EC">
        <w:rPr>
          <w:rFonts w:ascii="Arial Narrow" w:hAnsi="Arial Narrow" w:cstheme="majorBidi"/>
        </w:rPr>
        <w:t xml:space="preserve"> </w:t>
      </w:r>
      <w:proofErr w:type="spellStart"/>
      <w:r w:rsidRPr="005658EC">
        <w:rPr>
          <w:rFonts w:ascii="Arial Narrow" w:hAnsi="Arial Narrow" w:cstheme="majorBidi"/>
        </w:rPr>
        <w:t>reduksi</w:t>
      </w:r>
      <w:proofErr w:type="spellEnd"/>
      <w:r w:rsidRPr="005658EC">
        <w:rPr>
          <w:rFonts w:ascii="Arial Narrow" w:hAnsi="Arial Narrow" w:cstheme="majorBidi"/>
        </w:rPr>
        <w:t xml:space="preserve">, </w:t>
      </w:r>
      <w:proofErr w:type="spellStart"/>
      <w:r w:rsidRPr="005658EC">
        <w:rPr>
          <w:rFonts w:ascii="Arial Narrow" w:hAnsi="Arial Narrow" w:cstheme="majorBidi"/>
        </w:rPr>
        <w:t>penyajian</w:t>
      </w:r>
      <w:proofErr w:type="spellEnd"/>
      <w:r w:rsidRPr="005658EC">
        <w:rPr>
          <w:rFonts w:ascii="Arial Narrow" w:hAnsi="Arial Narrow" w:cstheme="majorBidi"/>
        </w:rPr>
        <w:t xml:space="preserve">, </w:t>
      </w:r>
      <w:proofErr w:type="spellStart"/>
      <w:r w:rsidRPr="005658EC">
        <w:rPr>
          <w:rFonts w:ascii="Arial Narrow" w:hAnsi="Arial Narrow" w:cstheme="majorBidi"/>
        </w:rPr>
        <w:t>dan</w:t>
      </w:r>
      <w:proofErr w:type="spellEnd"/>
      <w:r w:rsidRPr="005658EC">
        <w:rPr>
          <w:rFonts w:ascii="Arial Narrow" w:hAnsi="Arial Narrow" w:cstheme="majorBidi"/>
        </w:rPr>
        <w:t xml:space="preserve"> </w:t>
      </w:r>
      <w:proofErr w:type="spellStart"/>
      <w:r w:rsidRPr="005658EC">
        <w:rPr>
          <w:rFonts w:ascii="Arial Narrow" w:hAnsi="Arial Narrow" w:cstheme="majorBidi"/>
        </w:rPr>
        <w:t>penarikan</w:t>
      </w:r>
      <w:proofErr w:type="spellEnd"/>
      <w:r w:rsidRPr="005658EC">
        <w:rPr>
          <w:rFonts w:ascii="Arial Narrow" w:hAnsi="Arial Narrow" w:cstheme="majorBidi"/>
        </w:rPr>
        <w:t xml:space="preserve"> </w:t>
      </w:r>
      <w:proofErr w:type="spellStart"/>
      <w:r w:rsidRPr="005658EC">
        <w:rPr>
          <w:rFonts w:ascii="Arial Narrow" w:hAnsi="Arial Narrow" w:cstheme="majorBidi"/>
        </w:rPr>
        <w:t>kesimpulan</w:t>
      </w:r>
      <w:proofErr w:type="spellEnd"/>
      <w:r w:rsidRPr="005658EC">
        <w:rPr>
          <w:rFonts w:ascii="Arial Narrow" w:hAnsi="Arial Narrow" w:cstheme="majorBidi"/>
        </w:rPr>
        <w:t>/</w:t>
      </w:r>
      <w:proofErr w:type="spellStart"/>
      <w:r w:rsidRPr="005658EC">
        <w:rPr>
          <w:rFonts w:ascii="Arial Narrow" w:hAnsi="Arial Narrow" w:cstheme="majorBidi"/>
        </w:rPr>
        <w:t>verifikasi</w:t>
      </w:r>
      <w:proofErr w:type="spellEnd"/>
      <w:r w:rsidRPr="005658EC">
        <w:rPr>
          <w:rFonts w:ascii="Arial Narrow" w:hAnsi="Arial Narrow" w:cstheme="majorBidi"/>
        </w:rPr>
        <w:t>.</w:t>
      </w:r>
      <w:proofErr w:type="gramEnd"/>
      <w:r w:rsidRPr="005658EC">
        <w:rPr>
          <w:rFonts w:ascii="Arial Narrow" w:hAnsi="Arial Narrow" w:cstheme="majorBidi"/>
        </w:rPr>
        <w:t xml:space="preserve"> </w:t>
      </w:r>
      <w:proofErr w:type="spellStart"/>
      <w:r w:rsidRPr="005658EC">
        <w:rPr>
          <w:rFonts w:ascii="Arial Narrow" w:hAnsi="Arial Narrow" w:cstheme="majorBidi"/>
        </w:rPr>
        <w:t>Hasil</w:t>
      </w:r>
      <w:proofErr w:type="spellEnd"/>
      <w:r w:rsidRPr="005658EC">
        <w:rPr>
          <w:rFonts w:ascii="Arial Narrow" w:hAnsi="Arial Narrow" w:cstheme="majorBidi"/>
        </w:rPr>
        <w:t xml:space="preserve"> </w:t>
      </w:r>
      <w:proofErr w:type="spellStart"/>
      <w:r w:rsidRPr="005658EC">
        <w:rPr>
          <w:rFonts w:ascii="Arial Narrow" w:hAnsi="Arial Narrow" w:cstheme="majorBidi"/>
        </w:rPr>
        <w:t>penelitian</w:t>
      </w:r>
      <w:proofErr w:type="spellEnd"/>
      <w:r w:rsidRPr="005658EC">
        <w:rPr>
          <w:rFonts w:ascii="Arial Narrow" w:hAnsi="Arial Narrow" w:cstheme="majorBidi"/>
        </w:rPr>
        <w:t xml:space="preserve"> </w:t>
      </w:r>
      <w:proofErr w:type="spellStart"/>
      <w:r w:rsidRPr="005658EC">
        <w:rPr>
          <w:rFonts w:ascii="Arial Narrow" w:hAnsi="Arial Narrow" w:cstheme="majorBidi"/>
        </w:rPr>
        <w:t>ini</w:t>
      </w:r>
      <w:proofErr w:type="spellEnd"/>
      <w:r w:rsidRPr="005658EC">
        <w:rPr>
          <w:rFonts w:ascii="Arial Narrow" w:hAnsi="Arial Narrow" w:cstheme="majorBidi"/>
        </w:rPr>
        <w:t xml:space="preserve"> </w:t>
      </w:r>
      <w:proofErr w:type="spellStart"/>
      <w:r w:rsidRPr="005658EC">
        <w:rPr>
          <w:rFonts w:ascii="Arial Narrow" w:hAnsi="Arial Narrow" w:cstheme="majorBidi"/>
        </w:rPr>
        <w:t>me</w:t>
      </w:r>
      <w:r w:rsidRPr="005658EC">
        <w:rPr>
          <w:rFonts w:ascii="Arial Narrow" w:eastAsia="Times New Roman" w:hAnsi="Arial Narrow" w:cs="Times New Roman"/>
          <w:lang w:eastAsia="id-ID"/>
        </w:rPr>
        <w:t>nyimpulkan</w:t>
      </w:r>
      <w:proofErr w:type="spellEnd"/>
      <w:r w:rsidRPr="005658EC">
        <w:rPr>
          <w:rFonts w:ascii="Arial Narrow" w:eastAsia="Times New Roman" w:hAnsi="Arial Narrow" w:cs="Times New Roman"/>
          <w:lang w:eastAsia="id-ID"/>
        </w:rPr>
        <w:t xml:space="preserve"> </w:t>
      </w:r>
      <w:proofErr w:type="spellStart"/>
      <w:r w:rsidRPr="005658EC">
        <w:rPr>
          <w:rFonts w:ascii="Arial Narrow" w:eastAsia="Times New Roman" w:hAnsi="Arial Narrow" w:cs="Times New Roman"/>
          <w:lang w:eastAsia="id-ID"/>
        </w:rPr>
        <w:t>bahwa</w:t>
      </w:r>
      <w:proofErr w:type="spellEnd"/>
      <w:r w:rsidRPr="005658EC">
        <w:rPr>
          <w:rFonts w:ascii="Arial Narrow" w:eastAsia="Times New Roman" w:hAnsi="Arial Narrow" w:cs="Times New Roman"/>
          <w:lang w:eastAsia="id-ID"/>
        </w:rPr>
        <w:t xml:space="preserve"> </w:t>
      </w:r>
      <w:proofErr w:type="spellStart"/>
      <w:r w:rsidRPr="005658EC">
        <w:rPr>
          <w:rFonts w:ascii="Arial Narrow" w:eastAsia="Times New Roman" w:hAnsi="Arial Narrow" w:cs="Times New Roman"/>
          <w:lang w:eastAsia="id-ID"/>
        </w:rPr>
        <w:t>terdapat</w:t>
      </w:r>
      <w:proofErr w:type="spellEnd"/>
      <w:r w:rsidRPr="005658EC">
        <w:rPr>
          <w:rFonts w:ascii="Arial Narrow" w:eastAsia="Times New Roman" w:hAnsi="Arial Narrow" w:cs="Times New Roman"/>
          <w:lang w:eastAsia="id-ID"/>
        </w:rPr>
        <w:t xml:space="preserve"> 6 </w:t>
      </w:r>
      <w:proofErr w:type="spellStart"/>
      <w:r w:rsidRPr="005658EC">
        <w:rPr>
          <w:rFonts w:ascii="Arial Narrow" w:eastAsia="Times New Roman" w:hAnsi="Arial Narrow" w:cs="Times New Roman"/>
          <w:lang w:eastAsia="id-ID"/>
        </w:rPr>
        <w:t>aktivitas</w:t>
      </w:r>
      <w:proofErr w:type="spellEnd"/>
      <w:r w:rsidRPr="005658EC">
        <w:rPr>
          <w:rFonts w:ascii="Arial Narrow" w:eastAsia="Times New Roman" w:hAnsi="Arial Narrow" w:cs="Times New Roman"/>
          <w:lang w:eastAsia="id-ID"/>
        </w:rPr>
        <w:t xml:space="preserve"> </w:t>
      </w:r>
      <w:proofErr w:type="spellStart"/>
      <w:r w:rsidRPr="005658EC">
        <w:rPr>
          <w:rFonts w:ascii="Arial Narrow" w:eastAsia="Times New Roman" w:hAnsi="Arial Narrow" w:cs="Times New Roman"/>
          <w:lang w:eastAsia="id-ID"/>
        </w:rPr>
        <w:t>matematis</w:t>
      </w:r>
      <w:proofErr w:type="spellEnd"/>
      <w:r w:rsidRPr="005658EC">
        <w:rPr>
          <w:rFonts w:ascii="Arial Narrow" w:eastAsia="Times New Roman" w:hAnsi="Arial Narrow" w:cs="Times New Roman"/>
          <w:lang w:eastAsia="id-ID"/>
        </w:rPr>
        <w:t xml:space="preserve">  </w:t>
      </w:r>
      <w:proofErr w:type="spellStart"/>
      <w:r w:rsidRPr="005658EC">
        <w:rPr>
          <w:rFonts w:ascii="Arial Narrow" w:eastAsia="Times New Roman" w:hAnsi="Arial Narrow" w:cs="Times New Roman"/>
          <w:lang w:eastAsia="id-ID"/>
        </w:rPr>
        <w:t>diantaranya</w:t>
      </w:r>
      <w:proofErr w:type="spellEnd"/>
      <w:r w:rsidRPr="005658EC">
        <w:rPr>
          <w:rFonts w:ascii="Arial Narrow" w:eastAsia="Times New Roman" w:hAnsi="Arial Narrow" w:cs="Times New Roman"/>
          <w:lang w:eastAsia="id-ID"/>
        </w:rPr>
        <w:t xml:space="preserve">: </w:t>
      </w:r>
      <w:r w:rsidRPr="005658EC">
        <w:rPr>
          <w:rFonts w:ascii="Arial Narrow" w:eastAsia="Times New Roman" w:hAnsi="Arial Narrow" w:cs="Times New Roman"/>
          <w:i/>
          <w:iCs/>
          <w:lang w:eastAsia="id-ID"/>
        </w:rPr>
        <w:t>(1) Counting</w:t>
      </w:r>
      <w:r w:rsidRPr="005658EC">
        <w:rPr>
          <w:rFonts w:ascii="Arial Narrow" w:eastAsia="Times New Roman" w:hAnsi="Arial Narrow" w:cs="Times New Roman"/>
          <w:lang w:eastAsia="id-ID"/>
        </w:rPr>
        <w:t xml:space="preserve"> </w:t>
      </w:r>
      <w:proofErr w:type="spellStart"/>
      <w:r w:rsidRPr="005658EC">
        <w:rPr>
          <w:rFonts w:ascii="Arial Narrow" w:eastAsia="Times New Roman" w:hAnsi="Arial Narrow" w:cs="Times New Roman"/>
          <w:lang w:eastAsia="id-ID"/>
        </w:rPr>
        <w:t>pada</w:t>
      </w:r>
      <w:proofErr w:type="spellEnd"/>
      <w:r w:rsidRPr="005658EC">
        <w:rPr>
          <w:rFonts w:ascii="Arial Narrow" w:eastAsia="Times New Roman" w:hAnsi="Arial Narrow" w:cs="Times New Roman"/>
          <w:lang w:eastAsia="id-ID"/>
        </w:rPr>
        <w:t xml:space="preserve"> </w:t>
      </w:r>
      <w:proofErr w:type="spellStart"/>
      <w:r w:rsidRPr="005658EC">
        <w:rPr>
          <w:rFonts w:ascii="Arial Narrow" w:eastAsia="Times New Roman" w:hAnsi="Arial Narrow" w:cs="Times New Roman"/>
          <w:lang w:eastAsia="id-ID"/>
        </w:rPr>
        <w:t>penyebutan</w:t>
      </w:r>
      <w:proofErr w:type="spellEnd"/>
      <w:r w:rsidRPr="005658EC">
        <w:rPr>
          <w:rFonts w:ascii="Arial Narrow" w:eastAsia="Times New Roman" w:hAnsi="Arial Narrow" w:cs="Times New Roman"/>
          <w:lang w:eastAsia="id-ID"/>
        </w:rPr>
        <w:t xml:space="preserve"> </w:t>
      </w:r>
      <w:proofErr w:type="spellStart"/>
      <w:r w:rsidRPr="005658EC">
        <w:rPr>
          <w:rFonts w:ascii="Arial Narrow" w:eastAsia="Times New Roman" w:hAnsi="Arial Narrow" w:cs="Times New Roman"/>
          <w:lang w:eastAsia="id-ID"/>
        </w:rPr>
        <w:t>bilangan</w:t>
      </w:r>
      <w:proofErr w:type="spellEnd"/>
      <w:r w:rsidRPr="005658EC">
        <w:rPr>
          <w:rFonts w:ascii="Arial Narrow" w:eastAsia="Times New Roman" w:hAnsi="Arial Narrow" w:cs="Times New Roman"/>
          <w:lang w:eastAsia="id-ID"/>
        </w:rPr>
        <w:t xml:space="preserve"> </w:t>
      </w:r>
      <w:proofErr w:type="spellStart"/>
      <w:r w:rsidRPr="005658EC">
        <w:rPr>
          <w:rFonts w:ascii="Arial Narrow" w:eastAsia="Times New Roman" w:hAnsi="Arial Narrow" w:cs="Times New Roman"/>
          <w:lang w:eastAsia="id-ID"/>
        </w:rPr>
        <w:t>pokok</w:t>
      </w:r>
      <w:proofErr w:type="spellEnd"/>
      <w:r w:rsidRPr="005658EC">
        <w:rPr>
          <w:rFonts w:ascii="Arial Narrow" w:eastAsia="Times New Roman" w:hAnsi="Arial Narrow" w:cs="Times New Roman"/>
          <w:lang w:eastAsia="id-ID"/>
        </w:rPr>
        <w:t xml:space="preserve"> </w:t>
      </w:r>
      <w:proofErr w:type="spellStart"/>
      <w:r w:rsidRPr="005658EC">
        <w:rPr>
          <w:rFonts w:ascii="Arial Narrow" w:eastAsia="Times New Roman" w:hAnsi="Arial Narrow" w:cs="Times New Roman"/>
          <w:lang w:eastAsia="id-ID"/>
        </w:rPr>
        <w:t>menggunakan</w:t>
      </w:r>
      <w:proofErr w:type="spellEnd"/>
      <w:r w:rsidRPr="005658EC">
        <w:rPr>
          <w:rFonts w:ascii="Arial Narrow" w:eastAsia="Times New Roman" w:hAnsi="Arial Narrow" w:cs="Times New Roman"/>
          <w:lang w:eastAsia="id-ID"/>
        </w:rPr>
        <w:t xml:space="preserve"> </w:t>
      </w:r>
      <w:proofErr w:type="spellStart"/>
      <w:r w:rsidRPr="005658EC">
        <w:rPr>
          <w:rFonts w:ascii="Arial Narrow" w:eastAsia="Times New Roman" w:hAnsi="Arial Narrow" w:cs="Times New Roman"/>
          <w:lang w:eastAsia="id-ID"/>
        </w:rPr>
        <w:t>bahasa</w:t>
      </w:r>
      <w:proofErr w:type="spellEnd"/>
      <w:r w:rsidRPr="005658EC">
        <w:rPr>
          <w:rFonts w:ascii="Arial Narrow" w:eastAsia="Times New Roman" w:hAnsi="Arial Narrow" w:cs="Times New Roman"/>
          <w:lang w:eastAsia="id-ID"/>
        </w:rPr>
        <w:t xml:space="preserve"> </w:t>
      </w:r>
      <w:proofErr w:type="spellStart"/>
      <w:r w:rsidRPr="005658EC">
        <w:rPr>
          <w:rFonts w:ascii="Arial Narrow" w:eastAsia="Times New Roman" w:hAnsi="Arial Narrow" w:cs="Times New Roman"/>
          <w:lang w:eastAsia="id-ID"/>
        </w:rPr>
        <w:t>daerah</w:t>
      </w:r>
      <w:proofErr w:type="spellEnd"/>
      <w:r w:rsidRPr="005658EC">
        <w:rPr>
          <w:rFonts w:ascii="Arial Narrow" w:eastAsia="Times New Roman" w:hAnsi="Arial Narrow" w:cs="Times New Roman"/>
          <w:lang w:eastAsia="id-ID"/>
        </w:rPr>
        <w:t xml:space="preserve"> (Bengkulu), </w:t>
      </w:r>
      <w:proofErr w:type="spellStart"/>
      <w:r w:rsidRPr="005658EC">
        <w:rPr>
          <w:rFonts w:ascii="Arial Narrow" w:eastAsia="Times New Roman" w:hAnsi="Arial Narrow" w:cs="Times New Roman"/>
          <w:lang w:eastAsia="id-ID"/>
        </w:rPr>
        <w:t>sedangkan</w:t>
      </w:r>
      <w:proofErr w:type="spellEnd"/>
      <w:r w:rsidRPr="005658EC">
        <w:rPr>
          <w:rFonts w:ascii="Arial Narrow" w:eastAsia="Times New Roman" w:hAnsi="Arial Narrow" w:cs="Times New Roman"/>
          <w:lang w:eastAsia="id-ID"/>
        </w:rPr>
        <w:t xml:space="preserve"> </w:t>
      </w:r>
      <w:proofErr w:type="spellStart"/>
      <w:r w:rsidRPr="005658EC">
        <w:rPr>
          <w:rFonts w:ascii="Arial Narrow" w:eastAsia="Times New Roman" w:hAnsi="Arial Narrow" w:cs="Times New Roman"/>
          <w:lang w:eastAsia="id-ID"/>
        </w:rPr>
        <w:t>aktivitas</w:t>
      </w:r>
      <w:proofErr w:type="spellEnd"/>
      <w:r w:rsidRPr="005658EC">
        <w:rPr>
          <w:rFonts w:ascii="Arial Narrow" w:eastAsia="Times New Roman" w:hAnsi="Arial Narrow" w:cs="Times New Roman"/>
          <w:lang w:eastAsia="id-ID"/>
        </w:rPr>
        <w:t xml:space="preserve"> </w:t>
      </w:r>
      <w:proofErr w:type="spellStart"/>
      <w:r w:rsidRPr="005658EC">
        <w:rPr>
          <w:rFonts w:ascii="Arial Narrow" w:eastAsia="Times New Roman" w:hAnsi="Arial Narrow" w:cs="Times New Roman"/>
          <w:lang w:eastAsia="id-ID"/>
        </w:rPr>
        <w:t>menghitung</w:t>
      </w:r>
      <w:proofErr w:type="spellEnd"/>
      <w:r w:rsidRPr="005658EC">
        <w:rPr>
          <w:rFonts w:ascii="Arial Narrow" w:eastAsia="Times New Roman" w:hAnsi="Arial Narrow" w:cs="Times New Roman"/>
          <w:lang w:eastAsia="id-ID"/>
        </w:rPr>
        <w:t xml:space="preserve"> </w:t>
      </w:r>
      <w:proofErr w:type="spellStart"/>
      <w:r w:rsidRPr="005658EC">
        <w:rPr>
          <w:rFonts w:ascii="Arial Narrow" w:eastAsia="Times New Roman" w:hAnsi="Arial Narrow" w:cs="Times New Roman"/>
          <w:lang w:eastAsia="id-ID"/>
        </w:rPr>
        <w:t>dijumpai</w:t>
      </w:r>
      <w:proofErr w:type="spellEnd"/>
      <w:r w:rsidRPr="005658EC">
        <w:rPr>
          <w:rFonts w:ascii="Arial Narrow" w:eastAsia="Times New Roman" w:hAnsi="Arial Narrow" w:cs="Times New Roman"/>
          <w:lang w:eastAsia="id-ID"/>
        </w:rPr>
        <w:t xml:space="preserve"> </w:t>
      </w:r>
      <w:proofErr w:type="spellStart"/>
      <w:r w:rsidRPr="005658EC">
        <w:rPr>
          <w:rFonts w:ascii="Arial Narrow" w:eastAsia="Times New Roman" w:hAnsi="Arial Narrow" w:cs="Times New Roman"/>
          <w:lang w:eastAsia="id-ID"/>
        </w:rPr>
        <w:t>melibatkan</w:t>
      </w:r>
      <w:proofErr w:type="spellEnd"/>
      <w:r w:rsidRPr="005658EC">
        <w:rPr>
          <w:rFonts w:ascii="Arial Narrow" w:eastAsia="Times New Roman" w:hAnsi="Arial Narrow" w:cs="Times New Roman"/>
          <w:lang w:eastAsia="id-ID"/>
        </w:rPr>
        <w:t xml:space="preserve"> </w:t>
      </w:r>
      <w:proofErr w:type="spellStart"/>
      <w:r w:rsidRPr="005658EC">
        <w:rPr>
          <w:rFonts w:ascii="Arial Narrow" w:eastAsia="Times New Roman" w:hAnsi="Arial Narrow" w:cs="Times New Roman"/>
          <w:lang w:eastAsia="id-ID"/>
        </w:rPr>
        <w:t>operasi</w:t>
      </w:r>
      <w:proofErr w:type="spellEnd"/>
      <w:r w:rsidRPr="005658EC">
        <w:rPr>
          <w:rFonts w:ascii="Arial Narrow" w:eastAsia="Times New Roman" w:hAnsi="Arial Narrow" w:cs="Times New Roman"/>
          <w:lang w:eastAsia="id-ID"/>
        </w:rPr>
        <w:t xml:space="preserve"> </w:t>
      </w:r>
      <w:proofErr w:type="spellStart"/>
      <w:r w:rsidRPr="005658EC">
        <w:rPr>
          <w:rFonts w:ascii="Arial Narrow" w:eastAsia="Times New Roman" w:hAnsi="Arial Narrow" w:cs="Times New Roman"/>
          <w:lang w:eastAsia="id-ID"/>
        </w:rPr>
        <w:t>hitung</w:t>
      </w:r>
      <w:proofErr w:type="spellEnd"/>
      <w:r w:rsidRPr="005658EC">
        <w:rPr>
          <w:rFonts w:ascii="Arial Narrow" w:eastAsia="Times New Roman" w:hAnsi="Arial Narrow" w:cs="Times New Roman"/>
          <w:lang w:eastAsia="id-ID"/>
        </w:rPr>
        <w:t xml:space="preserve"> </w:t>
      </w:r>
      <w:proofErr w:type="spellStart"/>
      <w:r w:rsidRPr="005658EC">
        <w:rPr>
          <w:rFonts w:ascii="Arial Narrow" w:eastAsia="Times New Roman" w:hAnsi="Arial Narrow" w:cs="Times New Roman"/>
          <w:lang w:eastAsia="id-ID"/>
        </w:rPr>
        <w:t>yakni</w:t>
      </w:r>
      <w:proofErr w:type="spellEnd"/>
      <w:r w:rsidRPr="005658EC">
        <w:rPr>
          <w:rFonts w:ascii="Arial Narrow" w:eastAsia="Times New Roman" w:hAnsi="Arial Narrow" w:cs="Times New Roman"/>
          <w:lang w:eastAsia="id-ID"/>
        </w:rPr>
        <w:t xml:space="preserve">, </w:t>
      </w:r>
      <w:proofErr w:type="spellStart"/>
      <w:r w:rsidRPr="005658EC">
        <w:rPr>
          <w:rFonts w:ascii="Arial Narrow" w:eastAsia="Times New Roman" w:hAnsi="Arial Narrow" w:cs="Times New Roman"/>
          <w:lang w:eastAsia="id-ID"/>
        </w:rPr>
        <w:t>penjumlahan</w:t>
      </w:r>
      <w:proofErr w:type="spellEnd"/>
      <w:r w:rsidRPr="005658EC">
        <w:rPr>
          <w:rFonts w:ascii="Arial Narrow" w:eastAsia="Times New Roman" w:hAnsi="Arial Narrow" w:cs="Times New Roman"/>
          <w:lang w:eastAsia="id-ID"/>
        </w:rPr>
        <w:t xml:space="preserve">, </w:t>
      </w:r>
      <w:proofErr w:type="spellStart"/>
      <w:r w:rsidRPr="005658EC">
        <w:rPr>
          <w:rFonts w:ascii="Arial Narrow" w:eastAsia="Times New Roman" w:hAnsi="Arial Narrow" w:cs="Times New Roman"/>
          <w:lang w:eastAsia="id-ID"/>
        </w:rPr>
        <w:t>pengurangan</w:t>
      </w:r>
      <w:proofErr w:type="spellEnd"/>
      <w:r w:rsidRPr="005658EC">
        <w:rPr>
          <w:rFonts w:ascii="Arial Narrow" w:eastAsia="Times New Roman" w:hAnsi="Arial Narrow" w:cs="Times New Roman"/>
          <w:lang w:eastAsia="id-ID"/>
        </w:rPr>
        <w:t xml:space="preserve">, </w:t>
      </w:r>
      <w:proofErr w:type="spellStart"/>
      <w:r w:rsidRPr="005658EC">
        <w:rPr>
          <w:rFonts w:ascii="Arial Narrow" w:eastAsia="Times New Roman" w:hAnsi="Arial Narrow" w:cs="Times New Roman"/>
          <w:lang w:eastAsia="id-ID"/>
        </w:rPr>
        <w:t>perkalian</w:t>
      </w:r>
      <w:proofErr w:type="spellEnd"/>
      <w:r w:rsidRPr="005658EC">
        <w:rPr>
          <w:rFonts w:ascii="Arial Narrow" w:eastAsia="Times New Roman" w:hAnsi="Arial Narrow" w:cs="Times New Roman"/>
          <w:lang w:eastAsia="id-ID"/>
        </w:rPr>
        <w:t xml:space="preserve">, </w:t>
      </w:r>
      <w:proofErr w:type="spellStart"/>
      <w:r w:rsidRPr="005658EC">
        <w:rPr>
          <w:rFonts w:ascii="Arial Narrow" w:eastAsia="Times New Roman" w:hAnsi="Arial Narrow" w:cs="Times New Roman"/>
          <w:lang w:eastAsia="id-ID"/>
        </w:rPr>
        <w:t>dan</w:t>
      </w:r>
      <w:proofErr w:type="spellEnd"/>
      <w:r w:rsidRPr="005658EC">
        <w:rPr>
          <w:rFonts w:ascii="Arial Narrow" w:eastAsia="Times New Roman" w:hAnsi="Arial Narrow" w:cs="Times New Roman"/>
          <w:lang w:eastAsia="id-ID"/>
        </w:rPr>
        <w:t xml:space="preserve"> </w:t>
      </w:r>
      <w:proofErr w:type="spellStart"/>
      <w:r w:rsidRPr="005658EC">
        <w:rPr>
          <w:rFonts w:ascii="Arial Narrow" w:eastAsia="Times New Roman" w:hAnsi="Arial Narrow" w:cs="Times New Roman"/>
          <w:lang w:eastAsia="id-ID"/>
        </w:rPr>
        <w:t>pembagian</w:t>
      </w:r>
      <w:proofErr w:type="spellEnd"/>
      <w:r w:rsidRPr="005658EC">
        <w:rPr>
          <w:rFonts w:ascii="Arial Narrow" w:eastAsia="Times New Roman" w:hAnsi="Arial Narrow" w:cs="Times New Roman"/>
          <w:lang w:eastAsia="id-ID"/>
        </w:rPr>
        <w:t xml:space="preserve">; </w:t>
      </w:r>
      <w:r w:rsidRPr="005658EC">
        <w:rPr>
          <w:rFonts w:ascii="Arial Narrow" w:eastAsia="Times New Roman" w:hAnsi="Arial Narrow" w:cs="Times New Roman"/>
          <w:i/>
          <w:iCs/>
          <w:lang w:eastAsia="id-ID"/>
        </w:rPr>
        <w:t>(2) Locating</w:t>
      </w:r>
      <w:r w:rsidRPr="005658EC">
        <w:rPr>
          <w:rFonts w:ascii="Arial Narrow" w:eastAsia="Times New Roman" w:hAnsi="Arial Narrow" w:cs="Times New Roman"/>
          <w:lang w:eastAsia="id-ID"/>
        </w:rPr>
        <w:t xml:space="preserve"> </w:t>
      </w:r>
      <w:proofErr w:type="spellStart"/>
      <w:r w:rsidRPr="005658EC">
        <w:rPr>
          <w:rFonts w:ascii="Arial Narrow" w:eastAsia="Times New Roman" w:hAnsi="Arial Narrow" w:cs="Times New Roman"/>
          <w:lang w:eastAsia="id-ID"/>
        </w:rPr>
        <w:t>pada</w:t>
      </w:r>
      <w:proofErr w:type="spellEnd"/>
      <w:r w:rsidRPr="005658EC">
        <w:rPr>
          <w:rFonts w:ascii="Arial Narrow" w:eastAsia="Times New Roman" w:hAnsi="Arial Narrow" w:cs="Times New Roman"/>
          <w:lang w:eastAsia="id-ID"/>
        </w:rPr>
        <w:t xml:space="preserve"> </w:t>
      </w:r>
      <w:proofErr w:type="spellStart"/>
      <w:r w:rsidRPr="005658EC">
        <w:rPr>
          <w:rFonts w:ascii="Arial Narrow" w:eastAsia="Times New Roman" w:hAnsi="Arial Narrow" w:cs="Times New Roman"/>
          <w:lang w:eastAsia="id-ID"/>
        </w:rPr>
        <w:t>sistem</w:t>
      </w:r>
      <w:proofErr w:type="spellEnd"/>
      <w:r w:rsidRPr="005658EC">
        <w:rPr>
          <w:rFonts w:ascii="Arial Narrow" w:eastAsia="Times New Roman" w:hAnsi="Arial Narrow" w:cs="Times New Roman"/>
          <w:lang w:eastAsia="id-ID"/>
        </w:rPr>
        <w:t xml:space="preserve"> </w:t>
      </w:r>
      <w:proofErr w:type="spellStart"/>
      <w:r w:rsidRPr="005658EC">
        <w:rPr>
          <w:rFonts w:ascii="Arial Narrow" w:eastAsia="Times New Roman" w:hAnsi="Arial Narrow" w:cs="Times New Roman"/>
          <w:lang w:eastAsia="id-ID"/>
        </w:rPr>
        <w:t>zonasi</w:t>
      </w:r>
      <w:proofErr w:type="spellEnd"/>
      <w:r w:rsidRPr="005658EC">
        <w:rPr>
          <w:rFonts w:ascii="Arial Narrow" w:eastAsia="Times New Roman" w:hAnsi="Arial Narrow" w:cs="Times New Roman"/>
          <w:lang w:eastAsia="id-ID"/>
        </w:rPr>
        <w:t xml:space="preserve"> </w:t>
      </w:r>
      <w:proofErr w:type="spellStart"/>
      <w:r w:rsidRPr="005658EC">
        <w:rPr>
          <w:rFonts w:ascii="Arial Narrow" w:eastAsia="Times New Roman" w:hAnsi="Arial Narrow" w:cs="Times New Roman"/>
          <w:lang w:eastAsia="id-ID"/>
        </w:rPr>
        <w:t>dengan</w:t>
      </w:r>
      <w:proofErr w:type="spellEnd"/>
      <w:r w:rsidRPr="005658EC">
        <w:rPr>
          <w:rFonts w:ascii="Arial Narrow" w:eastAsia="Times New Roman" w:hAnsi="Arial Narrow" w:cs="Times New Roman"/>
          <w:lang w:eastAsia="id-ID"/>
        </w:rPr>
        <w:t xml:space="preserve"> </w:t>
      </w:r>
      <w:proofErr w:type="spellStart"/>
      <w:r w:rsidRPr="005658EC">
        <w:rPr>
          <w:rFonts w:ascii="Arial Narrow" w:eastAsia="Times New Roman" w:hAnsi="Arial Narrow" w:cs="Times New Roman"/>
          <w:lang w:eastAsia="id-ID"/>
        </w:rPr>
        <w:t>membagi</w:t>
      </w:r>
      <w:proofErr w:type="spellEnd"/>
      <w:r w:rsidRPr="005658EC">
        <w:rPr>
          <w:rFonts w:ascii="Arial Narrow" w:eastAsia="Times New Roman" w:hAnsi="Arial Narrow" w:cs="Times New Roman"/>
          <w:lang w:eastAsia="id-ID"/>
        </w:rPr>
        <w:t xml:space="preserve"> </w:t>
      </w:r>
      <w:proofErr w:type="spellStart"/>
      <w:r w:rsidRPr="005658EC">
        <w:rPr>
          <w:rFonts w:ascii="Arial Narrow" w:eastAsia="Times New Roman" w:hAnsi="Arial Narrow" w:cs="Times New Roman"/>
          <w:lang w:eastAsia="id-ID"/>
        </w:rPr>
        <w:t>pasar</w:t>
      </w:r>
      <w:proofErr w:type="spellEnd"/>
      <w:r w:rsidRPr="005658EC">
        <w:rPr>
          <w:rFonts w:ascii="Arial Narrow" w:eastAsia="Times New Roman" w:hAnsi="Arial Narrow" w:cs="Times New Roman"/>
          <w:lang w:eastAsia="id-ID"/>
        </w:rPr>
        <w:t xml:space="preserve"> </w:t>
      </w:r>
      <w:proofErr w:type="spellStart"/>
      <w:r w:rsidRPr="005658EC">
        <w:rPr>
          <w:rFonts w:ascii="Arial Narrow" w:eastAsia="Times New Roman" w:hAnsi="Arial Narrow" w:cs="Times New Roman"/>
          <w:lang w:eastAsia="id-ID"/>
        </w:rPr>
        <w:t>menjadi</w:t>
      </w:r>
      <w:proofErr w:type="spellEnd"/>
      <w:r w:rsidRPr="005658EC">
        <w:rPr>
          <w:rFonts w:ascii="Arial Narrow" w:eastAsia="Times New Roman" w:hAnsi="Arial Narrow" w:cs="Times New Roman"/>
          <w:lang w:eastAsia="id-ID"/>
        </w:rPr>
        <w:t xml:space="preserve"> </w:t>
      </w:r>
      <w:proofErr w:type="spellStart"/>
      <w:r w:rsidRPr="005658EC">
        <w:rPr>
          <w:rFonts w:ascii="Arial Narrow" w:eastAsia="Times New Roman" w:hAnsi="Arial Narrow" w:cs="Times New Roman"/>
          <w:lang w:eastAsia="id-ID"/>
        </w:rPr>
        <w:t>dua</w:t>
      </w:r>
      <w:proofErr w:type="spellEnd"/>
      <w:r w:rsidRPr="005658EC">
        <w:rPr>
          <w:rFonts w:ascii="Arial Narrow" w:eastAsia="Times New Roman" w:hAnsi="Arial Narrow" w:cs="Times New Roman"/>
          <w:lang w:eastAsia="id-ID"/>
        </w:rPr>
        <w:t xml:space="preserve"> </w:t>
      </w:r>
      <w:proofErr w:type="spellStart"/>
      <w:r w:rsidRPr="005658EC">
        <w:rPr>
          <w:rFonts w:ascii="Arial Narrow" w:eastAsia="Times New Roman" w:hAnsi="Arial Narrow" w:cs="Times New Roman"/>
          <w:lang w:eastAsia="id-ID"/>
        </w:rPr>
        <w:t>bagian</w:t>
      </w:r>
      <w:proofErr w:type="spellEnd"/>
      <w:r w:rsidRPr="005658EC">
        <w:rPr>
          <w:rFonts w:ascii="Arial Narrow" w:eastAsia="Times New Roman" w:hAnsi="Arial Narrow" w:cs="Times New Roman"/>
          <w:lang w:eastAsia="id-ID"/>
        </w:rPr>
        <w:t xml:space="preserve">, </w:t>
      </w:r>
      <w:proofErr w:type="spellStart"/>
      <w:r w:rsidRPr="005658EC">
        <w:rPr>
          <w:rFonts w:ascii="Arial Narrow" w:eastAsia="Times New Roman" w:hAnsi="Arial Narrow" w:cs="Times New Roman"/>
          <w:lang w:eastAsia="id-ID"/>
        </w:rPr>
        <w:t>yakni</w:t>
      </w:r>
      <w:proofErr w:type="spellEnd"/>
      <w:r w:rsidRPr="005658EC">
        <w:rPr>
          <w:rFonts w:ascii="Arial Narrow" w:eastAsia="Times New Roman" w:hAnsi="Arial Narrow" w:cs="Times New Roman"/>
          <w:lang w:eastAsia="id-ID"/>
        </w:rPr>
        <w:t xml:space="preserve"> </w:t>
      </w:r>
      <w:proofErr w:type="spellStart"/>
      <w:r w:rsidRPr="005658EC">
        <w:rPr>
          <w:rFonts w:ascii="Arial Narrow" w:eastAsia="Times New Roman" w:hAnsi="Arial Narrow" w:cs="Times New Roman"/>
          <w:lang w:eastAsia="id-ID"/>
        </w:rPr>
        <w:t>pasar</w:t>
      </w:r>
      <w:proofErr w:type="spellEnd"/>
      <w:r w:rsidRPr="005658EC">
        <w:rPr>
          <w:rFonts w:ascii="Arial Narrow" w:eastAsia="Times New Roman" w:hAnsi="Arial Narrow" w:cs="Times New Roman"/>
          <w:lang w:eastAsia="id-ID"/>
        </w:rPr>
        <w:t xml:space="preserve"> </w:t>
      </w:r>
      <w:proofErr w:type="spellStart"/>
      <w:r w:rsidRPr="005658EC">
        <w:rPr>
          <w:rFonts w:ascii="Arial Narrow" w:eastAsia="Times New Roman" w:hAnsi="Arial Narrow" w:cs="Times New Roman"/>
          <w:lang w:eastAsia="id-ID"/>
        </w:rPr>
        <w:t>basah</w:t>
      </w:r>
      <w:proofErr w:type="spellEnd"/>
      <w:r w:rsidRPr="005658EC">
        <w:rPr>
          <w:rFonts w:ascii="Arial Narrow" w:eastAsia="Times New Roman" w:hAnsi="Arial Narrow" w:cs="Times New Roman"/>
          <w:lang w:eastAsia="id-ID"/>
        </w:rPr>
        <w:t xml:space="preserve">  </w:t>
      </w:r>
      <w:proofErr w:type="spellStart"/>
      <w:r w:rsidRPr="005658EC">
        <w:rPr>
          <w:rFonts w:ascii="Arial Narrow" w:eastAsia="Times New Roman" w:hAnsi="Arial Narrow" w:cs="Times New Roman"/>
          <w:lang w:eastAsia="id-ID"/>
        </w:rPr>
        <w:t>dan</w:t>
      </w:r>
      <w:proofErr w:type="spellEnd"/>
      <w:r w:rsidRPr="005658EC">
        <w:rPr>
          <w:rFonts w:ascii="Arial Narrow" w:eastAsia="Times New Roman" w:hAnsi="Arial Narrow" w:cs="Times New Roman"/>
          <w:lang w:eastAsia="id-ID"/>
        </w:rPr>
        <w:t xml:space="preserve"> </w:t>
      </w:r>
      <w:proofErr w:type="spellStart"/>
      <w:r w:rsidRPr="005658EC">
        <w:rPr>
          <w:rFonts w:ascii="Arial Narrow" w:eastAsia="Times New Roman" w:hAnsi="Arial Narrow" w:cs="Times New Roman"/>
          <w:lang w:eastAsia="id-ID"/>
        </w:rPr>
        <w:t>pasar</w:t>
      </w:r>
      <w:proofErr w:type="spellEnd"/>
      <w:r w:rsidRPr="005658EC">
        <w:rPr>
          <w:rFonts w:ascii="Arial Narrow" w:eastAsia="Times New Roman" w:hAnsi="Arial Narrow" w:cs="Times New Roman"/>
          <w:lang w:eastAsia="id-ID"/>
        </w:rPr>
        <w:t xml:space="preserve"> </w:t>
      </w:r>
      <w:proofErr w:type="spellStart"/>
      <w:r w:rsidRPr="005658EC">
        <w:rPr>
          <w:rFonts w:ascii="Arial Narrow" w:eastAsia="Times New Roman" w:hAnsi="Arial Narrow" w:cs="Times New Roman"/>
          <w:lang w:eastAsia="id-ID"/>
        </w:rPr>
        <w:t>kering</w:t>
      </w:r>
      <w:proofErr w:type="spellEnd"/>
      <w:r w:rsidRPr="005658EC">
        <w:rPr>
          <w:rFonts w:ascii="Arial Narrow" w:eastAsia="Times New Roman" w:hAnsi="Arial Narrow" w:cs="Times New Roman"/>
          <w:lang w:eastAsia="id-ID"/>
        </w:rPr>
        <w:t xml:space="preserve"> yang </w:t>
      </w:r>
      <w:proofErr w:type="spellStart"/>
      <w:r w:rsidRPr="005658EC">
        <w:rPr>
          <w:rFonts w:ascii="Arial Narrow" w:eastAsia="Times New Roman" w:hAnsi="Arial Narrow" w:cs="Times New Roman"/>
          <w:lang w:eastAsia="id-ID"/>
        </w:rPr>
        <w:t>dialokasikan</w:t>
      </w:r>
      <w:proofErr w:type="spellEnd"/>
      <w:r w:rsidRPr="005658EC">
        <w:rPr>
          <w:rFonts w:ascii="Arial Narrow" w:eastAsia="Times New Roman" w:hAnsi="Arial Narrow" w:cs="Times New Roman"/>
          <w:lang w:eastAsia="id-ID"/>
        </w:rPr>
        <w:t xml:space="preserve"> </w:t>
      </w:r>
      <w:proofErr w:type="spellStart"/>
      <w:r w:rsidRPr="005658EC">
        <w:rPr>
          <w:rFonts w:ascii="Arial Narrow" w:eastAsia="Times New Roman" w:hAnsi="Arial Narrow" w:cs="Times New Roman"/>
          <w:lang w:eastAsia="id-ID"/>
        </w:rPr>
        <w:t>secara</w:t>
      </w:r>
      <w:proofErr w:type="spellEnd"/>
      <w:r w:rsidRPr="005658EC">
        <w:rPr>
          <w:rFonts w:ascii="Arial Narrow" w:eastAsia="Times New Roman" w:hAnsi="Arial Narrow" w:cs="Times New Roman"/>
          <w:lang w:eastAsia="id-ID"/>
        </w:rPr>
        <w:t xml:space="preserve"> </w:t>
      </w:r>
      <w:proofErr w:type="spellStart"/>
      <w:r w:rsidRPr="005658EC">
        <w:rPr>
          <w:rFonts w:ascii="Arial Narrow" w:eastAsia="Times New Roman" w:hAnsi="Arial Narrow" w:cs="Times New Roman"/>
          <w:lang w:eastAsia="id-ID"/>
        </w:rPr>
        <w:t>terpisah</w:t>
      </w:r>
      <w:proofErr w:type="spellEnd"/>
      <w:r w:rsidRPr="005658EC">
        <w:rPr>
          <w:rFonts w:ascii="Arial Narrow" w:eastAsia="Times New Roman" w:hAnsi="Arial Narrow" w:cs="Times New Roman"/>
          <w:lang w:eastAsia="id-ID"/>
        </w:rPr>
        <w:t xml:space="preserve">; </w:t>
      </w:r>
      <w:r w:rsidRPr="005658EC">
        <w:rPr>
          <w:rFonts w:ascii="Arial Narrow" w:eastAsia="Times New Roman" w:hAnsi="Arial Narrow" w:cs="Times New Roman"/>
          <w:i/>
          <w:iCs/>
          <w:lang w:eastAsia="id-ID"/>
        </w:rPr>
        <w:t>(3) Measuring</w:t>
      </w:r>
      <w:r w:rsidRPr="005658EC">
        <w:rPr>
          <w:rFonts w:ascii="Arial Narrow" w:eastAsia="Times New Roman" w:hAnsi="Arial Narrow" w:cs="Times New Roman"/>
          <w:lang w:eastAsia="id-ID"/>
        </w:rPr>
        <w:t xml:space="preserve">  </w:t>
      </w:r>
      <w:proofErr w:type="spellStart"/>
      <w:r w:rsidRPr="005658EC">
        <w:rPr>
          <w:rFonts w:ascii="Arial Narrow" w:eastAsia="Times New Roman" w:hAnsi="Arial Narrow" w:cs="Times New Roman"/>
          <w:lang w:eastAsia="id-ID"/>
        </w:rPr>
        <w:t>pada</w:t>
      </w:r>
      <w:proofErr w:type="spellEnd"/>
      <w:r w:rsidRPr="005658EC">
        <w:rPr>
          <w:rFonts w:ascii="Arial Narrow" w:eastAsia="Times New Roman" w:hAnsi="Arial Narrow" w:cs="Times New Roman"/>
          <w:lang w:eastAsia="id-ID"/>
        </w:rPr>
        <w:t xml:space="preserve"> </w:t>
      </w:r>
      <w:proofErr w:type="spellStart"/>
      <w:r w:rsidRPr="005658EC">
        <w:rPr>
          <w:rFonts w:ascii="Arial Narrow" w:eastAsia="Times New Roman" w:hAnsi="Arial Narrow" w:cs="Times New Roman"/>
          <w:lang w:eastAsia="id-ID"/>
        </w:rPr>
        <w:t>sistem</w:t>
      </w:r>
      <w:proofErr w:type="spellEnd"/>
      <w:r w:rsidRPr="005658EC">
        <w:rPr>
          <w:rFonts w:ascii="Arial Narrow" w:eastAsia="Times New Roman" w:hAnsi="Arial Narrow" w:cs="Times New Roman"/>
          <w:lang w:eastAsia="id-ID"/>
        </w:rPr>
        <w:t xml:space="preserve"> </w:t>
      </w:r>
      <w:proofErr w:type="spellStart"/>
      <w:r w:rsidRPr="005658EC">
        <w:rPr>
          <w:rFonts w:ascii="Arial Narrow" w:eastAsia="Times New Roman" w:hAnsi="Arial Narrow" w:cs="Times New Roman"/>
          <w:lang w:eastAsia="id-ID"/>
        </w:rPr>
        <w:t>takar</w:t>
      </w:r>
      <w:proofErr w:type="spellEnd"/>
      <w:r w:rsidRPr="005658EC">
        <w:rPr>
          <w:rFonts w:ascii="Arial Narrow" w:eastAsia="Times New Roman" w:hAnsi="Arial Narrow" w:cs="Times New Roman"/>
          <w:lang w:eastAsia="id-ID"/>
        </w:rPr>
        <w:t xml:space="preserve">, </w:t>
      </w:r>
      <w:proofErr w:type="spellStart"/>
      <w:r w:rsidRPr="005658EC">
        <w:rPr>
          <w:rFonts w:ascii="Arial Narrow" w:eastAsia="Times New Roman" w:hAnsi="Arial Narrow" w:cs="Times New Roman"/>
          <w:lang w:eastAsia="id-ID"/>
        </w:rPr>
        <w:t>pengukuran</w:t>
      </w:r>
      <w:proofErr w:type="spellEnd"/>
      <w:r w:rsidRPr="005658EC">
        <w:rPr>
          <w:rFonts w:ascii="Arial Narrow" w:eastAsia="Times New Roman" w:hAnsi="Arial Narrow" w:cs="Times New Roman"/>
          <w:lang w:eastAsia="id-ID"/>
        </w:rPr>
        <w:t xml:space="preserve"> </w:t>
      </w:r>
      <w:proofErr w:type="spellStart"/>
      <w:r w:rsidRPr="005658EC">
        <w:rPr>
          <w:rFonts w:ascii="Arial Narrow" w:eastAsia="Times New Roman" w:hAnsi="Arial Narrow" w:cs="Times New Roman"/>
          <w:lang w:eastAsia="id-ID"/>
        </w:rPr>
        <w:t>dan</w:t>
      </w:r>
      <w:proofErr w:type="spellEnd"/>
      <w:r w:rsidRPr="005658EC">
        <w:rPr>
          <w:rFonts w:ascii="Arial Narrow" w:eastAsia="Times New Roman" w:hAnsi="Arial Narrow" w:cs="Times New Roman"/>
          <w:lang w:eastAsia="id-ID"/>
        </w:rPr>
        <w:t xml:space="preserve"> </w:t>
      </w:r>
      <w:proofErr w:type="spellStart"/>
      <w:r w:rsidRPr="005658EC">
        <w:rPr>
          <w:rFonts w:ascii="Arial Narrow" w:eastAsia="Times New Roman" w:hAnsi="Arial Narrow" w:cs="Times New Roman"/>
          <w:lang w:eastAsia="id-ID"/>
        </w:rPr>
        <w:t>akurasi</w:t>
      </w:r>
      <w:proofErr w:type="spellEnd"/>
      <w:r w:rsidRPr="005658EC">
        <w:rPr>
          <w:rFonts w:ascii="Arial Narrow" w:eastAsia="Times New Roman" w:hAnsi="Arial Narrow" w:cs="Times New Roman"/>
          <w:lang w:eastAsia="id-ID"/>
        </w:rPr>
        <w:t xml:space="preserve">, </w:t>
      </w:r>
      <w:proofErr w:type="spellStart"/>
      <w:r w:rsidRPr="005658EC">
        <w:rPr>
          <w:rFonts w:ascii="Arial Narrow" w:eastAsia="Times New Roman" w:hAnsi="Arial Narrow" w:cs="Times New Roman"/>
          <w:lang w:eastAsia="id-ID"/>
        </w:rPr>
        <w:t>mengurutkan</w:t>
      </w:r>
      <w:proofErr w:type="spellEnd"/>
      <w:r w:rsidRPr="005658EC">
        <w:rPr>
          <w:rFonts w:ascii="Arial Narrow" w:eastAsia="Times New Roman" w:hAnsi="Arial Narrow" w:cs="Times New Roman"/>
          <w:lang w:eastAsia="id-ID"/>
        </w:rPr>
        <w:t xml:space="preserve">, </w:t>
      </w:r>
      <w:proofErr w:type="spellStart"/>
      <w:r w:rsidRPr="005658EC">
        <w:rPr>
          <w:rFonts w:ascii="Arial Narrow" w:eastAsia="Times New Roman" w:hAnsi="Arial Narrow" w:cs="Times New Roman"/>
          <w:lang w:eastAsia="id-ID"/>
        </w:rPr>
        <w:t>membandingkan</w:t>
      </w:r>
      <w:proofErr w:type="spellEnd"/>
      <w:r w:rsidRPr="005658EC">
        <w:rPr>
          <w:rFonts w:ascii="Arial Narrow" w:eastAsia="Times New Roman" w:hAnsi="Arial Narrow" w:cs="Times New Roman"/>
          <w:lang w:eastAsia="id-ID"/>
        </w:rPr>
        <w:t xml:space="preserve"> </w:t>
      </w:r>
      <w:proofErr w:type="spellStart"/>
      <w:r w:rsidRPr="005658EC">
        <w:rPr>
          <w:rFonts w:ascii="Arial Narrow" w:eastAsia="Times New Roman" w:hAnsi="Arial Narrow" w:cs="Times New Roman"/>
          <w:lang w:eastAsia="id-ID"/>
        </w:rPr>
        <w:t>dan</w:t>
      </w:r>
      <w:proofErr w:type="spellEnd"/>
      <w:r w:rsidRPr="005658EC">
        <w:rPr>
          <w:rFonts w:ascii="Arial Narrow" w:eastAsia="Times New Roman" w:hAnsi="Arial Narrow" w:cs="Times New Roman"/>
          <w:lang w:eastAsia="id-ID"/>
        </w:rPr>
        <w:t xml:space="preserve"> </w:t>
      </w:r>
      <w:proofErr w:type="spellStart"/>
      <w:r w:rsidRPr="005658EC">
        <w:rPr>
          <w:rFonts w:ascii="Arial Narrow" w:eastAsia="Times New Roman" w:hAnsi="Arial Narrow" w:cs="Times New Roman"/>
          <w:lang w:eastAsia="id-ID"/>
        </w:rPr>
        <w:t>mengestimasi</w:t>
      </w:r>
      <w:proofErr w:type="spellEnd"/>
      <w:r w:rsidRPr="005658EC">
        <w:rPr>
          <w:rFonts w:ascii="Arial Narrow" w:eastAsia="Times New Roman" w:hAnsi="Arial Narrow" w:cs="Times New Roman"/>
          <w:lang w:eastAsia="id-ID"/>
        </w:rPr>
        <w:t xml:space="preserve"> </w:t>
      </w:r>
      <w:proofErr w:type="spellStart"/>
      <w:r w:rsidRPr="005658EC">
        <w:rPr>
          <w:rFonts w:ascii="Arial Narrow" w:eastAsia="Times New Roman" w:hAnsi="Arial Narrow" w:cs="Times New Roman"/>
          <w:lang w:eastAsia="id-ID"/>
        </w:rPr>
        <w:t>berdasarkan</w:t>
      </w:r>
      <w:proofErr w:type="spellEnd"/>
      <w:r w:rsidRPr="005658EC">
        <w:rPr>
          <w:rFonts w:ascii="Arial Narrow" w:eastAsia="Times New Roman" w:hAnsi="Arial Narrow" w:cs="Times New Roman"/>
          <w:lang w:eastAsia="id-ID"/>
        </w:rPr>
        <w:t xml:space="preserve"> </w:t>
      </w:r>
      <w:proofErr w:type="spellStart"/>
      <w:r w:rsidRPr="005658EC">
        <w:rPr>
          <w:rFonts w:ascii="Arial Narrow" w:eastAsia="Times New Roman" w:hAnsi="Arial Narrow" w:cs="Times New Roman"/>
          <w:lang w:eastAsia="id-ID"/>
        </w:rPr>
        <w:t>kualitas</w:t>
      </w:r>
      <w:proofErr w:type="spellEnd"/>
      <w:r w:rsidRPr="005658EC">
        <w:rPr>
          <w:rFonts w:ascii="Arial Narrow" w:eastAsia="Times New Roman" w:hAnsi="Arial Narrow" w:cs="Times New Roman"/>
          <w:lang w:eastAsia="id-ID"/>
        </w:rPr>
        <w:t xml:space="preserve">, </w:t>
      </w:r>
      <w:proofErr w:type="spellStart"/>
      <w:r w:rsidRPr="005658EC">
        <w:rPr>
          <w:rFonts w:ascii="Arial Narrow" w:eastAsia="Times New Roman" w:hAnsi="Arial Narrow" w:cs="Times New Roman"/>
          <w:lang w:eastAsia="id-ID"/>
        </w:rPr>
        <w:t>jenis</w:t>
      </w:r>
      <w:proofErr w:type="spellEnd"/>
      <w:r w:rsidRPr="005658EC">
        <w:rPr>
          <w:rFonts w:ascii="Arial Narrow" w:eastAsia="Times New Roman" w:hAnsi="Arial Narrow" w:cs="Times New Roman"/>
          <w:lang w:eastAsia="id-ID"/>
        </w:rPr>
        <w:t xml:space="preserve">, </w:t>
      </w:r>
      <w:proofErr w:type="spellStart"/>
      <w:r w:rsidRPr="005658EC">
        <w:rPr>
          <w:rFonts w:ascii="Arial Narrow" w:eastAsia="Times New Roman" w:hAnsi="Arial Narrow" w:cs="Times New Roman"/>
          <w:lang w:eastAsia="id-ID"/>
        </w:rPr>
        <w:t>dan</w:t>
      </w:r>
      <w:proofErr w:type="spellEnd"/>
      <w:r w:rsidRPr="005658EC">
        <w:rPr>
          <w:rFonts w:ascii="Arial Narrow" w:eastAsia="Times New Roman" w:hAnsi="Arial Narrow" w:cs="Times New Roman"/>
          <w:lang w:eastAsia="id-ID"/>
        </w:rPr>
        <w:t xml:space="preserve"> </w:t>
      </w:r>
      <w:proofErr w:type="spellStart"/>
      <w:r w:rsidRPr="005658EC">
        <w:rPr>
          <w:rFonts w:ascii="Arial Narrow" w:eastAsia="Times New Roman" w:hAnsi="Arial Narrow" w:cs="Times New Roman"/>
          <w:lang w:eastAsia="id-ID"/>
        </w:rPr>
        <w:t>ukuran</w:t>
      </w:r>
      <w:proofErr w:type="spellEnd"/>
      <w:r w:rsidRPr="005658EC">
        <w:rPr>
          <w:rFonts w:ascii="Arial Narrow" w:eastAsia="Times New Roman" w:hAnsi="Arial Narrow" w:cs="Times New Roman"/>
          <w:lang w:eastAsia="id-ID"/>
        </w:rPr>
        <w:t xml:space="preserve">  </w:t>
      </w:r>
      <w:proofErr w:type="spellStart"/>
      <w:r w:rsidRPr="005658EC">
        <w:rPr>
          <w:rFonts w:ascii="Arial Narrow" w:eastAsia="Times New Roman" w:hAnsi="Arial Narrow" w:cs="Times New Roman"/>
          <w:lang w:eastAsia="id-ID"/>
        </w:rPr>
        <w:t>barang</w:t>
      </w:r>
      <w:proofErr w:type="spellEnd"/>
      <w:r w:rsidRPr="005658EC">
        <w:rPr>
          <w:rFonts w:ascii="Arial Narrow" w:eastAsia="Times New Roman" w:hAnsi="Arial Narrow" w:cs="Times New Roman"/>
          <w:lang w:eastAsia="id-ID"/>
        </w:rPr>
        <w:t xml:space="preserve">; </w:t>
      </w:r>
      <w:r w:rsidRPr="005658EC">
        <w:rPr>
          <w:rFonts w:ascii="Arial Narrow" w:eastAsia="Times New Roman" w:hAnsi="Arial Narrow" w:cs="Times New Roman"/>
          <w:i/>
          <w:iCs/>
          <w:lang w:eastAsia="id-ID"/>
        </w:rPr>
        <w:t>(4) Designing</w:t>
      </w:r>
      <w:r w:rsidRPr="005658EC">
        <w:rPr>
          <w:rFonts w:ascii="Arial Narrow" w:eastAsia="Times New Roman" w:hAnsi="Arial Narrow" w:cs="Times New Roman"/>
          <w:lang w:eastAsia="id-ID"/>
        </w:rPr>
        <w:t xml:space="preserve"> </w:t>
      </w:r>
      <w:proofErr w:type="spellStart"/>
      <w:r w:rsidRPr="005658EC">
        <w:rPr>
          <w:rFonts w:ascii="Arial Narrow" w:eastAsia="Times New Roman" w:hAnsi="Arial Narrow" w:cs="Times New Roman"/>
          <w:lang w:eastAsia="id-ID"/>
        </w:rPr>
        <w:t>pada</w:t>
      </w:r>
      <w:proofErr w:type="spellEnd"/>
      <w:r w:rsidRPr="005658EC">
        <w:rPr>
          <w:rFonts w:ascii="Arial Narrow" w:eastAsia="Times New Roman" w:hAnsi="Arial Narrow" w:cs="Times New Roman"/>
          <w:lang w:eastAsia="id-ID"/>
        </w:rPr>
        <w:t xml:space="preserve"> </w:t>
      </w:r>
      <w:proofErr w:type="spellStart"/>
      <w:r w:rsidRPr="005658EC">
        <w:rPr>
          <w:rFonts w:ascii="Arial Narrow" w:eastAsia="Times New Roman" w:hAnsi="Arial Narrow" w:cs="Times New Roman"/>
          <w:lang w:eastAsia="id-ID"/>
        </w:rPr>
        <w:t>pola-pola</w:t>
      </w:r>
      <w:proofErr w:type="spellEnd"/>
      <w:r w:rsidRPr="005658EC">
        <w:rPr>
          <w:rFonts w:ascii="Arial Narrow" w:eastAsia="Times New Roman" w:hAnsi="Arial Narrow" w:cs="Times New Roman"/>
          <w:lang w:eastAsia="id-ID"/>
        </w:rPr>
        <w:t xml:space="preserve"> yang </w:t>
      </w:r>
      <w:proofErr w:type="spellStart"/>
      <w:r w:rsidRPr="005658EC">
        <w:rPr>
          <w:rFonts w:ascii="Arial Narrow" w:eastAsia="Times New Roman" w:hAnsi="Arial Narrow" w:cs="Times New Roman"/>
          <w:lang w:eastAsia="id-ID"/>
        </w:rPr>
        <w:t>dimunculkan</w:t>
      </w:r>
      <w:proofErr w:type="spellEnd"/>
      <w:r w:rsidRPr="005658EC">
        <w:rPr>
          <w:rFonts w:ascii="Arial Narrow" w:eastAsia="Times New Roman" w:hAnsi="Arial Narrow" w:cs="Times New Roman"/>
          <w:lang w:eastAsia="id-ID"/>
        </w:rPr>
        <w:t xml:space="preserve"> </w:t>
      </w:r>
      <w:proofErr w:type="spellStart"/>
      <w:r w:rsidRPr="005658EC">
        <w:rPr>
          <w:rFonts w:ascii="Arial Narrow" w:eastAsia="Times New Roman" w:hAnsi="Arial Narrow" w:cs="Times New Roman"/>
          <w:lang w:eastAsia="id-ID"/>
        </w:rPr>
        <w:t>oleh</w:t>
      </w:r>
      <w:proofErr w:type="spellEnd"/>
      <w:r w:rsidRPr="005658EC">
        <w:rPr>
          <w:rFonts w:ascii="Arial Narrow" w:eastAsia="Times New Roman" w:hAnsi="Arial Narrow" w:cs="Times New Roman"/>
          <w:lang w:eastAsia="id-ID"/>
        </w:rPr>
        <w:t xml:space="preserve"> </w:t>
      </w:r>
      <w:proofErr w:type="spellStart"/>
      <w:r w:rsidRPr="005658EC">
        <w:rPr>
          <w:rFonts w:ascii="Arial Narrow" w:eastAsia="Times New Roman" w:hAnsi="Arial Narrow" w:cs="Times New Roman"/>
          <w:lang w:eastAsia="id-ID"/>
        </w:rPr>
        <w:t>pedagang</w:t>
      </w:r>
      <w:proofErr w:type="spellEnd"/>
      <w:r w:rsidRPr="005658EC">
        <w:rPr>
          <w:rFonts w:ascii="Arial Narrow" w:eastAsia="Times New Roman" w:hAnsi="Arial Narrow" w:cs="Times New Roman"/>
          <w:lang w:eastAsia="id-ID"/>
        </w:rPr>
        <w:t xml:space="preserve"> </w:t>
      </w:r>
      <w:proofErr w:type="spellStart"/>
      <w:r w:rsidRPr="005658EC">
        <w:rPr>
          <w:rFonts w:ascii="Arial Narrow" w:eastAsia="Times New Roman" w:hAnsi="Arial Narrow" w:cs="Times New Roman"/>
          <w:lang w:eastAsia="id-ID"/>
        </w:rPr>
        <w:t>saat</w:t>
      </w:r>
      <w:proofErr w:type="spellEnd"/>
      <w:r w:rsidRPr="005658EC">
        <w:rPr>
          <w:rFonts w:ascii="Arial Narrow" w:eastAsia="Times New Roman" w:hAnsi="Arial Narrow" w:cs="Times New Roman"/>
          <w:lang w:eastAsia="id-ID"/>
        </w:rPr>
        <w:t xml:space="preserve"> </w:t>
      </w:r>
      <w:proofErr w:type="spellStart"/>
      <w:r w:rsidRPr="005658EC">
        <w:rPr>
          <w:rFonts w:ascii="Arial Narrow" w:eastAsia="Times New Roman" w:hAnsi="Arial Narrow" w:cs="Times New Roman"/>
          <w:lang w:eastAsia="id-ID"/>
        </w:rPr>
        <w:t>mendesain</w:t>
      </w:r>
      <w:proofErr w:type="spellEnd"/>
      <w:r w:rsidRPr="005658EC">
        <w:rPr>
          <w:rFonts w:ascii="Arial Narrow" w:eastAsia="Times New Roman" w:hAnsi="Arial Narrow" w:cs="Times New Roman"/>
          <w:lang w:eastAsia="id-ID"/>
        </w:rPr>
        <w:t>/</w:t>
      </w:r>
      <w:proofErr w:type="spellStart"/>
      <w:r w:rsidRPr="005658EC">
        <w:rPr>
          <w:rFonts w:ascii="Arial Narrow" w:eastAsia="Times New Roman" w:hAnsi="Arial Narrow" w:cs="Times New Roman"/>
          <w:lang w:eastAsia="id-ID"/>
        </w:rPr>
        <w:t>menata</w:t>
      </w:r>
      <w:proofErr w:type="spellEnd"/>
      <w:r w:rsidRPr="005658EC">
        <w:rPr>
          <w:rFonts w:ascii="Arial Narrow" w:eastAsia="Times New Roman" w:hAnsi="Arial Narrow" w:cs="Times New Roman"/>
          <w:lang w:eastAsia="id-ID"/>
        </w:rPr>
        <w:t>/</w:t>
      </w:r>
      <w:proofErr w:type="spellStart"/>
      <w:r w:rsidRPr="005658EC">
        <w:rPr>
          <w:rFonts w:ascii="Arial Narrow" w:eastAsia="Times New Roman" w:hAnsi="Arial Narrow" w:cs="Times New Roman"/>
          <w:lang w:eastAsia="id-ID"/>
        </w:rPr>
        <w:t>menggelar</w:t>
      </w:r>
      <w:proofErr w:type="spellEnd"/>
      <w:r w:rsidRPr="005658EC">
        <w:rPr>
          <w:rFonts w:ascii="Arial Narrow" w:eastAsia="Times New Roman" w:hAnsi="Arial Narrow" w:cs="Times New Roman"/>
          <w:lang w:eastAsia="id-ID"/>
        </w:rPr>
        <w:t xml:space="preserve"> </w:t>
      </w:r>
      <w:proofErr w:type="spellStart"/>
      <w:r w:rsidRPr="005658EC">
        <w:rPr>
          <w:rFonts w:ascii="Arial Narrow" w:eastAsia="Times New Roman" w:hAnsi="Arial Narrow" w:cs="Times New Roman"/>
          <w:lang w:eastAsia="id-ID"/>
        </w:rPr>
        <w:t>barang</w:t>
      </w:r>
      <w:proofErr w:type="spellEnd"/>
      <w:r w:rsidRPr="005658EC">
        <w:rPr>
          <w:rFonts w:ascii="Arial Narrow" w:eastAsia="Times New Roman" w:hAnsi="Arial Narrow" w:cs="Times New Roman"/>
          <w:lang w:eastAsia="id-ID"/>
        </w:rPr>
        <w:t xml:space="preserve"> </w:t>
      </w:r>
      <w:proofErr w:type="spellStart"/>
      <w:r w:rsidRPr="005658EC">
        <w:rPr>
          <w:rFonts w:ascii="Arial Narrow" w:eastAsia="Times New Roman" w:hAnsi="Arial Narrow" w:cs="Times New Roman"/>
          <w:lang w:eastAsia="id-ID"/>
        </w:rPr>
        <w:t>dagangannya</w:t>
      </w:r>
      <w:proofErr w:type="spellEnd"/>
      <w:r w:rsidRPr="005658EC">
        <w:rPr>
          <w:rFonts w:ascii="Arial Narrow" w:eastAsia="Times New Roman" w:hAnsi="Arial Narrow" w:cs="Times New Roman"/>
          <w:lang w:eastAsia="id-ID"/>
        </w:rPr>
        <w:t xml:space="preserve">, </w:t>
      </w:r>
      <w:proofErr w:type="spellStart"/>
      <w:r w:rsidRPr="005658EC">
        <w:rPr>
          <w:rFonts w:ascii="Arial Narrow" w:eastAsia="Times New Roman" w:hAnsi="Arial Narrow" w:cs="Times New Roman"/>
          <w:lang w:eastAsia="id-ID"/>
        </w:rPr>
        <w:t>dan</w:t>
      </w:r>
      <w:proofErr w:type="spellEnd"/>
      <w:r w:rsidRPr="005658EC">
        <w:rPr>
          <w:rFonts w:ascii="Arial Narrow" w:eastAsia="Times New Roman" w:hAnsi="Arial Narrow" w:cs="Times New Roman"/>
          <w:lang w:eastAsia="id-ID"/>
        </w:rPr>
        <w:t xml:space="preserve"> </w:t>
      </w:r>
      <w:proofErr w:type="spellStart"/>
      <w:r w:rsidRPr="005658EC">
        <w:rPr>
          <w:rFonts w:ascii="Arial Narrow" w:eastAsia="Times New Roman" w:hAnsi="Arial Narrow" w:cs="Times New Roman"/>
          <w:lang w:eastAsia="id-ID"/>
        </w:rPr>
        <w:t>bentuk</w:t>
      </w:r>
      <w:proofErr w:type="spellEnd"/>
      <w:r w:rsidRPr="005658EC">
        <w:rPr>
          <w:rFonts w:ascii="Arial Narrow" w:eastAsia="Times New Roman" w:hAnsi="Arial Narrow" w:cs="Times New Roman"/>
          <w:lang w:eastAsia="id-ID"/>
        </w:rPr>
        <w:t xml:space="preserve"> </w:t>
      </w:r>
      <w:proofErr w:type="spellStart"/>
      <w:r w:rsidRPr="005658EC">
        <w:rPr>
          <w:rFonts w:ascii="Arial Narrow" w:eastAsia="Times New Roman" w:hAnsi="Arial Narrow" w:cs="Times New Roman"/>
          <w:lang w:eastAsia="id-ID"/>
        </w:rPr>
        <w:t>ruang</w:t>
      </w:r>
      <w:proofErr w:type="spellEnd"/>
      <w:r w:rsidRPr="005658EC">
        <w:rPr>
          <w:rFonts w:ascii="Arial Narrow" w:eastAsia="Times New Roman" w:hAnsi="Arial Narrow" w:cs="Times New Roman"/>
          <w:lang w:eastAsia="id-ID"/>
        </w:rPr>
        <w:t xml:space="preserve"> </w:t>
      </w:r>
      <w:proofErr w:type="spellStart"/>
      <w:r w:rsidRPr="005658EC">
        <w:rPr>
          <w:rFonts w:ascii="Arial Narrow" w:eastAsia="Times New Roman" w:hAnsi="Arial Narrow" w:cs="Times New Roman"/>
          <w:lang w:eastAsia="id-ID"/>
        </w:rPr>
        <w:t>dagang</w:t>
      </w:r>
      <w:proofErr w:type="spellEnd"/>
      <w:r w:rsidRPr="005658EC">
        <w:rPr>
          <w:rFonts w:ascii="Arial Narrow" w:eastAsia="Times New Roman" w:hAnsi="Arial Narrow" w:cs="Times New Roman"/>
          <w:lang w:eastAsia="id-ID"/>
        </w:rPr>
        <w:t xml:space="preserve">; (5) </w:t>
      </w:r>
      <w:r w:rsidRPr="005658EC">
        <w:rPr>
          <w:rFonts w:ascii="Arial Narrow" w:eastAsia="Times New Roman" w:hAnsi="Arial Narrow" w:cs="Times New Roman"/>
          <w:i/>
          <w:iCs/>
          <w:lang w:eastAsia="id-ID"/>
        </w:rPr>
        <w:t>Playing</w:t>
      </w:r>
      <w:r w:rsidRPr="005658EC">
        <w:rPr>
          <w:rFonts w:ascii="Arial Narrow" w:eastAsia="Times New Roman" w:hAnsi="Arial Narrow" w:cs="Times New Roman"/>
          <w:lang w:eastAsia="id-ID"/>
        </w:rPr>
        <w:t xml:space="preserve"> </w:t>
      </w:r>
      <w:proofErr w:type="spellStart"/>
      <w:r w:rsidRPr="005658EC">
        <w:rPr>
          <w:rFonts w:ascii="Arial Narrow" w:eastAsia="Times New Roman" w:hAnsi="Arial Narrow" w:cs="Times New Roman"/>
          <w:lang w:eastAsia="id-ID"/>
        </w:rPr>
        <w:t>pada</w:t>
      </w:r>
      <w:proofErr w:type="spellEnd"/>
      <w:r w:rsidRPr="005658EC">
        <w:rPr>
          <w:rFonts w:ascii="Arial Narrow" w:eastAsia="Times New Roman" w:hAnsi="Arial Narrow" w:cs="Times New Roman"/>
          <w:lang w:eastAsia="id-ID"/>
        </w:rPr>
        <w:t xml:space="preserve"> </w:t>
      </w:r>
      <w:proofErr w:type="spellStart"/>
      <w:r w:rsidRPr="005658EC">
        <w:rPr>
          <w:rFonts w:ascii="Arial Narrow" w:eastAsia="Times New Roman" w:hAnsi="Arial Narrow" w:cs="Times New Roman"/>
          <w:lang w:eastAsia="id-ID"/>
        </w:rPr>
        <w:t>penerapan</w:t>
      </w:r>
      <w:proofErr w:type="spellEnd"/>
      <w:r w:rsidRPr="005658EC">
        <w:rPr>
          <w:rFonts w:ascii="Arial Narrow" w:eastAsia="Times New Roman" w:hAnsi="Arial Narrow" w:cs="Times New Roman"/>
          <w:lang w:eastAsia="id-ID"/>
        </w:rPr>
        <w:t xml:space="preserve"> </w:t>
      </w:r>
      <w:proofErr w:type="spellStart"/>
      <w:r w:rsidRPr="005658EC">
        <w:rPr>
          <w:rFonts w:ascii="Arial Narrow" w:eastAsia="Times New Roman" w:hAnsi="Arial Narrow" w:cs="Times New Roman"/>
          <w:lang w:eastAsia="id-ID"/>
        </w:rPr>
        <w:t>strategi</w:t>
      </w:r>
      <w:proofErr w:type="spellEnd"/>
      <w:r w:rsidRPr="005658EC">
        <w:rPr>
          <w:rFonts w:ascii="Arial Narrow" w:eastAsia="Times New Roman" w:hAnsi="Arial Narrow" w:cs="Times New Roman"/>
          <w:lang w:eastAsia="id-ID"/>
        </w:rPr>
        <w:t xml:space="preserve"> </w:t>
      </w:r>
      <w:proofErr w:type="spellStart"/>
      <w:r w:rsidRPr="005658EC">
        <w:rPr>
          <w:rFonts w:ascii="Arial Narrow" w:eastAsia="Times New Roman" w:hAnsi="Arial Narrow" w:cs="Times New Roman"/>
          <w:lang w:eastAsia="id-ID"/>
        </w:rPr>
        <w:t>penjualan</w:t>
      </w:r>
      <w:proofErr w:type="spellEnd"/>
      <w:r w:rsidRPr="005658EC">
        <w:rPr>
          <w:rFonts w:ascii="Arial Narrow" w:eastAsia="Times New Roman" w:hAnsi="Arial Narrow" w:cs="Times New Roman"/>
          <w:lang w:eastAsia="id-ID"/>
        </w:rPr>
        <w:t xml:space="preserve">; </w:t>
      </w:r>
      <w:proofErr w:type="spellStart"/>
      <w:r w:rsidRPr="005658EC">
        <w:rPr>
          <w:rFonts w:ascii="Arial Narrow" w:eastAsia="Times New Roman" w:hAnsi="Arial Narrow" w:cs="Times New Roman"/>
          <w:lang w:eastAsia="id-ID"/>
        </w:rPr>
        <w:t>dan</w:t>
      </w:r>
      <w:proofErr w:type="spellEnd"/>
      <w:r w:rsidRPr="005658EC">
        <w:rPr>
          <w:rFonts w:ascii="Arial Narrow" w:eastAsia="Times New Roman" w:hAnsi="Arial Narrow" w:cs="Times New Roman"/>
          <w:lang w:eastAsia="id-ID"/>
        </w:rPr>
        <w:t xml:space="preserve"> (6) </w:t>
      </w:r>
      <w:r w:rsidRPr="005658EC">
        <w:rPr>
          <w:rFonts w:ascii="Arial Narrow" w:eastAsia="Times New Roman" w:hAnsi="Arial Narrow" w:cs="Times New Roman"/>
          <w:i/>
          <w:iCs/>
          <w:lang w:eastAsia="id-ID"/>
        </w:rPr>
        <w:t>Explaining</w:t>
      </w:r>
      <w:r w:rsidRPr="005658EC">
        <w:rPr>
          <w:rFonts w:ascii="Arial Narrow" w:eastAsia="Times New Roman" w:hAnsi="Arial Narrow" w:cs="Times New Roman"/>
          <w:lang w:eastAsia="id-ID"/>
        </w:rPr>
        <w:t xml:space="preserve"> </w:t>
      </w:r>
      <w:proofErr w:type="spellStart"/>
      <w:r w:rsidRPr="005658EC">
        <w:rPr>
          <w:rFonts w:ascii="Arial Narrow" w:eastAsia="Times New Roman" w:hAnsi="Arial Narrow" w:cs="Times New Roman"/>
          <w:lang w:eastAsia="id-ID"/>
        </w:rPr>
        <w:t>pada</w:t>
      </w:r>
      <w:proofErr w:type="spellEnd"/>
      <w:r w:rsidRPr="005658EC">
        <w:rPr>
          <w:rFonts w:ascii="Arial Narrow" w:eastAsia="Times New Roman" w:hAnsi="Arial Narrow" w:cs="Times New Roman"/>
          <w:lang w:eastAsia="id-ID"/>
        </w:rPr>
        <w:t xml:space="preserve"> </w:t>
      </w:r>
      <w:proofErr w:type="spellStart"/>
      <w:r w:rsidRPr="005658EC">
        <w:rPr>
          <w:rFonts w:ascii="Arial Narrow" w:eastAsia="Times New Roman" w:hAnsi="Arial Narrow" w:cs="Times New Roman"/>
          <w:lang w:eastAsia="id-ID"/>
        </w:rPr>
        <w:t>aktivitas</w:t>
      </w:r>
      <w:proofErr w:type="spellEnd"/>
      <w:r w:rsidRPr="005658EC">
        <w:rPr>
          <w:rFonts w:ascii="Arial Narrow" w:eastAsia="Times New Roman" w:hAnsi="Arial Narrow" w:cs="Times New Roman"/>
          <w:lang w:eastAsia="id-ID"/>
        </w:rPr>
        <w:t xml:space="preserve"> </w:t>
      </w:r>
      <w:proofErr w:type="spellStart"/>
      <w:r w:rsidRPr="005658EC">
        <w:rPr>
          <w:rFonts w:ascii="Arial Narrow" w:eastAsia="Times New Roman" w:hAnsi="Arial Narrow" w:cs="Times New Roman"/>
          <w:lang w:eastAsia="id-ID"/>
        </w:rPr>
        <w:t>pedagang</w:t>
      </w:r>
      <w:proofErr w:type="spellEnd"/>
      <w:r w:rsidRPr="005658EC">
        <w:rPr>
          <w:rFonts w:ascii="Arial Narrow" w:eastAsia="Times New Roman" w:hAnsi="Arial Narrow" w:cs="Times New Roman"/>
          <w:lang w:eastAsia="id-ID"/>
        </w:rPr>
        <w:t xml:space="preserve"> </w:t>
      </w:r>
      <w:proofErr w:type="spellStart"/>
      <w:r w:rsidRPr="005658EC">
        <w:rPr>
          <w:rFonts w:ascii="Arial Narrow" w:eastAsia="Times New Roman" w:hAnsi="Arial Narrow" w:cs="Times New Roman"/>
          <w:lang w:eastAsia="id-ID"/>
        </w:rPr>
        <w:t>saat</w:t>
      </w:r>
      <w:proofErr w:type="spellEnd"/>
      <w:r w:rsidRPr="005658EC">
        <w:rPr>
          <w:rFonts w:ascii="Arial Narrow" w:eastAsia="Times New Roman" w:hAnsi="Arial Narrow" w:cs="Times New Roman"/>
          <w:lang w:eastAsia="id-ID"/>
        </w:rPr>
        <w:t xml:space="preserve"> </w:t>
      </w:r>
      <w:proofErr w:type="spellStart"/>
      <w:r w:rsidRPr="005658EC">
        <w:rPr>
          <w:rFonts w:ascii="Arial Narrow" w:eastAsia="Times New Roman" w:hAnsi="Arial Narrow" w:cs="Times New Roman"/>
          <w:lang w:eastAsia="id-ID"/>
        </w:rPr>
        <w:t>memberikan</w:t>
      </w:r>
      <w:proofErr w:type="spellEnd"/>
      <w:r w:rsidRPr="005658EC">
        <w:rPr>
          <w:rFonts w:ascii="Arial Narrow" w:eastAsia="Times New Roman" w:hAnsi="Arial Narrow" w:cs="Times New Roman"/>
          <w:lang w:eastAsia="id-ID"/>
        </w:rPr>
        <w:t xml:space="preserve"> </w:t>
      </w:r>
      <w:proofErr w:type="spellStart"/>
      <w:r w:rsidRPr="005658EC">
        <w:rPr>
          <w:rFonts w:ascii="Arial Narrow" w:eastAsia="Times New Roman" w:hAnsi="Arial Narrow" w:cs="Times New Roman"/>
          <w:lang w:eastAsia="id-ID"/>
        </w:rPr>
        <w:t>deskripsi</w:t>
      </w:r>
      <w:proofErr w:type="spellEnd"/>
      <w:r w:rsidRPr="005658EC">
        <w:rPr>
          <w:rFonts w:ascii="Arial Narrow" w:eastAsia="Times New Roman" w:hAnsi="Arial Narrow" w:cs="Times New Roman"/>
          <w:lang w:eastAsia="id-ID"/>
        </w:rPr>
        <w:t>/</w:t>
      </w:r>
      <w:proofErr w:type="spellStart"/>
      <w:r w:rsidRPr="005658EC">
        <w:rPr>
          <w:rFonts w:ascii="Arial Narrow" w:eastAsia="Times New Roman" w:hAnsi="Arial Narrow" w:cs="Times New Roman"/>
          <w:lang w:eastAsia="id-ID"/>
        </w:rPr>
        <w:t>penjelasan</w:t>
      </w:r>
      <w:proofErr w:type="spellEnd"/>
      <w:r w:rsidRPr="005658EC">
        <w:rPr>
          <w:rFonts w:ascii="Arial Narrow" w:eastAsia="Times New Roman" w:hAnsi="Arial Narrow" w:cs="Times New Roman"/>
          <w:lang w:eastAsia="id-ID"/>
        </w:rPr>
        <w:t xml:space="preserve"> </w:t>
      </w:r>
      <w:proofErr w:type="spellStart"/>
      <w:r w:rsidRPr="005658EC">
        <w:rPr>
          <w:rFonts w:ascii="Arial Narrow" w:eastAsia="Times New Roman" w:hAnsi="Arial Narrow" w:cs="Times New Roman"/>
          <w:lang w:eastAsia="id-ID"/>
        </w:rPr>
        <w:t>tentang</w:t>
      </w:r>
      <w:proofErr w:type="spellEnd"/>
      <w:r w:rsidRPr="005658EC">
        <w:rPr>
          <w:rFonts w:ascii="Arial Narrow" w:eastAsia="Times New Roman" w:hAnsi="Arial Narrow" w:cs="Times New Roman"/>
          <w:lang w:eastAsia="id-ID"/>
        </w:rPr>
        <w:t xml:space="preserve"> </w:t>
      </w:r>
      <w:proofErr w:type="spellStart"/>
      <w:r w:rsidRPr="005658EC">
        <w:rPr>
          <w:rFonts w:ascii="Arial Narrow" w:eastAsia="Times New Roman" w:hAnsi="Arial Narrow" w:cs="Times New Roman"/>
          <w:lang w:eastAsia="id-ID"/>
        </w:rPr>
        <w:t>barang</w:t>
      </w:r>
      <w:proofErr w:type="spellEnd"/>
      <w:r w:rsidRPr="005658EC">
        <w:rPr>
          <w:rFonts w:ascii="Arial Narrow" w:eastAsia="Times New Roman" w:hAnsi="Arial Narrow" w:cs="Times New Roman"/>
          <w:lang w:eastAsia="id-ID"/>
        </w:rPr>
        <w:t xml:space="preserve"> yang </w:t>
      </w:r>
      <w:proofErr w:type="spellStart"/>
      <w:r w:rsidRPr="005658EC">
        <w:rPr>
          <w:rFonts w:ascii="Arial Narrow" w:eastAsia="Times New Roman" w:hAnsi="Arial Narrow" w:cs="Times New Roman"/>
          <w:lang w:eastAsia="id-ID"/>
        </w:rPr>
        <w:t>dijualnya</w:t>
      </w:r>
      <w:proofErr w:type="spellEnd"/>
      <w:r w:rsidRPr="005658EC">
        <w:rPr>
          <w:rFonts w:ascii="Arial Narrow" w:eastAsia="Times New Roman" w:hAnsi="Arial Narrow" w:cs="Times New Roman"/>
          <w:lang w:eastAsia="id-ID"/>
        </w:rPr>
        <w:t>.</w:t>
      </w:r>
    </w:p>
    <w:p w:rsidR="0017751F" w:rsidRDefault="00B96E3E">
      <w:pPr>
        <w:pBdr>
          <w:top w:val="nil"/>
          <w:left w:val="nil"/>
          <w:bottom w:val="nil"/>
          <w:right w:val="nil"/>
          <w:between w:val="nil"/>
        </w:pBdr>
        <w:ind w:left="100"/>
        <w:rPr>
          <w:rFonts w:ascii="Arial Narrow" w:eastAsia="Arial Narrow" w:hAnsi="Arial Narrow" w:cs="Arial Narrow"/>
          <w:color w:val="000000"/>
        </w:rPr>
      </w:pPr>
      <w:r>
        <w:rPr>
          <w:rFonts w:ascii="Arial Narrow" w:eastAsia="Arial Narrow" w:hAnsi="Arial Narrow" w:cs="Arial Narrow"/>
          <w:b/>
          <w:color w:val="000000"/>
        </w:rPr>
        <w:t>K</w:t>
      </w:r>
      <w:r w:rsidR="005658EC">
        <w:rPr>
          <w:rFonts w:ascii="Arial Narrow" w:eastAsia="Arial Narrow" w:hAnsi="Arial Narrow" w:cs="Arial Narrow"/>
          <w:b/>
          <w:color w:val="000000"/>
        </w:rPr>
        <w:t>ata</w:t>
      </w:r>
      <w:r>
        <w:rPr>
          <w:rFonts w:ascii="Arial Narrow" w:eastAsia="Arial Narrow" w:hAnsi="Arial Narrow" w:cs="Arial Narrow"/>
          <w:b/>
          <w:color w:val="000000"/>
        </w:rPr>
        <w:t xml:space="preserve">: </w:t>
      </w:r>
      <w:proofErr w:type="spellStart"/>
      <w:r w:rsidR="00556442">
        <w:rPr>
          <w:rFonts w:ascii="Arial Narrow" w:eastAsia="Arial Narrow" w:hAnsi="Arial Narrow" w:cs="Arial Narrow"/>
          <w:color w:val="000000"/>
        </w:rPr>
        <w:t>E</w:t>
      </w:r>
      <w:r w:rsidR="005658EC">
        <w:rPr>
          <w:rFonts w:ascii="Arial Narrow" w:eastAsia="Arial Narrow" w:hAnsi="Arial Narrow" w:cs="Arial Narrow"/>
          <w:color w:val="000000"/>
        </w:rPr>
        <w:t>tnomatematika</w:t>
      </w:r>
      <w:proofErr w:type="spellEnd"/>
      <w:r w:rsidR="00556442">
        <w:rPr>
          <w:rFonts w:ascii="Arial Narrow" w:eastAsia="Arial Narrow" w:hAnsi="Arial Narrow" w:cs="Arial Narrow"/>
          <w:color w:val="000000"/>
        </w:rPr>
        <w:t xml:space="preserve">, </w:t>
      </w:r>
      <w:proofErr w:type="spellStart"/>
      <w:r w:rsidR="005658EC">
        <w:rPr>
          <w:rFonts w:ascii="Arial Narrow" w:hAnsi="Arial Narrow" w:cstheme="majorBidi"/>
        </w:rPr>
        <w:t>Transaksi</w:t>
      </w:r>
      <w:proofErr w:type="spellEnd"/>
      <w:r w:rsidR="005658EC">
        <w:rPr>
          <w:rFonts w:ascii="Arial Narrow" w:hAnsi="Arial Narrow" w:cstheme="majorBidi"/>
        </w:rPr>
        <w:t xml:space="preserve"> </w:t>
      </w:r>
      <w:proofErr w:type="spellStart"/>
      <w:r w:rsidR="005658EC">
        <w:rPr>
          <w:rFonts w:ascii="Arial Narrow" w:hAnsi="Arial Narrow" w:cstheme="majorBidi"/>
        </w:rPr>
        <w:t>Jual</w:t>
      </w:r>
      <w:proofErr w:type="spellEnd"/>
      <w:r w:rsidR="005658EC">
        <w:rPr>
          <w:rFonts w:ascii="Arial Narrow" w:hAnsi="Arial Narrow" w:cstheme="majorBidi"/>
        </w:rPr>
        <w:t xml:space="preserve"> </w:t>
      </w:r>
      <w:proofErr w:type="spellStart"/>
      <w:r w:rsidR="005658EC">
        <w:rPr>
          <w:rFonts w:ascii="Arial Narrow" w:hAnsi="Arial Narrow" w:cstheme="majorBidi"/>
        </w:rPr>
        <w:t>Beli</w:t>
      </w:r>
      <w:proofErr w:type="spellEnd"/>
      <w:r w:rsidR="00556442" w:rsidRPr="00556442">
        <w:rPr>
          <w:rFonts w:ascii="Arial Narrow" w:hAnsi="Arial Narrow" w:cstheme="majorBidi"/>
        </w:rPr>
        <w:t xml:space="preserve">, </w:t>
      </w:r>
      <w:proofErr w:type="spellStart"/>
      <w:r w:rsidR="005658EC">
        <w:rPr>
          <w:rFonts w:ascii="Arial Narrow" w:hAnsi="Arial Narrow" w:cstheme="majorBidi"/>
        </w:rPr>
        <w:t>Aktivitas</w:t>
      </w:r>
      <w:proofErr w:type="spellEnd"/>
      <w:r w:rsidR="005658EC">
        <w:rPr>
          <w:rFonts w:ascii="Arial Narrow" w:hAnsi="Arial Narrow" w:cstheme="majorBidi"/>
        </w:rPr>
        <w:t xml:space="preserve"> Fundamental </w:t>
      </w:r>
      <w:proofErr w:type="spellStart"/>
      <w:r w:rsidR="005658EC">
        <w:rPr>
          <w:rFonts w:ascii="Arial Narrow" w:hAnsi="Arial Narrow" w:cstheme="majorBidi"/>
        </w:rPr>
        <w:t>Matematis</w:t>
      </w:r>
      <w:proofErr w:type="spellEnd"/>
      <w:r w:rsidR="00556442">
        <w:rPr>
          <w:rFonts w:ascii="Arial Narrow" w:eastAsia="Arial Narrow" w:hAnsi="Arial Narrow" w:cs="Arial Narrow"/>
          <w:color w:val="000000"/>
        </w:rPr>
        <w:t xml:space="preserve"> </w:t>
      </w:r>
      <w:r>
        <w:rPr>
          <w:rFonts w:ascii="Arial Narrow" w:eastAsia="Arial Narrow" w:hAnsi="Arial Narrow" w:cs="Arial Narrow"/>
          <w:color w:val="000000"/>
        </w:rPr>
        <w:t xml:space="preserve"> </w:t>
      </w:r>
    </w:p>
    <w:p w:rsidR="00556442" w:rsidRDefault="00556442">
      <w:pPr>
        <w:pBdr>
          <w:top w:val="nil"/>
          <w:left w:val="nil"/>
          <w:bottom w:val="nil"/>
          <w:right w:val="nil"/>
          <w:between w:val="nil"/>
        </w:pBdr>
        <w:ind w:left="100"/>
        <w:rPr>
          <w:rFonts w:ascii="Arial Narrow" w:eastAsia="Arial Narrow" w:hAnsi="Arial Narrow" w:cs="Arial Narrow"/>
          <w:color w:val="000000"/>
        </w:rPr>
      </w:pPr>
    </w:p>
    <w:p w:rsidR="0017751F" w:rsidRDefault="0017751F">
      <w:pPr>
        <w:pBdr>
          <w:top w:val="nil"/>
          <w:left w:val="nil"/>
          <w:bottom w:val="nil"/>
          <w:right w:val="nil"/>
          <w:between w:val="nil"/>
        </w:pBdr>
        <w:ind w:left="100"/>
        <w:rPr>
          <w:rFonts w:ascii="Arial Narrow" w:eastAsia="Arial Narrow" w:hAnsi="Arial Narrow" w:cs="Arial Narrow"/>
          <w:color w:val="000000"/>
        </w:rPr>
      </w:pPr>
    </w:p>
    <w:p w:rsidR="00556442" w:rsidRPr="00556442" w:rsidRDefault="00556442" w:rsidP="00556442">
      <w:pPr>
        <w:pStyle w:val="E-JournalTitle"/>
        <w:ind w:firstLine="0"/>
        <w:rPr>
          <w:rFonts w:ascii="Arial Narrow" w:hAnsi="Arial Narrow"/>
          <w:i/>
          <w:sz w:val="28"/>
          <w:szCs w:val="28"/>
          <w:lang w:val="en-US"/>
        </w:rPr>
      </w:pPr>
      <w:r w:rsidRPr="00556442">
        <w:rPr>
          <w:rFonts w:ascii="Arial Narrow" w:hAnsi="Arial Narrow" w:cstheme="majorBidi"/>
          <w:bCs/>
          <w:i/>
          <w:sz w:val="28"/>
          <w:szCs w:val="28"/>
          <w:lang w:val="en-US"/>
        </w:rPr>
        <w:t xml:space="preserve">ETHNOMATHEMATICS ON BUYING AND SELLING TRANSACTIONS IN THE </w:t>
      </w:r>
      <w:bookmarkStart w:id="0" w:name="_GoBack"/>
      <w:bookmarkEnd w:id="0"/>
      <w:r w:rsidRPr="00556442">
        <w:rPr>
          <w:rFonts w:ascii="Arial Narrow" w:hAnsi="Arial Narrow" w:cstheme="majorBidi"/>
          <w:bCs/>
          <w:i/>
          <w:sz w:val="28"/>
          <w:szCs w:val="28"/>
          <w:lang w:val="en-US"/>
        </w:rPr>
        <w:t>TRADITIONAL MARKET IN BENGKULU CITY</w:t>
      </w:r>
    </w:p>
    <w:p w:rsidR="0017751F" w:rsidRDefault="00556442" w:rsidP="00556442">
      <w:pPr>
        <w:pStyle w:val="Heading1"/>
        <w:ind w:firstLine="1490"/>
        <w:rPr>
          <w:rFonts w:ascii="Arial Narrow" w:eastAsia="Arial Narrow" w:hAnsi="Arial Narrow" w:cs="Arial Narrow"/>
          <w:b w:val="0"/>
          <w:color w:val="000000"/>
          <w:sz w:val="24"/>
          <w:szCs w:val="24"/>
        </w:rPr>
      </w:pPr>
      <w:r>
        <w:rPr>
          <w:rFonts w:ascii="Arial Narrow" w:eastAsia="Arial Narrow" w:hAnsi="Arial Narrow" w:cs="Arial Narrow"/>
        </w:rPr>
        <w:t xml:space="preserve"> </w:t>
      </w:r>
    </w:p>
    <w:p w:rsidR="0017751F" w:rsidRDefault="00B96E3E">
      <w:pPr>
        <w:widowControl/>
        <w:pBdr>
          <w:top w:val="nil"/>
          <w:left w:val="nil"/>
          <w:bottom w:val="nil"/>
          <w:right w:val="nil"/>
          <w:between w:val="nil"/>
        </w:pBdr>
        <w:spacing w:after="60"/>
        <w:jc w:val="center"/>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rPr>
        <w:t>ABSTRACT</w:t>
      </w:r>
    </w:p>
    <w:p w:rsidR="00556442" w:rsidRPr="00556442" w:rsidRDefault="00556442" w:rsidP="00556442">
      <w:pPr>
        <w:pBdr>
          <w:top w:val="nil"/>
          <w:left w:val="nil"/>
          <w:bottom w:val="nil"/>
          <w:right w:val="nil"/>
          <w:between w:val="nil"/>
        </w:pBdr>
        <w:spacing w:before="1"/>
        <w:ind w:left="100" w:right="116"/>
        <w:jc w:val="both"/>
        <w:rPr>
          <w:rFonts w:ascii="Arial Narrow" w:eastAsia="Arial Narrow" w:hAnsi="Arial Narrow" w:cs="Arial Narrow"/>
          <w:i/>
          <w:color w:val="000000"/>
        </w:rPr>
      </w:pPr>
      <w:bookmarkStart w:id="1" w:name="_gjdgxs" w:colFirst="0" w:colLast="0"/>
      <w:bookmarkEnd w:id="1"/>
      <w:r w:rsidRPr="00556442">
        <w:rPr>
          <w:rFonts w:ascii="Arial Narrow" w:hAnsi="Arial Narrow"/>
          <w:i/>
        </w:rPr>
        <w:t xml:space="preserve">This research aims to identify and describe </w:t>
      </w:r>
      <w:proofErr w:type="spellStart"/>
      <w:r w:rsidRPr="00556442">
        <w:rPr>
          <w:rFonts w:ascii="Arial Narrow" w:hAnsi="Arial Narrow"/>
          <w:i/>
        </w:rPr>
        <w:t>ethnomathematics</w:t>
      </w:r>
      <w:proofErr w:type="spellEnd"/>
      <w:r w:rsidRPr="00556442">
        <w:rPr>
          <w:rFonts w:ascii="Arial Narrow" w:hAnsi="Arial Narrow"/>
          <w:i/>
        </w:rPr>
        <w:t xml:space="preserve"> in buying and selling transaction activities carried out by traders in traditional markets in Bengkulu City based on Bishop's mathematical fundamental activity theory. This research is exploratory research using a qualitative approach. The research subjects were selected purposively, including rice, bean, egg, and vegetable traders. The research instruments include observation sheets, documentation, and interviews. The data analysis technique goes through three stages of triangulation: reduction, presentation, and drawing conclusions/verification. The results of this research concluded that there were six mathematical activities, including (1) Counting when pronouncing basic numbers using the local language (Bengkulu), while counting activities were found to involve arithmetic operations, namely, addition, subtraction, multiplication, and division; (2) Locating in the zoning system by dividing the market into two parts, namely the wet market and the dry market which are allocated separately; (3) Measuring the dosing system, measurement and accuracy, sorting, comparing and estimating based on the quality, type and size of goods; (4) Designing the patterns created by traders when designing/arranging/displaying their merchandise, and the shape of the trading room; (5) Playing in implementing sales strategies; and (6) Explaining the trader's activities when providing a description/explanation of the goods they sells.</w:t>
      </w:r>
    </w:p>
    <w:p w:rsidR="0017751F" w:rsidRDefault="00556442" w:rsidP="00556442">
      <w:pPr>
        <w:widowControl/>
        <w:pBdr>
          <w:top w:val="nil"/>
          <w:left w:val="nil"/>
          <w:bottom w:val="nil"/>
          <w:right w:val="nil"/>
          <w:between w:val="nil"/>
        </w:pBdr>
        <w:rPr>
          <w:rFonts w:ascii="Arial Narrow" w:eastAsia="Arial Narrow" w:hAnsi="Arial Narrow" w:cs="Arial Narrow"/>
          <w:i/>
          <w:color w:val="000000"/>
        </w:rPr>
      </w:pPr>
      <w:proofErr w:type="gramStart"/>
      <w:r>
        <w:rPr>
          <w:rFonts w:ascii="Arial Narrow" w:eastAsia="Arial Narrow" w:hAnsi="Arial Narrow" w:cs="Arial Narrow"/>
          <w:b/>
          <w:color w:val="000000"/>
        </w:rPr>
        <w:lastRenderedPageBreak/>
        <w:t>Keywords :</w:t>
      </w:r>
      <w:proofErr w:type="gramEnd"/>
      <w:r>
        <w:rPr>
          <w:rFonts w:ascii="Arial Narrow" w:eastAsia="Arial Narrow" w:hAnsi="Arial Narrow" w:cs="Arial Narrow"/>
          <w:b/>
          <w:color w:val="000000"/>
        </w:rPr>
        <w:t xml:space="preserve"> </w:t>
      </w:r>
      <w:proofErr w:type="spellStart"/>
      <w:r>
        <w:rPr>
          <w:rFonts w:ascii="Arial Narrow" w:eastAsia="Arial Narrow" w:hAnsi="Arial Narrow" w:cs="Arial Narrow"/>
          <w:color w:val="000000"/>
        </w:rPr>
        <w:t>Etnomatematics</w:t>
      </w:r>
      <w:proofErr w:type="spellEnd"/>
      <w:r>
        <w:rPr>
          <w:rFonts w:ascii="Arial Narrow" w:eastAsia="Arial Narrow" w:hAnsi="Arial Narrow" w:cs="Arial Narrow"/>
          <w:color w:val="000000"/>
        </w:rPr>
        <w:t xml:space="preserve">, </w:t>
      </w:r>
      <w:r w:rsidRPr="00556442">
        <w:rPr>
          <w:rFonts w:ascii="Arial Narrow" w:hAnsi="Arial Narrow" w:cstheme="majorBidi"/>
        </w:rPr>
        <w:t xml:space="preserve">buying and selling </w:t>
      </w:r>
      <w:proofErr w:type="spellStart"/>
      <w:r w:rsidRPr="00556442">
        <w:rPr>
          <w:rFonts w:ascii="Arial Narrow" w:hAnsi="Arial Narrow" w:cstheme="majorBidi"/>
        </w:rPr>
        <w:t>tansaction</w:t>
      </w:r>
      <w:proofErr w:type="spellEnd"/>
      <w:r w:rsidRPr="00556442">
        <w:rPr>
          <w:rFonts w:ascii="Arial Narrow" w:hAnsi="Arial Narrow" w:cstheme="majorBidi"/>
        </w:rPr>
        <w:t xml:space="preserve">, fundamental mathematical </w:t>
      </w:r>
      <w:proofErr w:type="spellStart"/>
      <w:r w:rsidRPr="00556442">
        <w:rPr>
          <w:rFonts w:ascii="Arial Narrow" w:hAnsi="Arial Narrow" w:cstheme="majorBidi"/>
        </w:rPr>
        <w:t>activities</w:t>
      </w:r>
      <w:r w:rsidR="00B96E3E">
        <w:rPr>
          <w:rFonts w:ascii="Arial Narrow" w:eastAsia="Arial Narrow" w:hAnsi="Arial Narrow" w:cs="Arial Narrow"/>
          <w:i/>
          <w:color w:val="000000"/>
        </w:rPr>
        <w:t>s</w:t>
      </w:r>
      <w:proofErr w:type="spellEnd"/>
    </w:p>
    <w:p w:rsidR="0017751F" w:rsidRDefault="0017751F">
      <w:pPr>
        <w:pBdr>
          <w:top w:val="nil"/>
          <w:left w:val="nil"/>
          <w:bottom w:val="nil"/>
          <w:right w:val="nil"/>
          <w:between w:val="nil"/>
        </w:pBdr>
        <w:ind w:left="100"/>
        <w:rPr>
          <w:rFonts w:ascii="Arial Narrow" w:eastAsia="Arial Narrow" w:hAnsi="Arial Narrow" w:cs="Arial Narrow"/>
          <w:color w:val="000000"/>
        </w:rPr>
      </w:pPr>
    </w:p>
    <w:p w:rsidR="0017751F" w:rsidRDefault="0017751F">
      <w:pPr>
        <w:pBdr>
          <w:top w:val="nil"/>
          <w:left w:val="nil"/>
          <w:bottom w:val="nil"/>
          <w:right w:val="nil"/>
          <w:between w:val="nil"/>
        </w:pBdr>
        <w:spacing w:before="11"/>
        <w:rPr>
          <w:rFonts w:ascii="Arial Narrow" w:eastAsia="Arial Narrow" w:hAnsi="Arial Narrow" w:cs="Arial Narrow"/>
          <w:color w:val="000000"/>
          <w:sz w:val="23"/>
          <w:szCs w:val="23"/>
        </w:rPr>
      </w:pPr>
    </w:p>
    <w:p w:rsidR="0017751F" w:rsidRDefault="0017751F">
      <w:pPr>
        <w:pStyle w:val="Heading2"/>
        <w:ind w:left="0" w:firstLine="720"/>
        <w:rPr>
          <w:rFonts w:ascii="Arial Narrow" w:eastAsia="Arial Narrow" w:hAnsi="Arial Narrow" w:cs="Arial Narrow"/>
        </w:rPr>
        <w:sectPr w:rsidR="0017751F">
          <w:headerReference w:type="default" r:id="rId10"/>
          <w:footerReference w:type="default" r:id="rId11"/>
          <w:pgSz w:w="11910" w:h="16840"/>
          <w:pgMar w:top="1340" w:right="1320" w:bottom="280" w:left="1340" w:header="2016" w:footer="720" w:gutter="0"/>
          <w:pgNumType w:start="1"/>
          <w:cols w:space="720" w:equalWidth="0">
            <w:col w:w="9360"/>
          </w:cols>
        </w:sectPr>
      </w:pPr>
    </w:p>
    <w:p w:rsidR="0017751F" w:rsidRDefault="00B96E3E">
      <w:pPr>
        <w:pStyle w:val="Heading2"/>
        <w:spacing w:line="360" w:lineRule="auto"/>
        <w:ind w:left="0"/>
        <w:rPr>
          <w:rFonts w:ascii="Arial Narrow" w:eastAsia="Arial Narrow" w:hAnsi="Arial Narrow" w:cs="Arial Narrow"/>
        </w:rPr>
      </w:pPr>
      <w:r>
        <w:rPr>
          <w:rFonts w:ascii="Arial Narrow" w:eastAsia="Arial Narrow" w:hAnsi="Arial Narrow" w:cs="Arial Narrow"/>
        </w:rPr>
        <w:lastRenderedPageBreak/>
        <w:t>PENDAHULUAN</w:t>
      </w:r>
    </w:p>
    <w:p w:rsidR="005658EC" w:rsidRPr="005658EC" w:rsidRDefault="005658EC" w:rsidP="005658EC">
      <w:pPr>
        <w:spacing w:line="360" w:lineRule="auto"/>
        <w:ind w:firstLine="720"/>
        <w:jc w:val="both"/>
        <w:rPr>
          <w:rFonts w:ascii="Arial Narrow" w:hAnsi="Arial Narrow"/>
          <w:sz w:val="24"/>
          <w:szCs w:val="24"/>
        </w:rPr>
      </w:pPr>
      <w:r w:rsidRPr="005658EC">
        <w:rPr>
          <w:rFonts w:ascii="Arial Narrow" w:hAnsi="Arial Narrow"/>
          <w:sz w:val="24"/>
          <w:szCs w:val="24"/>
        </w:rPr>
        <w:t xml:space="preserve">Education is said to be a human effort to shape his personality by the values and culture prevailing in society </w:t>
      </w:r>
      <w:r w:rsidRPr="005658EC">
        <w:rPr>
          <w:rFonts w:ascii="Arial Narrow" w:hAnsi="Arial Narrow"/>
          <w:sz w:val="24"/>
          <w:szCs w:val="24"/>
        </w:rPr>
        <w:fldChar w:fldCharType="begin" w:fldLock="1"/>
      </w:r>
      <w:r w:rsidRPr="005658EC">
        <w:rPr>
          <w:rFonts w:ascii="Arial Narrow" w:hAnsi="Arial Narrow"/>
          <w:sz w:val="24"/>
          <w:szCs w:val="24"/>
        </w:rPr>
        <w:instrText>ADDIN CSL_CITATION {"citationItems":[{"id":"ITEM-1","itemData":{"ISBN":"978-979-076-369-2","author":[{"dropping-particle":"","family":"Sulasman","given":"","non-dropping-particle":"","parse-names":false,"suffix":""},{"dropping-particle":"","family":"Gumilar","given":"S","non-dropping-particle":"","parse-names":false,"suffix":""}],"id":"ITEM-1","issued":{"date-parts":[["2013"]]},"publisher":"Pustaka Setia","publisher-place":"Bandung","title":"Teori-teori Kebudayaan: Dari Teori Hingga Aplikasi","type":"book"},"uris":["http://www.mendeley.com/documents/?uuid=d58203f4-d8e4-42eb-906e-90fc33cfa667","http://www.mendeley.com/documents/?uuid=c9e36b31-d753-4e3b-89bd-ffc2ac36f61b"]}],"mendeley":{"formattedCitation":"(Sulasman &amp; Gumilar, 2013)","plainTextFormattedCitation":"(Sulasman &amp; Gumilar, 2013)","previouslyFormattedCitation":"(Sulasman &amp; Gumilar, 2013)"},"properties":{"noteIndex":0},"schema":"https://github.com/citation-style-language/schema/raw/master/csl-citation.json"}</w:instrText>
      </w:r>
      <w:r w:rsidRPr="005658EC">
        <w:rPr>
          <w:rFonts w:ascii="Arial Narrow" w:hAnsi="Arial Narrow"/>
          <w:sz w:val="24"/>
          <w:szCs w:val="24"/>
        </w:rPr>
        <w:fldChar w:fldCharType="separate"/>
      </w:r>
      <w:r w:rsidRPr="005658EC">
        <w:rPr>
          <w:rFonts w:ascii="Arial Narrow" w:hAnsi="Arial Narrow"/>
          <w:noProof/>
          <w:sz w:val="24"/>
          <w:szCs w:val="24"/>
        </w:rPr>
        <w:t>(Sulasman &amp; Gumilar, 2013)</w:t>
      </w:r>
      <w:r w:rsidRPr="005658EC">
        <w:rPr>
          <w:rFonts w:ascii="Arial Narrow" w:hAnsi="Arial Narrow"/>
          <w:sz w:val="24"/>
          <w:szCs w:val="24"/>
        </w:rPr>
        <w:fldChar w:fldCharType="end"/>
      </w:r>
      <w:r w:rsidRPr="005658EC">
        <w:rPr>
          <w:rFonts w:ascii="Arial Narrow" w:hAnsi="Arial Narrow"/>
          <w:sz w:val="24"/>
          <w:szCs w:val="24"/>
        </w:rPr>
        <w:t xml:space="preserve">. Culture includes the entire system of ideas that belong to humans through learning </w:t>
      </w:r>
      <w:r w:rsidRPr="005658EC">
        <w:rPr>
          <w:rFonts w:ascii="Arial Narrow" w:hAnsi="Arial Narrow"/>
          <w:sz w:val="24"/>
          <w:szCs w:val="24"/>
        </w:rPr>
        <w:fldChar w:fldCharType="begin" w:fldLock="1"/>
      </w:r>
      <w:r w:rsidRPr="005658EC">
        <w:rPr>
          <w:rFonts w:ascii="Arial Narrow" w:hAnsi="Arial Narrow"/>
          <w:sz w:val="24"/>
          <w:szCs w:val="24"/>
        </w:rPr>
        <w:instrText>ADDIN CSL_CITATION {"citationItems":[{"id":"ITEM-1","itemData":{"author":[{"dropping-particle":"","family":"Koentjaraningrat","given":"","non-dropping-particle":"","parse-names":false,"suffix":""}],"id":"ITEM-1","issued":{"date-parts":[["2015"]]},"publisher":"Rineka Cipta","publisher-place":"Jakarta","title":"Pengantar Ilmu Antropologi","type":"book"},"uris":["http://www.mendeley.com/documents/?uuid=85c2d9c2-6c00-4c94-b459-bd97bc974a64","http://www.mendeley.com/documents/?uuid=4add00e4-b044-4e9c-860e-3dcfa17a3bfe"]}],"mendeley":{"formattedCitation":"(Koentjaraningrat, 2015)","plainTextFormattedCitation":"(Koentjaraningrat, 2015)","previouslyFormattedCitation":"(Koentjaraningrat, 2015)"},"properties":{"noteIndex":0},"schema":"https://github.com/citation-style-language/schema/raw/master/csl-citation.json"}</w:instrText>
      </w:r>
      <w:r w:rsidRPr="005658EC">
        <w:rPr>
          <w:rFonts w:ascii="Arial Narrow" w:hAnsi="Arial Narrow"/>
          <w:sz w:val="24"/>
          <w:szCs w:val="24"/>
        </w:rPr>
        <w:fldChar w:fldCharType="separate"/>
      </w:r>
      <w:r w:rsidRPr="005658EC">
        <w:rPr>
          <w:rFonts w:ascii="Arial Narrow" w:hAnsi="Arial Narrow"/>
          <w:noProof/>
          <w:sz w:val="24"/>
          <w:szCs w:val="24"/>
        </w:rPr>
        <w:t>(Koentjaraningrat, 2015)</w:t>
      </w:r>
      <w:r w:rsidRPr="005658EC">
        <w:rPr>
          <w:rFonts w:ascii="Arial Narrow" w:hAnsi="Arial Narrow"/>
          <w:sz w:val="24"/>
          <w:szCs w:val="24"/>
        </w:rPr>
        <w:fldChar w:fldCharType="end"/>
      </w:r>
      <w:r w:rsidRPr="005658EC">
        <w:rPr>
          <w:rFonts w:ascii="Arial Narrow" w:hAnsi="Arial Narrow"/>
          <w:sz w:val="24"/>
          <w:szCs w:val="24"/>
        </w:rPr>
        <w:t xml:space="preserve">. So, there is a cultural process in every educational process; the two cannot be separated. Culture covers all aspects of human life, and education is a basic need for every individual in society. As we know that the meaning of culture itself is the result of human cultivation, this claims that education and culture are two elements that are very closely related. Culture dynamically adapts to the dynamics of society. Culture will develop massively along with the development of human cultivation. Human abilities can be developed through education </w:t>
      </w:r>
      <w:r w:rsidRPr="005658EC">
        <w:rPr>
          <w:rFonts w:ascii="Arial Narrow" w:hAnsi="Arial Narrow"/>
          <w:sz w:val="24"/>
          <w:szCs w:val="24"/>
        </w:rPr>
        <w:fldChar w:fldCharType="begin" w:fldLock="1"/>
      </w:r>
      <w:r w:rsidRPr="005658EC">
        <w:rPr>
          <w:rFonts w:ascii="Arial Narrow" w:hAnsi="Arial Narrow"/>
          <w:sz w:val="24"/>
          <w:szCs w:val="24"/>
        </w:rPr>
        <w:instrText>ADDIN CSL_CITATION {"citationItems":[{"id":"ITEM-1","itemData":{"DOI":"10.14689/ejer.2021.96.14","ISSN":"25288911","abstract":"Purpose: This study aimed to see the influence of the integration of ethno mathematics with the framework of TPACK (Technologıcal, Pedagogıcal, Art, Content, And Knowledge) as a problem-based learning model, in junior high school to teach social arithmetic. Methodology: This study used a mixed method, quasi-experimental research design with two experimental groups. The data constituted the students’ posttest outcomes and the results of observation of its implementation by teachers in classroom. A sample of 128 students from 4 classes at junior high school at Jambi city was identified through a simple random sampling technique. Findings: Findings concluded that ethno-mathematical learning with TPACK intervention assisted by PBL models can be more effective than a simple ethno-mathematical learning model. The students who went through this experiment scored higher grades and achieved better learning outcomes. The teachers found it more holistic and supported the achievement of learning objectives. Implications to Research and Practice: Implications for students includes making learning less rigid because students can easily observe or imagine what is explained by the teacher; it increased their thinking and problem-solving skills. Teachers can make effective use of cultural values in maximizing students’ learning potential and improve their own ability to manage the classes more effectively.","author":[{"dropping-particle":"","family":"Kamid","given":"","non-dropping-particle":"","parse-names":false,"suffix":""},{"dropping-particle":"","family":"Rohati","given":"","non-dropping-particle":"","parse-names":false,"suffix":""},{"dropping-particle":"","family":"Kurniawan","given":"Dwi Agus","non-dropping-particle":"","parse-names":false,"suffix":""},{"dropping-particle":"","family":"Perdana","given":"Rahmat","non-dropping-particle":"","parse-names":false,"suffix":""},{"dropping-particle":"","family":"Chen","given":"Diki","non-dropping-particle":"","parse-names":false,"suffix":""},{"dropping-particle":"","family":"Wulandari","given":"Mashelin","non-dropping-particle":"","parse-names":false,"suffix":""}],"container-title":"Eurasian Journal of Educational Research","id":"ITEM-1","issue":"96","issued":{"date-parts":[["2021"]]},"title":"Impact of the Integration of Ethno-mathematics with TPACK framework as a problem-based learning (PBL) model","type":"article-journal","volume":"2021"},"uris":["http://www.mendeley.com/documents/?uuid=ba88bed4-3d2d-37e5-ab7c-8d34616e93ab"]}],"mendeley":{"formattedCitation":"(Kamid et al., 2021)","plainTextFormattedCitation":"(Kamid et al., 2021)","previouslyFormattedCitation":"(Kamid et al., 2021)"},"properties":{"noteIndex":0},"schema":"https://github.com/citation-style-language/schema/raw/master/csl-citation.json"}</w:instrText>
      </w:r>
      <w:r w:rsidRPr="005658EC">
        <w:rPr>
          <w:rFonts w:ascii="Arial Narrow" w:hAnsi="Arial Narrow"/>
          <w:sz w:val="24"/>
          <w:szCs w:val="24"/>
        </w:rPr>
        <w:fldChar w:fldCharType="separate"/>
      </w:r>
      <w:r w:rsidRPr="005658EC">
        <w:rPr>
          <w:rFonts w:ascii="Arial Narrow" w:hAnsi="Arial Narrow"/>
          <w:noProof/>
          <w:sz w:val="24"/>
          <w:szCs w:val="24"/>
        </w:rPr>
        <w:t>(Kamid et al., 2021)</w:t>
      </w:r>
      <w:r w:rsidRPr="005658EC">
        <w:rPr>
          <w:rFonts w:ascii="Arial Narrow" w:hAnsi="Arial Narrow"/>
          <w:sz w:val="24"/>
          <w:szCs w:val="24"/>
        </w:rPr>
        <w:fldChar w:fldCharType="end"/>
      </w:r>
      <w:r w:rsidRPr="005658EC">
        <w:rPr>
          <w:rFonts w:ascii="Arial Narrow" w:hAnsi="Arial Narrow"/>
          <w:sz w:val="24"/>
          <w:szCs w:val="24"/>
        </w:rPr>
        <w:t>.</w:t>
      </w:r>
    </w:p>
    <w:p w:rsidR="005658EC" w:rsidRPr="005658EC" w:rsidRDefault="005658EC" w:rsidP="005658EC">
      <w:pPr>
        <w:spacing w:line="360" w:lineRule="auto"/>
        <w:ind w:firstLine="720"/>
        <w:jc w:val="both"/>
        <w:rPr>
          <w:rFonts w:ascii="Arial Narrow" w:hAnsi="Arial Narrow"/>
          <w:sz w:val="24"/>
          <w:szCs w:val="24"/>
        </w:rPr>
      </w:pPr>
      <w:r w:rsidRPr="005658EC">
        <w:rPr>
          <w:rFonts w:ascii="Arial Narrow" w:hAnsi="Arial Narrow"/>
          <w:sz w:val="24"/>
          <w:szCs w:val="24"/>
        </w:rPr>
        <w:t xml:space="preserve">The Ministry of Education and Culture stated that teaching mathematics at the school level has a critical mission: to achieve national education goals, namely formal and material goals. Formal goals place more emphasis on reasoning and personality formation, and Material objectives place more emphasis on problem-solving abilities and mathematical implementation </w:t>
      </w:r>
      <w:r w:rsidRPr="005658EC">
        <w:rPr>
          <w:rFonts w:ascii="Arial Narrow" w:hAnsi="Arial Narrow"/>
          <w:sz w:val="24"/>
          <w:szCs w:val="24"/>
        </w:rPr>
        <w:fldChar w:fldCharType="begin" w:fldLock="1"/>
      </w:r>
      <w:r w:rsidRPr="005658EC">
        <w:rPr>
          <w:rFonts w:ascii="Arial Narrow" w:hAnsi="Arial Narrow"/>
          <w:sz w:val="24"/>
          <w:szCs w:val="24"/>
        </w:rPr>
        <w:instrText>ADDIN CSL_CITATION {"citationItems":[{"id":"ITEM-1","itemData":{"author":[{"dropping-particle":"","family":"Kemendikbud","given":"","non-dropping-particle":"","parse-names":false,"suffix":""}],"id":"ITEM-1","issued":{"date-parts":[["2011"]]},"title":"Peran Lembaga Adat","type":"book"},"uris":["http://www.mendeley.com/documents/?uuid=72e23b89-ac3d-4217-bded-3367fb41d848","http://www.mendeley.com/documents/?uuid=4129c115-81c1-4a6c-ad17-d3660dfc7398"]}],"mendeley":{"formattedCitation":"(Kemendikbud, 2011)","plainTextFormattedCitation":"(Kemendikbud, 2011)","previouslyFormattedCitation":"(Kemendikbud, 2011)"},"properties":{"noteIndex":0},"schema":"https://github.com/citation-style-language/schema/raw/master/csl-citation.json"}</w:instrText>
      </w:r>
      <w:r w:rsidRPr="005658EC">
        <w:rPr>
          <w:rFonts w:ascii="Arial Narrow" w:hAnsi="Arial Narrow"/>
          <w:sz w:val="24"/>
          <w:szCs w:val="24"/>
        </w:rPr>
        <w:fldChar w:fldCharType="separate"/>
      </w:r>
      <w:r w:rsidRPr="005658EC">
        <w:rPr>
          <w:rFonts w:ascii="Arial Narrow" w:hAnsi="Arial Narrow"/>
          <w:noProof/>
          <w:sz w:val="24"/>
          <w:szCs w:val="24"/>
        </w:rPr>
        <w:t>(Kemendikbud, 2011)</w:t>
      </w:r>
      <w:r w:rsidRPr="005658EC">
        <w:rPr>
          <w:rFonts w:ascii="Arial Narrow" w:hAnsi="Arial Narrow"/>
          <w:sz w:val="24"/>
          <w:szCs w:val="24"/>
        </w:rPr>
        <w:fldChar w:fldCharType="end"/>
      </w:r>
      <w:r w:rsidRPr="005658EC">
        <w:rPr>
          <w:rFonts w:ascii="Arial Narrow" w:hAnsi="Arial Narrow"/>
          <w:sz w:val="24"/>
          <w:szCs w:val="24"/>
        </w:rPr>
        <w:t xml:space="preserve">. In practice, mathematics learning in schools tends </w:t>
      </w:r>
      <w:r w:rsidRPr="005658EC">
        <w:rPr>
          <w:rFonts w:ascii="Arial Narrow" w:hAnsi="Arial Narrow"/>
          <w:sz w:val="24"/>
          <w:szCs w:val="24"/>
        </w:rPr>
        <w:lastRenderedPageBreak/>
        <w:t xml:space="preserve">to be formal. Mathematics learning orientation only focuses on mathematical understanding and the ability to solve mathematical problems. Teachers do not involve students' mathematical ideas. Students' understanding is often obtained only through explanation or notification by the teacher, without mathematical exploration. This results in the emergence of cultural conflict, namely the difference between the mathematics children encounters daily and the mathematics they encounter at school </w:t>
      </w:r>
      <w:r w:rsidRPr="005658EC">
        <w:rPr>
          <w:rFonts w:ascii="Arial Narrow" w:hAnsi="Arial Narrow"/>
          <w:sz w:val="24"/>
          <w:szCs w:val="24"/>
        </w:rPr>
        <w:fldChar w:fldCharType="begin" w:fldLock="1"/>
      </w:r>
      <w:r w:rsidRPr="005658EC">
        <w:rPr>
          <w:rFonts w:ascii="Arial Narrow" w:hAnsi="Arial Narrow"/>
          <w:sz w:val="24"/>
          <w:szCs w:val="24"/>
        </w:rPr>
        <w:instrText xml:space="preserve">ADDIN CSL_CITATION {"citationItems":[{"id":"ITEM-1","itemData":{"DOI":"10.20414/betajtm.v14i2.464","ISSN":"2085-5893","abstract":"[English]: This scoping review aims to examine mathematics education research in Indonesia in the last seven years. A search on top 1 and 2 journals, which were selected through a national database (Sinta), yielded 595 articles published from 2015 to March 2021. A content analysis of the articles revealed that research mostly used by mathematics education researchers in Indonesia was qualitative (41.85%), quantitative (32.94%), and developmental (17.82%). The research participants were dominated by junior high school students (35.63%), college students or pre-service teachers (23.87%), and senior high school students (17.48%). The number of participants ranges from 31 to 60 (26.72%) in the majority of the research. Most of the research data were collected through tests, interviews, and questionnaires. Meanwhile, in analyzing the data, the use of descriptive statistics, qualitative methods, and t-tests were obtrusive. There are twelve most researched topics in Indonesia, including mathematical ability (27.23%), technology application (13.28%), and cognitive process (9.92%). Several topics that have not been developed in Indonesia are philosophy and history of mathematics education, early childhood mathematics learning, and topics on multicultural, multilingualism, and equity in mathematics education. Meanwhile, the integration of Islamic values </w:instrText>
      </w:r>
      <w:r w:rsidRPr="005658EC">
        <w:rPr>
          <w:rFonts w:ascii="Arial" w:hAnsi="Arial" w:cs="Arial"/>
          <w:sz w:val="24"/>
          <w:szCs w:val="24"/>
        </w:rPr>
        <w:instrText>​​</w:instrText>
      </w:r>
      <w:r w:rsidRPr="005658EC">
        <w:rPr>
          <w:rFonts w:ascii="Arial Narrow" w:hAnsi="Arial Narrow"/>
          <w:sz w:val="24"/>
          <w:szCs w:val="24"/>
        </w:rPr>
        <w:instrText>in teaching and learning mathematics is a particular topic in Indonesia. [Bahasa]: Penelitian ini bertujuan untuk mengkaji penelitian pendidikan matematika di Indonesia dalam tujuh tahun terakhir. Pencarian pada jurnal level 1 dan level 2, yang dipilih melalui basis data nasional (Sinta), menghasilkan 595 artikel yang diterbitkan dari tahun 2015 sampai Maret 2021. Hasil konten analisis dari artikel tersebut menunjukkan bahwa penelitian paling banyak digunakan peneliti pendidikan matematika di Indonesia adalah kualitatif (41,85%), kuantitatif (32,94%), dan pengembangan (17,82%). Partisipan paling banyak dilibatkan adalah siswa SMP (35,63%), mahasiswa atau calon guru (23,87%), dan siswa SMA (17,48%). Sebagian besar jumlah sampel yang digunakan berada pada kisaran 31-60 orang (26,72%). Pengumpulan data banyak dilakukan melalui tes, wawancara, dan kuesioner. Sementara itu, analisis data paling banyak menggunakan statistik deskriptif, metode kualitatif, dan uji-t. Terdapat dua belas topik paling banyak diteliti di Indonesia, diantaranya; kemampuan matematis (27,23%), aplikasi teknologi (13,28%), dan proses kognitif (…","author":[{"dropping-particle":"","family":"Nur","given":"Andi Saparuddin","non-dropping-particle":"","parse-names":false,"suffix":""},{"dropping-particle":"","family":"Marlissa","given":"Inggrid","non-dropping-particle":"","parse-names":false,"suffix":""},{"dropping-particle":"","family":"Kamariah","given":"Kamariah","non-dropping-particle":"","parse-names":false,"suffix":""},{"dropping-particle":"","family":"Palobo","given":"Markus","non-dropping-particle":"","parse-names":false,"suffix":""},{"dropping-particle":"","family":"Ramadhani","given":"Widya Putri","non-dropping-particle":"","parse-names":false,"suffix":""}],"container-title":"Beta: Jurnal Tadris Matematika","id":"ITEM-1","issue":"2","issued":{"date-parts":[["2021"]]},"title":"Mathematics education research in Indonesia: A scoping review","type":"article-journal","volume":"14"},"uris":["http://www.mendeley.com/documents/?uuid=afcf90d8-dfed-336e-810d-dc2e86c8328e"]}],"mendeley":{"formattedCitation":"(Nur et al., 2021)","plainTextFormattedCitation":"(Nur et al., 2021)","previouslyFormattedCitation":"(Nur et al., 2021)"},"properties":{"noteIndex":0},"schema":"https://github.com/citation-style-language/schema/raw/master/csl-citation.json"}</w:instrText>
      </w:r>
      <w:r w:rsidRPr="005658EC">
        <w:rPr>
          <w:rFonts w:ascii="Arial Narrow" w:hAnsi="Arial Narrow"/>
          <w:sz w:val="24"/>
          <w:szCs w:val="24"/>
        </w:rPr>
        <w:fldChar w:fldCharType="separate"/>
      </w:r>
      <w:r w:rsidRPr="005658EC">
        <w:rPr>
          <w:rFonts w:ascii="Arial Narrow" w:hAnsi="Arial Narrow"/>
          <w:noProof/>
          <w:sz w:val="24"/>
          <w:szCs w:val="24"/>
        </w:rPr>
        <w:t>(Nur et al., 2021)</w:t>
      </w:r>
      <w:r w:rsidRPr="005658EC">
        <w:rPr>
          <w:rFonts w:ascii="Arial Narrow" w:hAnsi="Arial Narrow"/>
          <w:sz w:val="24"/>
          <w:szCs w:val="24"/>
        </w:rPr>
        <w:fldChar w:fldCharType="end"/>
      </w:r>
      <w:r w:rsidRPr="005658EC">
        <w:rPr>
          <w:rFonts w:ascii="Arial Narrow" w:hAnsi="Arial Narrow"/>
          <w:sz w:val="24"/>
          <w:szCs w:val="24"/>
        </w:rPr>
        <w:t xml:space="preserve"> </w:t>
      </w:r>
      <w:r w:rsidRPr="005658EC">
        <w:rPr>
          <w:rFonts w:ascii="Arial Narrow" w:hAnsi="Arial Narrow"/>
          <w:sz w:val="24"/>
          <w:szCs w:val="24"/>
        </w:rPr>
        <w:fldChar w:fldCharType="begin" w:fldLock="1"/>
      </w:r>
      <w:r w:rsidRPr="005658EC">
        <w:rPr>
          <w:rFonts w:ascii="Arial Narrow" w:hAnsi="Arial Narrow"/>
          <w:sz w:val="24"/>
          <w:szCs w:val="24"/>
        </w:rPr>
        <w:instrText>ADDIN CSL_CITATION {"citationItems":[{"id":"ITEM-1","itemData":{"author":[{"dropping-particle":"","family":"Hiebert, J ; Carpenter","given":"TP","non-dropping-particle":"","parse-names":false,"suffix":""}],"id":"ITEM-1","issued":{"date-parts":[["1992"]]},"publisher":"Macmillan","publisher-place":"New York","title":"Learning with understading. In D.G. Grouws (Ed), Handbook of Research on Mathematics Reaching and Learning","type":"book"},"uris":["http://www.mendeley.com/documents/?uuid=ee25dc35-378b-4b6c-b681-64f4f3514a60","http://www.mendeley.com/documents/?uuid=c2433333-d55a-408a-8397-5416f12d5a3d"]}],"mendeley":{"formattedCitation":"(Hiebert, J</w:instrText>
      </w:r>
      <w:r w:rsidRPr="005658EC">
        <w:rPr>
          <w:rFonts w:ascii="Arial" w:hAnsi="Arial" w:cs="Arial"/>
          <w:sz w:val="24"/>
          <w:szCs w:val="24"/>
        </w:rPr>
        <w:instrText> </w:instrText>
      </w:r>
      <w:r w:rsidRPr="005658EC">
        <w:rPr>
          <w:rFonts w:ascii="Arial Narrow" w:hAnsi="Arial Narrow"/>
          <w:sz w:val="24"/>
          <w:szCs w:val="24"/>
        </w:rPr>
        <w:instrText>; Carpenter, 1992)","plainTextFormattedCitation":"(Hiebert, J</w:instrText>
      </w:r>
      <w:r w:rsidRPr="005658EC">
        <w:rPr>
          <w:rFonts w:ascii="Arial" w:hAnsi="Arial" w:cs="Arial"/>
          <w:sz w:val="24"/>
          <w:szCs w:val="24"/>
        </w:rPr>
        <w:instrText> </w:instrText>
      </w:r>
      <w:r w:rsidRPr="005658EC">
        <w:rPr>
          <w:rFonts w:ascii="Arial Narrow" w:hAnsi="Arial Narrow"/>
          <w:sz w:val="24"/>
          <w:szCs w:val="24"/>
        </w:rPr>
        <w:instrText>; Carpenter, 1992)","previouslyFormattedCitation":"(Hiebert, J</w:instrText>
      </w:r>
      <w:r w:rsidRPr="005658EC">
        <w:rPr>
          <w:rFonts w:ascii="Arial" w:hAnsi="Arial" w:cs="Arial"/>
          <w:sz w:val="24"/>
          <w:szCs w:val="24"/>
        </w:rPr>
        <w:instrText> </w:instrText>
      </w:r>
      <w:r w:rsidRPr="005658EC">
        <w:rPr>
          <w:rFonts w:ascii="Arial Narrow" w:hAnsi="Arial Narrow"/>
          <w:sz w:val="24"/>
          <w:szCs w:val="24"/>
        </w:rPr>
        <w:instrText>; Carpenter, 1992)"},"properties":{"noteIndex":0},"schema":"https://github.com/citation-style-language/schema/raw/master/csl-citation.json"}</w:instrText>
      </w:r>
      <w:r w:rsidRPr="005658EC">
        <w:rPr>
          <w:rFonts w:ascii="Arial Narrow" w:hAnsi="Arial Narrow"/>
          <w:sz w:val="24"/>
          <w:szCs w:val="24"/>
        </w:rPr>
        <w:fldChar w:fldCharType="separate"/>
      </w:r>
      <w:r w:rsidRPr="005658EC">
        <w:rPr>
          <w:rFonts w:ascii="Arial Narrow" w:hAnsi="Arial Narrow"/>
          <w:noProof/>
          <w:sz w:val="24"/>
          <w:szCs w:val="24"/>
        </w:rPr>
        <w:t>(Hiebert, J</w:t>
      </w:r>
      <w:r w:rsidRPr="005658EC">
        <w:rPr>
          <w:rFonts w:ascii="Arial" w:hAnsi="Arial" w:cs="Arial"/>
          <w:noProof/>
          <w:sz w:val="24"/>
          <w:szCs w:val="24"/>
        </w:rPr>
        <w:t> </w:t>
      </w:r>
      <w:r w:rsidRPr="005658EC">
        <w:rPr>
          <w:rFonts w:ascii="Arial Narrow" w:hAnsi="Arial Narrow"/>
          <w:noProof/>
          <w:sz w:val="24"/>
          <w:szCs w:val="24"/>
        </w:rPr>
        <w:t>; Carpenter, 1992)</w:t>
      </w:r>
      <w:r w:rsidRPr="005658EC">
        <w:rPr>
          <w:rFonts w:ascii="Arial Narrow" w:hAnsi="Arial Narrow"/>
          <w:sz w:val="24"/>
          <w:szCs w:val="24"/>
        </w:rPr>
        <w:fldChar w:fldCharType="end"/>
      </w:r>
      <w:r w:rsidRPr="005658EC">
        <w:rPr>
          <w:rFonts w:ascii="Arial Narrow" w:hAnsi="Arial Narrow"/>
          <w:sz w:val="24"/>
          <w:szCs w:val="24"/>
        </w:rPr>
        <w:t>.</w:t>
      </w:r>
    </w:p>
    <w:p w:rsidR="005658EC" w:rsidRPr="005658EC" w:rsidRDefault="005658EC" w:rsidP="005658EC">
      <w:pPr>
        <w:spacing w:line="360" w:lineRule="auto"/>
        <w:ind w:firstLine="720"/>
        <w:jc w:val="both"/>
        <w:rPr>
          <w:rFonts w:ascii="Arial Narrow" w:hAnsi="Arial Narrow"/>
          <w:sz w:val="24"/>
          <w:szCs w:val="24"/>
        </w:rPr>
      </w:pPr>
      <w:r w:rsidRPr="005658EC">
        <w:rPr>
          <w:rFonts w:ascii="Arial Narrow" w:hAnsi="Arial Narrow"/>
          <w:sz w:val="24"/>
          <w:szCs w:val="24"/>
        </w:rPr>
        <w:t xml:space="preserve">In line with </w:t>
      </w:r>
      <w:proofErr w:type="spellStart"/>
      <w:r w:rsidRPr="005658EC">
        <w:rPr>
          <w:rFonts w:ascii="Arial Narrow" w:hAnsi="Arial Narrow"/>
          <w:sz w:val="24"/>
          <w:szCs w:val="24"/>
        </w:rPr>
        <w:t>D'Ambrosio's</w:t>
      </w:r>
      <w:proofErr w:type="spellEnd"/>
      <w:r w:rsidRPr="005658EC">
        <w:rPr>
          <w:rFonts w:ascii="Arial Narrow" w:hAnsi="Arial Narrow"/>
          <w:sz w:val="24"/>
          <w:szCs w:val="24"/>
        </w:rPr>
        <w:t xml:space="preserve"> statement, students think that studying mathematics is not helpful because mathematics is not needed in the field of work (career); in contrast to other subjects, the discussion of mathematics is too narrow, not interesting, and is considered less relevant. An understanding of mathematics that is not in-depth will create inappropriate attitudes and can even lead to negative attitudes toward mathematics</w:t>
      </w:r>
      <w:r w:rsidRPr="005658EC">
        <w:rPr>
          <w:rFonts w:ascii="Arial Narrow" w:hAnsi="Arial Narrow"/>
          <w:sz w:val="24"/>
          <w:szCs w:val="24"/>
        </w:rPr>
        <w:fldChar w:fldCharType="begin" w:fldLock="1"/>
      </w:r>
      <w:r w:rsidRPr="005658EC">
        <w:rPr>
          <w:rFonts w:ascii="Arial Narrow" w:hAnsi="Arial Narrow"/>
          <w:sz w:val="24"/>
          <w:szCs w:val="24"/>
        </w:rPr>
        <w:instrText>ADDIN CSL_CITATION {"citationItems":[{"id":"ITEM-1","itemData":{"DOI":"10.5951/tcm.7.6.0308","ISSN":"1073-5836","abstract":" The term ethnomathematics is used to express the relationship between culture and mathematics. The term requires a dynamic interpretation because it describes concepts that are themselves neither rigid nor singular—namely, ethno and mathematics (D'Ambrosio 1987). The term ethno describes “all of the ingredients that make up the cultural identity of a group: language, codes, values, jargon, beliefs, food and dress, habits, and physical traits.” Mathematics expresses a “broad view of mathematics which includes ciphering, arithmetic, classifying, ordering, inferring, and modeling” (pp. 2–3). ","author":[{"dropping-particle":"","family":"D'Ambrosio","given":"Ubiratan","non-dropping-particle":"","parse-names":false,"suffix":""}],"container-title":"Teaching Children Mathematics","id":"ITEM-1","issue":"6","issued":{"date-parts":[["2020"]]},"title":"In My Opinion: What Is Ethnomathematics, and How Can It Help Children in Schools?","type":"article-journal","volume":"7"},"uris":["http://www.mendeley.com/documents/?uuid=5440d4a9-b3fe-3b29-bd62-8c58d48cdf68"]}],"mendeley":{"formattedCitation":"(D’Ambrosio, 2020)","plainTextFormattedCitation":"(D’Ambrosio, 2020)","previouslyFormattedCitation":"(D’Ambrosio, 2020)"},"properties":{"noteIndex":0},"schema":"https://github.com/citation-style-language/schema/raw/master/csl-citation.json"}</w:instrText>
      </w:r>
      <w:r w:rsidRPr="005658EC">
        <w:rPr>
          <w:rFonts w:ascii="Arial Narrow" w:hAnsi="Arial Narrow"/>
          <w:sz w:val="24"/>
          <w:szCs w:val="24"/>
        </w:rPr>
        <w:fldChar w:fldCharType="separate"/>
      </w:r>
      <w:r w:rsidRPr="005658EC">
        <w:rPr>
          <w:rFonts w:ascii="Arial Narrow" w:hAnsi="Arial Narrow"/>
          <w:noProof/>
          <w:sz w:val="24"/>
          <w:szCs w:val="24"/>
        </w:rPr>
        <w:t>(</w:t>
      </w:r>
      <w:proofErr w:type="spellStart"/>
      <w:r w:rsidRPr="005658EC">
        <w:rPr>
          <w:rFonts w:ascii="Arial Narrow" w:hAnsi="Arial Narrow"/>
          <w:noProof/>
          <w:sz w:val="24"/>
          <w:szCs w:val="24"/>
        </w:rPr>
        <w:t>D’Ambrosio</w:t>
      </w:r>
      <w:proofErr w:type="spellEnd"/>
      <w:r w:rsidRPr="005658EC">
        <w:rPr>
          <w:rFonts w:ascii="Arial Narrow" w:hAnsi="Arial Narrow"/>
          <w:noProof/>
          <w:sz w:val="24"/>
          <w:szCs w:val="24"/>
        </w:rPr>
        <w:t>, 2020)</w:t>
      </w:r>
      <w:r w:rsidRPr="005658EC">
        <w:rPr>
          <w:rFonts w:ascii="Arial Narrow" w:hAnsi="Arial Narrow"/>
          <w:sz w:val="24"/>
          <w:szCs w:val="24"/>
        </w:rPr>
        <w:fldChar w:fldCharType="end"/>
      </w:r>
      <w:r w:rsidRPr="005658EC">
        <w:rPr>
          <w:rFonts w:ascii="Arial Narrow" w:hAnsi="Arial Narrow"/>
          <w:sz w:val="24"/>
          <w:szCs w:val="24"/>
        </w:rPr>
        <w:t xml:space="preserve"> </w:t>
      </w:r>
      <w:r w:rsidRPr="005658EC">
        <w:rPr>
          <w:rFonts w:ascii="Arial Narrow" w:hAnsi="Arial Narrow"/>
          <w:sz w:val="24"/>
          <w:szCs w:val="24"/>
        </w:rPr>
        <w:fldChar w:fldCharType="begin" w:fldLock="1"/>
      </w:r>
      <w:r w:rsidRPr="005658EC">
        <w:rPr>
          <w:rFonts w:ascii="Arial Narrow" w:hAnsi="Arial Narrow"/>
          <w:sz w:val="24"/>
          <w:szCs w:val="24"/>
        </w:rPr>
        <w:instrText>ADDIN CSL_CITATION {"citationItems":[{"id":"ITEM-1","itemData":{"author":[{"dropping-particle":"","family":"D’Ambrosio","given":"U","non-dropping-particle":"","parse-names":false,"suffix":""}],"id":"ITEM-1","issued":{"date-parts":[["2006"]]},"publisher":"University of Pisa","publisher-place":"Pisa","title":"Copenhagen, Preface : Ethnomathematics And Mathematics Education. International Congress of Mathematics Education","type":"book"},"uris":["http://www.mendeley.com/documents/?uuid=fba4c802-5aca-40af-afc2-60b75914b3f6","http://www.mendeley.com/documents/?uuid=fa68afe7-6553-44b0-a951-e5a8e3835034"]}],"mendeley":{"formattedCitation":"(D’Ambrosio, 2006)","plainTextFormattedCitation":"(D’Ambrosio, 2006)","previouslyFormattedCitation":"(D’Ambrosio, 2006)"},"properties":{"noteIndex":0},"schema":"https://github.com/citation-style-language/schema/raw/master/csl-citation.json"}</w:instrText>
      </w:r>
      <w:r w:rsidRPr="005658EC">
        <w:rPr>
          <w:rFonts w:ascii="Arial Narrow" w:hAnsi="Arial Narrow"/>
          <w:sz w:val="24"/>
          <w:szCs w:val="24"/>
        </w:rPr>
        <w:fldChar w:fldCharType="separate"/>
      </w:r>
      <w:r w:rsidRPr="005658EC">
        <w:rPr>
          <w:rFonts w:ascii="Arial Narrow" w:hAnsi="Arial Narrow"/>
          <w:noProof/>
          <w:sz w:val="24"/>
          <w:szCs w:val="24"/>
        </w:rPr>
        <w:t>(D’Ambrosio, 2006)</w:t>
      </w:r>
      <w:r w:rsidRPr="005658EC">
        <w:rPr>
          <w:rFonts w:ascii="Arial Narrow" w:hAnsi="Arial Narrow"/>
          <w:sz w:val="24"/>
          <w:szCs w:val="24"/>
        </w:rPr>
        <w:fldChar w:fldCharType="end"/>
      </w:r>
      <w:r w:rsidRPr="005658EC">
        <w:rPr>
          <w:rFonts w:ascii="Arial Narrow" w:hAnsi="Arial Narrow"/>
          <w:sz w:val="24"/>
          <w:szCs w:val="24"/>
        </w:rPr>
        <w:t>.</w:t>
      </w:r>
    </w:p>
    <w:p w:rsidR="005658EC" w:rsidRPr="005658EC" w:rsidRDefault="005658EC" w:rsidP="005658EC">
      <w:pPr>
        <w:spacing w:line="360" w:lineRule="auto"/>
        <w:ind w:firstLine="720"/>
        <w:jc w:val="both"/>
        <w:rPr>
          <w:rFonts w:ascii="Arial Narrow" w:hAnsi="Arial Narrow"/>
          <w:sz w:val="24"/>
          <w:szCs w:val="24"/>
        </w:rPr>
      </w:pPr>
      <w:r w:rsidRPr="005658EC">
        <w:rPr>
          <w:rFonts w:ascii="Arial Narrow" w:hAnsi="Arial Narrow"/>
          <w:sz w:val="24"/>
          <w:szCs w:val="24"/>
        </w:rPr>
        <w:t xml:space="preserve">The scope of school mathematics material has been selected and adapted to students' cognitive stages to transfer its usefulness to students' daily lives quickly, as </w:t>
      </w:r>
      <w:proofErr w:type="spellStart"/>
      <w:r w:rsidRPr="005658EC">
        <w:rPr>
          <w:rFonts w:ascii="Arial Narrow" w:hAnsi="Arial Narrow"/>
          <w:sz w:val="24"/>
          <w:szCs w:val="24"/>
        </w:rPr>
        <w:t>Freudhental</w:t>
      </w:r>
      <w:proofErr w:type="spellEnd"/>
      <w:r w:rsidRPr="005658EC">
        <w:rPr>
          <w:rFonts w:ascii="Arial Narrow" w:hAnsi="Arial Narrow"/>
          <w:sz w:val="24"/>
          <w:szCs w:val="24"/>
        </w:rPr>
        <w:t xml:space="preserve"> stated that mathematics is a human activity and mathematics must be linked to </w:t>
      </w:r>
      <w:r w:rsidRPr="005658EC">
        <w:rPr>
          <w:rFonts w:ascii="Arial Narrow" w:hAnsi="Arial Narrow"/>
          <w:sz w:val="24"/>
          <w:szCs w:val="24"/>
        </w:rPr>
        <w:lastRenderedPageBreak/>
        <w:t xml:space="preserve">human life </w:t>
      </w:r>
      <w:r w:rsidRPr="005658EC">
        <w:rPr>
          <w:rFonts w:ascii="Arial Narrow" w:hAnsi="Arial Narrow"/>
          <w:sz w:val="24"/>
          <w:szCs w:val="24"/>
        </w:rPr>
        <w:fldChar w:fldCharType="begin" w:fldLock="1"/>
      </w:r>
      <w:r w:rsidRPr="005658EC">
        <w:rPr>
          <w:rFonts w:ascii="Arial Narrow" w:hAnsi="Arial Narrow"/>
          <w:sz w:val="24"/>
          <w:szCs w:val="24"/>
        </w:rPr>
        <w:instrText>ADDIN CSL_CITATION {"citationItems":[{"id":"ITEM-1","itemData":{"author":[{"dropping-particle":"","family":"Freudenthal","given":"H","non-dropping-particle":"","parse-names":false,"suffix":""}],"id":"ITEM-1","issued":{"date-parts":[["2002"]]},"publisher":"Springer","publisher-place":"Netherlan","title":"Revisiting Mathematics Education: China Lectures","type":"book"},"uris":["http://www.mendeley.com/documents/?uuid=30cfa08f-cbed-4cad-af7d-993eeab45ddb","http://www.mendeley.com/documents/?uuid=734bc838-3515-4054-ab4d-8f2743d81c80"]}],"mendeley":{"formattedCitation":"(Freudenthal, 2002)","plainTextFormattedCitation":"(Freudenthal, 2002)","previouslyFormattedCitation":"(Freudenthal, 2002)"},"properties":{"noteIndex":0},"schema":"https://github.com/citation-style-language/schema/raw/master/csl-citation.json"}</w:instrText>
      </w:r>
      <w:r w:rsidRPr="005658EC">
        <w:rPr>
          <w:rFonts w:ascii="Arial Narrow" w:hAnsi="Arial Narrow"/>
          <w:sz w:val="24"/>
          <w:szCs w:val="24"/>
        </w:rPr>
        <w:fldChar w:fldCharType="separate"/>
      </w:r>
      <w:r w:rsidRPr="005658EC">
        <w:rPr>
          <w:rFonts w:ascii="Arial Narrow" w:hAnsi="Arial Narrow"/>
          <w:noProof/>
          <w:sz w:val="24"/>
          <w:szCs w:val="24"/>
        </w:rPr>
        <w:t>(Freudenthal, 2002)</w:t>
      </w:r>
      <w:r w:rsidRPr="005658EC">
        <w:rPr>
          <w:rFonts w:ascii="Arial Narrow" w:hAnsi="Arial Narrow"/>
          <w:sz w:val="24"/>
          <w:szCs w:val="24"/>
        </w:rPr>
        <w:fldChar w:fldCharType="end"/>
      </w:r>
      <w:r w:rsidRPr="005658EC">
        <w:rPr>
          <w:rFonts w:ascii="Arial Narrow" w:hAnsi="Arial Narrow"/>
          <w:sz w:val="24"/>
          <w:szCs w:val="24"/>
        </w:rPr>
        <w:t>. Therefore, the implementation of mathematics learning must be able to be a link between mathematics at school and mathematics in students' real lives.</w:t>
      </w:r>
    </w:p>
    <w:p w:rsidR="005658EC" w:rsidRPr="005658EC" w:rsidRDefault="005658EC" w:rsidP="005658EC">
      <w:pPr>
        <w:spacing w:line="360" w:lineRule="auto"/>
        <w:ind w:firstLine="720"/>
        <w:jc w:val="both"/>
        <w:rPr>
          <w:rFonts w:ascii="Arial Narrow" w:hAnsi="Arial Narrow"/>
          <w:sz w:val="24"/>
          <w:szCs w:val="24"/>
        </w:rPr>
      </w:pPr>
      <w:proofErr w:type="spellStart"/>
      <w:r w:rsidRPr="005658EC">
        <w:rPr>
          <w:rFonts w:ascii="Arial Narrow" w:hAnsi="Arial Narrow"/>
          <w:sz w:val="24"/>
          <w:szCs w:val="24"/>
        </w:rPr>
        <w:t>Supriadi</w:t>
      </w:r>
      <w:proofErr w:type="spellEnd"/>
      <w:r w:rsidRPr="005658EC">
        <w:rPr>
          <w:rFonts w:ascii="Arial Narrow" w:hAnsi="Arial Narrow"/>
          <w:sz w:val="24"/>
          <w:szCs w:val="24"/>
        </w:rPr>
        <w:t xml:space="preserve"> </w:t>
      </w:r>
      <w:r w:rsidRPr="005658EC">
        <w:rPr>
          <w:rFonts w:ascii="Arial Narrow" w:hAnsi="Arial Narrow"/>
          <w:sz w:val="24"/>
          <w:szCs w:val="24"/>
        </w:rPr>
        <w:fldChar w:fldCharType="begin" w:fldLock="1"/>
      </w:r>
      <w:r w:rsidRPr="005658EC">
        <w:rPr>
          <w:rFonts w:ascii="Arial Narrow" w:hAnsi="Arial Narrow"/>
          <w:sz w:val="24"/>
          <w:szCs w:val="24"/>
        </w:rPr>
        <w:instrText>ADDIN CSL_CITATION {"citationItems":[{"id":"ITEM-1","itemData":{"DOI":"10.17051/ilkonline.2020.730747","ISSN":"13053515","abstract":"Cultural disappearance in the social order is one of the concerns in Indonesia nowadays, one of which is Sundanese culture. In addition, the crash of globalization also requires people to be inspired by learning many aspects away from their own culture. This paper aims at increasing the position of ethno mathematics learning in attractive the disposition modeling of mathematics while maintaining the traditional culture. This quantitative study applied the Rasch Wins Step Model to survey 90 elementary pre-service elementary teachers education students as the respondents in which they were grouped based on educational background, namely science or non-science, and Sundanese language ability background, and by Sundanese and non-Sundanese language, based on educational background, 59 respondents were the students of natural science class, and 31 respondents were not the students of natural science class and consisting of 42 Sundanese respondents and 48 non-Sundanese respondents. The data were gathered by means of questionnaires regarding mathematics modeling disposition. The consequences exposed that most students decided to increase mathematics modeling disposition with ethno mathematics learning because student curiosity increases the understanding of Sundanese culture in learning mathematics. The more ordinary science and Sundanese origin support ethno mathematics learning compared to non-science and non-Sundanese mathematics modeling disposition. Mathematical modeling activities will be more meaningful for students if they use culture.","author":[{"dropping-particle":"","family":"Supriadi","given":"S.","non-dropping-particle":"","parse-names":false,"suffix":""}],"container-title":"Elementary Education Online","id":"ITEM-1","issue":"3","issued":{"date-parts":[["2020"]]},"title":"Pre-service elementary teachers: Analysis of the disposition of mathematical modeling in ethno mathematics learning","type":"article-journal","volume":"19"},"uris":["http://www.mendeley.com/documents/?uuid=353a0782-ab1d-3b49-809c-516797390af1"]}],"mendeley":{"formattedCitation":"(Supriadi, 2020)","plainTextFormattedCitation":"(Supriadi, 2020)","previouslyFormattedCitation":"(Supriadi, 2020)"},"properties":{"noteIndex":0},"schema":"https://github.com/citation-style-language/schema/raw/master/csl-citation.json"}</w:instrText>
      </w:r>
      <w:r w:rsidRPr="005658EC">
        <w:rPr>
          <w:rFonts w:ascii="Arial Narrow" w:hAnsi="Arial Narrow"/>
          <w:sz w:val="24"/>
          <w:szCs w:val="24"/>
        </w:rPr>
        <w:fldChar w:fldCharType="separate"/>
      </w:r>
      <w:r w:rsidRPr="005658EC">
        <w:rPr>
          <w:rFonts w:ascii="Arial Narrow" w:hAnsi="Arial Narrow"/>
          <w:noProof/>
          <w:sz w:val="24"/>
          <w:szCs w:val="24"/>
        </w:rPr>
        <w:t>(Supriadi, 2020)</w:t>
      </w:r>
      <w:r w:rsidRPr="005658EC">
        <w:rPr>
          <w:rFonts w:ascii="Arial Narrow" w:hAnsi="Arial Narrow"/>
          <w:sz w:val="24"/>
          <w:szCs w:val="24"/>
        </w:rPr>
        <w:fldChar w:fldCharType="end"/>
      </w:r>
      <w:r w:rsidRPr="005658EC">
        <w:rPr>
          <w:rFonts w:ascii="Arial Narrow" w:hAnsi="Arial Narrow"/>
          <w:sz w:val="24"/>
          <w:szCs w:val="24"/>
        </w:rPr>
        <w:t xml:space="preserve"> research on </w:t>
      </w:r>
      <w:proofErr w:type="spellStart"/>
      <w:r w:rsidRPr="005658EC">
        <w:rPr>
          <w:rFonts w:ascii="Arial Narrow" w:hAnsi="Arial Narrow"/>
          <w:sz w:val="24"/>
          <w:szCs w:val="24"/>
        </w:rPr>
        <w:t>ethnomathematics</w:t>
      </w:r>
      <w:proofErr w:type="spellEnd"/>
      <w:r w:rsidRPr="005658EC">
        <w:rPr>
          <w:rFonts w:ascii="Arial Narrow" w:hAnsi="Arial Narrow"/>
          <w:sz w:val="24"/>
          <w:szCs w:val="24"/>
        </w:rPr>
        <w:t>, the aim is that the implementation of mathematics learning pays more attention to students' socio-cultural factors . The results of this research explain the fact that implementing learning with a socio-cultural approach can stimulate students to develop their intellectual, emotional, social, and political abilities through a cultural approach as an essential foundation that produces knowledge, understanding, skills, and attitudes.</w:t>
      </w:r>
    </w:p>
    <w:p w:rsidR="005658EC" w:rsidRPr="005658EC" w:rsidRDefault="005658EC" w:rsidP="005658EC">
      <w:pPr>
        <w:spacing w:line="360" w:lineRule="auto"/>
        <w:ind w:firstLine="720"/>
        <w:jc w:val="both"/>
        <w:rPr>
          <w:rFonts w:ascii="Arial Narrow" w:hAnsi="Arial Narrow"/>
          <w:sz w:val="24"/>
          <w:szCs w:val="24"/>
        </w:rPr>
      </w:pPr>
      <w:r w:rsidRPr="005658EC">
        <w:rPr>
          <w:rFonts w:ascii="Arial Narrow" w:hAnsi="Arial Narrow"/>
          <w:sz w:val="24"/>
          <w:szCs w:val="24"/>
        </w:rPr>
        <w:t xml:space="preserve">In implementing mathematics learning, paying attention to students' informal knowledge is crucial. Therefore, before starting learning, it is necessary to extract informal information (initial knowledge) of students that they receive from the community, where problems of differences in cultural background arise </w:t>
      </w:r>
      <w:r w:rsidRPr="005658EC">
        <w:rPr>
          <w:rFonts w:ascii="Arial Narrow" w:hAnsi="Arial Narrow"/>
          <w:sz w:val="24"/>
          <w:szCs w:val="24"/>
        </w:rPr>
        <w:fldChar w:fldCharType="begin" w:fldLock="1"/>
      </w:r>
      <w:r w:rsidRPr="005658EC">
        <w:rPr>
          <w:rFonts w:ascii="Arial Narrow" w:hAnsi="Arial Narrow"/>
          <w:sz w:val="24"/>
          <w:szCs w:val="24"/>
        </w:rPr>
        <w:instrText>ADDIN CSL_CITATION {"citationItems":[{"id":"ITEM-1","itemData":{"ISSN":"1573-1820","abstract":"Many countries are multicultural. Mathematics teacher education classes often are composed of students with varied cultural and linguistic backgrounds, and mathematics teachers may be employed in regions from which they do not come. Formal (mathematics) education is a process of cultural interaction, and every child and teacher may experience some degree of social and cultural conflict in that process. This paper describes and reflects on some of these tensions, as they exist in mathematics teacher education in Mozambique. The process of developing among future mathematics teachers an awareness of the social and cultural bases of mathematics is object of reflection.","author":[{"dropping-particle":"","family":"Gerdes","given":"Paulus","non-dropping-particle":"","parse-names":false,"suffix":""}],"container-title":"Journal of Mathematics Teacher Education","id":"ITEM-1","issue":"1","issued":{"date-parts":[["1998"]]},"title":"On Culture and Mathematics Teacher Education","type":"article-journal","volume":"1"},"uris":["http://www.mendeley.com/documents/?uuid=c918cc91-db46-3586-a757-ef3f5f11279f"]}],"mendeley":{"formattedCitation":"(Gerdes, 1998)","plainTextFormattedCitation":"(Gerdes, 1998)","previouslyFormattedCitation":"(Gerdes, 1998)"},"properties":{"noteIndex":0},"schema":"https://github.com/citation-style-language/schema/raw/master/csl-citation.json"}</w:instrText>
      </w:r>
      <w:r w:rsidRPr="005658EC">
        <w:rPr>
          <w:rFonts w:ascii="Arial Narrow" w:hAnsi="Arial Narrow"/>
          <w:sz w:val="24"/>
          <w:szCs w:val="24"/>
        </w:rPr>
        <w:fldChar w:fldCharType="separate"/>
      </w:r>
      <w:r w:rsidRPr="005658EC">
        <w:rPr>
          <w:rFonts w:ascii="Arial Narrow" w:hAnsi="Arial Narrow"/>
          <w:noProof/>
          <w:sz w:val="24"/>
          <w:szCs w:val="24"/>
        </w:rPr>
        <w:t>(Gerdes, 1998)</w:t>
      </w:r>
      <w:r w:rsidRPr="005658EC">
        <w:rPr>
          <w:rFonts w:ascii="Arial Narrow" w:hAnsi="Arial Narrow"/>
          <w:sz w:val="24"/>
          <w:szCs w:val="24"/>
        </w:rPr>
        <w:fldChar w:fldCharType="end"/>
      </w:r>
      <w:r w:rsidRPr="005658EC">
        <w:rPr>
          <w:rFonts w:ascii="Arial Narrow" w:hAnsi="Arial Narrow"/>
          <w:sz w:val="24"/>
          <w:szCs w:val="24"/>
        </w:rPr>
        <w:t xml:space="preserve"> (Bryant, 1996). Mathematics is a form of culture embedded in all social life elements </w:t>
      </w:r>
      <w:r w:rsidRPr="005658EC">
        <w:rPr>
          <w:rFonts w:ascii="Arial Narrow" w:hAnsi="Arial Narrow"/>
          <w:sz w:val="24"/>
          <w:szCs w:val="24"/>
        </w:rPr>
        <w:fldChar w:fldCharType="begin" w:fldLock="1"/>
      </w:r>
      <w:r w:rsidRPr="005658EC">
        <w:rPr>
          <w:rFonts w:ascii="Arial Narrow" w:hAnsi="Arial Narrow"/>
          <w:sz w:val="24"/>
          <w:szCs w:val="24"/>
        </w:rPr>
        <w:instrText>ADDIN CSL_CITATION {"citationItems":[{"id":"ITEM-1","itemData":{"ISSN":"0228-0671","abstract":"… mathe- matics education? It is high time that more research looked at the relationships between formal and non- formal mathematics education, and this area of cultur- al conflicts offers a particularly important focus. c) Informal …","author":[{"dropping-particle":"","family":"Bishop","given":"Alan","non-dropping-particle":"","parse-names":false,"suffix":""}],"container-title":"Learning of Mathematics","id":"ITEM-1","issue":"2","issued":{"date-parts":[["1994"]]},"title":"Cultural Conflicts in Mathematics Education: Developing a Research Agenda.","type":"article-journal","volume":"14"},"uris":["http://www.mendeley.com/documents/?uuid=65c1b263-2804-3135-a373-8830c79fc600"]}],"mendeley":{"formattedCitation":"(A. Bishop, 1994)","plainTextFormattedCitation":"(A. Bishop, 1994)","previouslyFormattedCitation":"(A. Bishop, 1994)"},"properties":{"noteIndex":0},"schema":"https://github.com/citation-style-language/schema/raw/master/csl-citation.json"}</w:instrText>
      </w:r>
      <w:r w:rsidRPr="005658EC">
        <w:rPr>
          <w:rFonts w:ascii="Arial Narrow" w:hAnsi="Arial Narrow"/>
          <w:sz w:val="24"/>
          <w:szCs w:val="24"/>
        </w:rPr>
        <w:fldChar w:fldCharType="separate"/>
      </w:r>
      <w:r w:rsidRPr="005658EC">
        <w:rPr>
          <w:rFonts w:ascii="Arial Narrow" w:hAnsi="Arial Narrow"/>
          <w:noProof/>
          <w:sz w:val="24"/>
          <w:szCs w:val="24"/>
        </w:rPr>
        <w:t>(A. Bishop, 1994)</w:t>
      </w:r>
      <w:r w:rsidRPr="005658EC">
        <w:rPr>
          <w:rFonts w:ascii="Arial Narrow" w:hAnsi="Arial Narrow"/>
          <w:sz w:val="24"/>
          <w:szCs w:val="24"/>
        </w:rPr>
        <w:fldChar w:fldCharType="end"/>
      </w:r>
      <w:r w:rsidRPr="005658EC">
        <w:rPr>
          <w:rFonts w:ascii="Arial Narrow" w:hAnsi="Arial Narrow"/>
          <w:sz w:val="24"/>
          <w:szCs w:val="24"/>
        </w:rPr>
        <w:t xml:space="preserve">. Culture influences individual behavior and plays a significant role in understanding abilities in mathematics (Bishop, 1991). So, a person's understanding of mathematics is also influenced by cultural factors. Basically, what a person does is based on what he sees and feels </w:t>
      </w:r>
      <w:r w:rsidRPr="005658EC">
        <w:rPr>
          <w:rFonts w:ascii="Arial Narrow" w:hAnsi="Arial Narrow"/>
          <w:sz w:val="24"/>
          <w:szCs w:val="24"/>
        </w:rPr>
        <w:fldChar w:fldCharType="begin" w:fldLock="1"/>
      </w:r>
      <w:r w:rsidRPr="005658EC">
        <w:rPr>
          <w:rFonts w:ascii="Arial Narrow" w:hAnsi="Arial Narrow"/>
          <w:sz w:val="24"/>
          <w:szCs w:val="24"/>
        </w:rPr>
        <w:instrText>ADDIN CSL_CITATION {"citationItems":[{"id":"ITEM-1","itemData":{"DOI":"10.1177/092137408800100202","ISSN":"14617048","abstract":"Many developments in education are fuelled by perceived problems in society, and mathematics education is no different. There is an increasing concern in many countries, including the UK, about the education of children whose family culture does not resonate with that of the school. In some countries pressure has mounted to reflect in the school curriculum the multi-cultural nature of their societies, and there has been widespread recognition of the need to re-evaluate the total school experience in the face of the educational failure of many children from ethnic minority communities In countries like Papua New Guinea, Mozambique and Iran, there is a concern to re-examine the ‘colonial’ or ‘western’ educational experience, and to try to create instead an education which is in tune with the ‘home’ culture of the society. The same concern emerges in other debates about the formal education of Aborigines, of Amerindians, of the Laps and of Eskimos. In all of these cases, a culture-conflict situation is recognised and curricula are being re-examined One particular version of this problem relates to the school Mathematics curriculum and its relationship with the home culture of the child. © 1988, Sage Publications. All rights reserved.","author":[{"dropping-particle":"","family":"Bishop","given":"A. J.","non-dropping-particle":"","parse-names":false,"suffix":""}],"container-title":"Cultural Dynamics","id":"ITEM-1","issue":"2","issued":{"date-parts":[["1988"]]},"title":"The Interactions of Mathematics Education with Culture","type":"article-journal","volume":"1"},"uris":["http://www.mendeley.com/documents/?uuid=e7685e95-f3c4-35aa-a401-a133f8b3303b"]}],"mendeley":{"formattedCitation":"(A. J. Bishop, 1988)","plainTextFormattedCitation":"(A. J. Bishop, 1988)","previouslyFormattedCitation":"(A. J. Bishop, 1988)"},"properties":{"noteIndex":0},"schema":"https://github.com/citation-style-language/schema/raw/master/csl-citation.json"}</w:instrText>
      </w:r>
      <w:r w:rsidRPr="005658EC">
        <w:rPr>
          <w:rFonts w:ascii="Arial Narrow" w:hAnsi="Arial Narrow"/>
          <w:sz w:val="24"/>
          <w:szCs w:val="24"/>
        </w:rPr>
        <w:fldChar w:fldCharType="separate"/>
      </w:r>
      <w:r w:rsidRPr="005658EC">
        <w:rPr>
          <w:rFonts w:ascii="Arial Narrow" w:hAnsi="Arial Narrow"/>
          <w:noProof/>
          <w:sz w:val="24"/>
          <w:szCs w:val="24"/>
        </w:rPr>
        <w:t>(A. J. Bishop, 1988)</w:t>
      </w:r>
      <w:r w:rsidRPr="005658EC">
        <w:rPr>
          <w:rFonts w:ascii="Arial Narrow" w:hAnsi="Arial Narrow"/>
          <w:sz w:val="24"/>
          <w:szCs w:val="24"/>
        </w:rPr>
        <w:fldChar w:fldCharType="end"/>
      </w:r>
      <w:r w:rsidRPr="005658EC">
        <w:rPr>
          <w:rFonts w:ascii="Arial Narrow" w:hAnsi="Arial Narrow"/>
          <w:sz w:val="24"/>
          <w:szCs w:val="24"/>
        </w:rPr>
        <w:t>.</w:t>
      </w:r>
    </w:p>
    <w:p w:rsidR="005658EC" w:rsidRPr="005658EC" w:rsidRDefault="005658EC" w:rsidP="005658EC">
      <w:pPr>
        <w:spacing w:line="360" w:lineRule="auto"/>
        <w:ind w:firstLine="720"/>
        <w:jc w:val="both"/>
        <w:rPr>
          <w:rFonts w:ascii="Arial Narrow" w:hAnsi="Arial Narrow"/>
          <w:sz w:val="24"/>
          <w:szCs w:val="24"/>
        </w:rPr>
      </w:pPr>
      <w:r w:rsidRPr="005658EC">
        <w:rPr>
          <w:rFonts w:ascii="Arial Narrow" w:hAnsi="Arial Narrow"/>
          <w:sz w:val="24"/>
          <w:szCs w:val="24"/>
        </w:rPr>
        <w:lastRenderedPageBreak/>
        <w:t xml:space="preserve">The knowledge that connects culture and mathematics is called </w:t>
      </w:r>
      <w:proofErr w:type="spellStart"/>
      <w:r w:rsidRPr="005658EC">
        <w:rPr>
          <w:rFonts w:ascii="Arial Narrow" w:hAnsi="Arial Narrow"/>
          <w:sz w:val="24"/>
          <w:szCs w:val="24"/>
        </w:rPr>
        <w:t>ethnomathematics</w:t>
      </w:r>
      <w:proofErr w:type="spellEnd"/>
      <w:r w:rsidRPr="005658EC">
        <w:rPr>
          <w:rFonts w:ascii="Arial Narrow" w:hAnsi="Arial Narrow"/>
          <w:sz w:val="24"/>
          <w:szCs w:val="24"/>
        </w:rPr>
        <w:t xml:space="preserve">. </w:t>
      </w:r>
      <w:proofErr w:type="spellStart"/>
      <w:r w:rsidRPr="005658EC">
        <w:rPr>
          <w:rFonts w:ascii="Arial Narrow" w:hAnsi="Arial Narrow"/>
          <w:sz w:val="24"/>
          <w:szCs w:val="24"/>
        </w:rPr>
        <w:t>D’Ambrosio</w:t>
      </w:r>
      <w:proofErr w:type="spellEnd"/>
      <w:r w:rsidRPr="005658EC">
        <w:rPr>
          <w:rFonts w:ascii="Arial Narrow" w:hAnsi="Arial Narrow"/>
          <w:sz w:val="24"/>
          <w:szCs w:val="24"/>
        </w:rPr>
        <w:t xml:space="preserve"> stated that </w:t>
      </w:r>
      <w:proofErr w:type="spellStart"/>
      <w:r w:rsidRPr="005658EC">
        <w:rPr>
          <w:rFonts w:ascii="Arial Narrow" w:hAnsi="Arial Narrow"/>
          <w:sz w:val="24"/>
          <w:szCs w:val="24"/>
        </w:rPr>
        <w:t>ethnomathematics</w:t>
      </w:r>
      <w:proofErr w:type="spellEnd"/>
      <w:r w:rsidRPr="005658EC">
        <w:rPr>
          <w:rFonts w:ascii="Arial Narrow" w:hAnsi="Arial Narrow"/>
          <w:sz w:val="24"/>
          <w:szCs w:val="24"/>
        </w:rPr>
        <w:t xml:space="preserve"> is how individuals from various cultural backgrounds use mathematics daily </w:t>
      </w:r>
      <w:r w:rsidRPr="005658EC">
        <w:rPr>
          <w:rFonts w:ascii="Arial Narrow" w:hAnsi="Arial Narrow"/>
          <w:sz w:val="24"/>
          <w:szCs w:val="24"/>
        </w:rPr>
        <w:fldChar w:fldCharType="begin" w:fldLock="1"/>
      </w:r>
      <w:r w:rsidRPr="005658EC">
        <w:rPr>
          <w:rFonts w:ascii="Arial Narrow" w:hAnsi="Arial Narrow"/>
          <w:sz w:val="24"/>
          <w:szCs w:val="24"/>
        </w:rPr>
        <w:instrText>ADDIN CSL_CITATION {"citationItems":[{"id":"ITEM-1","itemData":{"DOI":"10.5951/tcm.7.6.0308","ISSN":"1073-5836","abstract":" The term ethnomathematics is used to express the relationship between culture and mathematics. The term requires a dynamic interpretation because it describes concepts that are themselves neither rigid nor singular—namely, ethno and mathematics (D'Ambrosio 1987). The term ethno describes “all of the ingredients that make up the cultural identity of a group: language, codes, values, jargon, beliefs, food and dress, habits, and physical traits.” Mathematics expresses a “broad view of mathematics which includes ciphering, arithmetic, classifying, ordering, inferring, and modeling” (pp. 2–3). ","author":[{"dropping-particle":"","family":"D'Ambrosio","given":"Ubiratan","non-dropping-particle":"","parse-names":false,"suffix":""}],"container-title":"Teaching Children Mathematics","id":"ITEM-1","issue":"6","issued":{"date-parts":[["2020"]]},"title":"In My Opinion: What Is Ethnomathematics, and How Can It Help Children in Schools?","type":"article-journal","volume":"7"},"uris":["http://www.mendeley.com/documents/?uuid=5440d4a9-b3fe-3b29-bd62-8c58d48cdf68"]}],"mendeley":{"formattedCitation":"(D’Ambrosio, 2020)","plainTextFormattedCitation":"(D’Ambrosio, 2020)","previouslyFormattedCitation":"(D’Ambrosio, 2020)"},"properties":{"noteIndex":0},"schema":"https://github.com/citation-style-language/schema/raw/master/csl-citation.json"}</w:instrText>
      </w:r>
      <w:r w:rsidRPr="005658EC">
        <w:rPr>
          <w:rFonts w:ascii="Arial Narrow" w:hAnsi="Arial Narrow"/>
          <w:sz w:val="24"/>
          <w:szCs w:val="24"/>
        </w:rPr>
        <w:fldChar w:fldCharType="separate"/>
      </w:r>
      <w:r w:rsidRPr="005658EC">
        <w:rPr>
          <w:rFonts w:ascii="Arial Narrow" w:hAnsi="Arial Narrow"/>
          <w:noProof/>
          <w:sz w:val="24"/>
          <w:szCs w:val="24"/>
        </w:rPr>
        <w:t>(</w:t>
      </w:r>
      <w:bookmarkStart w:id="2" w:name="_Hlk173866952"/>
      <w:r w:rsidRPr="005658EC">
        <w:rPr>
          <w:rFonts w:ascii="Arial Narrow" w:hAnsi="Arial Narrow"/>
          <w:noProof/>
          <w:sz w:val="24"/>
          <w:szCs w:val="24"/>
        </w:rPr>
        <w:t>D’Ambrosio</w:t>
      </w:r>
      <w:bookmarkEnd w:id="2"/>
      <w:r w:rsidRPr="005658EC">
        <w:rPr>
          <w:rFonts w:ascii="Arial Narrow" w:hAnsi="Arial Narrow"/>
          <w:noProof/>
          <w:sz w:val="24"/>
          <w:szCs w:val="24"/>
        </w:rPr>
        <w:t>, 2020)</w:t>
      </w:r>
      <w:r w:rsidRPr="005658EC">
        <w:rPr>
          <w:rFonts w:ascii="Arial Narrow" w:hAnsi="Arial Narrow"/>
          <w:sz w:val="24"/>
          <w:szCs w:val="24"/>
        </w:rPr>
        <w:fldChar w:fldCharType="end"/>
      </w:r>
      <w:r w:rsidRPr="005658EC">
        <w:rPr>
          <w:rFonts w:ascii="Arial Narrow" w:hAnsi="Arial Narrow"/>
          <w:sz w:val="24"/>
          <w:szCs w:val="24"/>
        </w:rPr>
        <w:t xml:space="preserve">. Meanwhile, Zhang (2010) states that </w:t>
      </w:r>
      <w:proofErr w:type="spellStart"/>
      <w:r w:rsidRPr="005658EC">
        <w:rPr>
          <w:rFonts w:ascii="Arial Narrow" w:hAnsi="Arial Narrow"/>
          <w:sz w:val="24"/>
          <w:szCs w:val="24"/>
        </w:rPr>
        <w:t>ethnomathematics</w:t>
      </w:r>
      <w:proofErr w:type="spellEnd"/>
      <w:r w:rsidRPr="005658EC">
        <w:rPr>
          <w:rFonts w:ascii="Arial Narrow" w:hAnsi="Arial Narrow"/>
          <w:sz w:val="24"/>
          <w:szCs w:val="24"/>
        </w:rPr>
        <w:t xml:space="preserve"> is a study that relates mathematics to a cultural background, including mathematical concepts that are generated and transferred and how mathematics blends into different cultural systems </w:t>
      </w:r>
      <w:r w:rsidRPr="005658EC">
        <w:rPr>
          <w:rFonts w:ascii="Arial Narrow" w:hAnsi="Arial Narrow"/>
          <w:sz w:val="24"/>
          <w:szCs w:val="24"/>
        </w:rPr>
        <w:fldChar w:fldCharType="begin" w:fldLock="1"/>
      </w:r>
      <w:r w:rsidRPr="005658EC">
        <w:rPr>
          <w:rFonts w:ascii="Arial Narrow" w:hAnsi="Arial Narrow"/>
          <w:sz w:val="24"/>
          <w:szCs w:val="24"/>
        </w:rPr>
        <w:instrText>ADDIN CSL_CITATION {"citationItems":[{"id":"ITEM-1","itemData":{"DOI":"10.1007/s10763-004-2685-7","ISSN":"15710068","abstract":"This paper explores Alan Bishop's assumption that all formal mathematics education produces cultural conflicts between the children's everyday culture and the culture of mathematics. Existing empirical studies support the assumption that mathematics learning indeed has some intercultural aspects which can be differentiated in language factors, effects of overlapping, divergent aims and purposes and moments of foreignness. Analysing mathematics learning in this way from an intercultural perspective allows us to integrate perspectives and results from psychological and pedagogical research on intercultural communication and intercultural learning into mathematics education research. Since these results are located on the descriptive and on the prescriptive level, they can be activated both for analysing and for arranging learning processes in an intercultural setting. Hence, in the third part, prescriptive consequences and didactical orientations are formulated for organising mathematics learning as intercultural learning. © National Science Council.","author":[{"dropping-particle":"","family":"Prediger","given":"Suzanne","non-dropping-particle":"","parse-names":false,"suffix":""}],"container-title":"International Journal of Science and Mathematics Education","id":"ITEM-1","issue":"3","issued":{"date-parts":[["2004"]]},"title":"Intercultural perspectives on mathematics learning - Developing a theoretical framework","type":"article-journal","volume":"2"},"uris":["http://www.mendeley.com/documents/?uuid=5d1ad5c1-45df-3be0-a30a-6e7b4fbeaf7f"]}],"mendeley":{"formattedCitation":"(Prediger, 2004)","plainTextFormattedCitation":"(Prediger, 2004)","previouslyFormattedCitation":"(Prediger, 2004)"},"properties":{"noteIndex":0},"schema":"https://github.com/citation-style-language/schema/raw/master/csl-citation.json"}</w:instrText>
      </w:r>
      <w:r w:rsidRPr="005658EC">
        <w:rPr>
          <w:rFonts w:ascii="Arial Narrow" w:hAnsi="Arial Narrow"/>
          <w:sz w:val="24"/>
          <w:szCs w:val="24"/>
        </w:rPr>
        <w:fldChar w:fldCharType="separate"/>
      </w:r>
      <w:r w:rsidRPr="005658EC">
        <w:rPr>
          <w:rFonts w:ascii="Arial Narrow" w:hAnsi="Arial Narrow"/>
          <w:noProof/>
          <w:sz w:val="24"/>
          <w:szCs w:val="24"/>
        </w:rPr>
        <w:t>(Prediger, 2004)</w:t>
      </w:r>
      <w:r w:rsidRPr="005658EC">
        <w:rPr>
          <w:rFonts w:ascii="Arial Narrow" w:hAnsi="Arial Narrow"/>
          <w:sz w:val="24"/>
          <w:szCs w:val="24"/>
        </w:rPr>
        <w:fldChar w:fldCharType="end"/>
      </w:r>
      <w:r w:rsidRPr="005658EC">
        <w:rPr>
          <w:rFonts w:ascii="Arial Narrow" w:hAnsi="Arial Narrow"/>
          <w:sz w:val="24"/>
          <w:szCs w:val="24"/>
        </w:rPr>
        <w:t>.</w:t>
      </w:r>
    </w:p>
    <w:p w:rsidR="005658EC" w:rsidRPr="005658EC" w:rsidRDefault="005658EC" w:rsidP="005658EC">
      <w:pPr>
        <w:spacing w:line="360" w:lineRule="auto"/>
        <w:ind w:firstLine="720"/>
        <w:jc w:val="both"/>
        <w:rPr>
          <w:rFonts w:ascii="Arial Narrow" w:hAnsi="Arial Narrow"/>
          <w:sz w:val="24"/>
          <w:szCs w:val="24"/>
        </w:rPr>
      </w:pPr>
      <w:proofErr w:type="spellStart"/>
      <w:r w:rsidRPr="005658EC">
        <w:rPr>
          <w:rFonts w:ascii="Arial Narrow" w:hAnsi="Arial Narrow"/>
          <w:sz w:val="24"/>
          <w:szCs w:val="24"/>
        </w:rPr>
        <w:t>Kuznetsova</w:t>
      </w:r>
      <w:proofErr w:type="spellEnd"/>
      <w:r w:rsidRPr="005658EC">
        <w:rPr>
          <w:rFonts w:ascii="Arial Narrow" w:hAnsi="Arial Narrow"/>
          <w:sz w:val="24"/>
          <w:szCs w:val="24"/>
        </w:rPr>
        <w:t xml:space="preserve"> et al., explains that </w:t>
      </w:r>
      <w:proofErr w:type="spellStart"/>
      <w:r w:rsidRPr="005658EC">
        <w:rPr>
          <w:rFonts w:ascii="Arial Narrow" w:hAnsi="Arial Narrow"/>
          <w:sz w:val="24"/>
          <w:szCs w:val="24"/>
        </w:rPr>
        <w:t>ethnomathematics</w:t>
      </w:r>
      <w:proofErr w:type="spellEnd"/>
      <w:r w:rsidRPr="005658EC">
        <w:rPr>
          <w:rFonts w:ascii="Arial Narrow" w:hAnsi="Arial Narrow"/>
          <w:sz w:val="24"/>
          <w:szCs w:val="24"/>
        </w:rPr>
        <w:t xml:space="preserve"> is a variety of special methods usually used by certain groups or communities when carrying out mathematical activities such as grouping, sorting, calculating, and measuring </w:t>
      </w:r>
      <w:r w:rsidRPr="005658EC">
        <w:rPr>
          <w:rFonts w:ascii="Arial Narrow" w:hAnsi="Arial Narrow"/>
          <w:sz w:val="24"/>
          <w:szCs w:val="24"/>
        </w:rPr>
        <w:fldChar w:fldCharType="begin" w:fldLock="1"/>
      </w:r>
      <w:r w:rsidRPr="005658EC">
        <w:rPr>
          <w:rFonts w:ascii="Arial Narrow" w:hAnsi="Arial Narrow"/>
          <w:sz w:val="24"/>
          <w:szCs w:val="24"/>
        </w:rPr>
        <w:instrText>ADDIN CSL_CITATION {"citationItems":[{"id":"ITEM-1","itemData":{"DOI":"10.15405/epsbs.2021.09.02.24","abstract":"Abstract There are many publications devoted to the problems of sustainable development and education for sustainable development to date. However, most of them are of a generalized declarative nature. Therefore, when developing curricula, the inclusion of sustainable development ideas in educational practice causes significant difficulties for teachers. The complexity and versatility of the concept of sustainable development require building the learning process based on a multidimensional approach through the unity of social, psychological, and educational aspects. Within the framework of this approach, the article examines the role of mathematics in implementing the concept of sustainable development. The article presents some examples of applying mathematics to ensure sustainability in various spheres of human activity: economy, industry, social and humanitarian. The research reveals that mathematics has applied value in solving sustainability problems in various spheres of human activity and has a humanitarian potential, performing ideological, moral, educational, and aesthetic functions. Through the study of mathematics, the individual joins the world culture and becomes a member of the human community. The goal of teaching mathematics in sustainable development is the formation of the mathematical culture of students. Keywords: Mathematical education for sustainable development, mathematical culture, mathematical competency Introduction Education for Sustainable Development is a concept formulated by the United Nations (2015) in the 2030 Agenda for Sustainable Development (goal 4, target 4.7). According to Leal Filho et al. (2018), Shulla et al. (2020), education is not only closely related to other goals and objectives of sustainable development. It is also a decisive factor in the implementation of these goals. This role of education is because, within schools and universities, young people will prepare to promote sustainable development, apply means and methods that allow building a sustainable future on the planet. Despite a sufficient number of studies concerning the general provisions and principles of education for sustainable development, this problem remains relevant since there is a need to understand the interaction and application of sustainable development ideas in specific contexts and, particularly, in education at all its stages. Problem Statement At the present stage, a fundamental problem of education is searching for means and …","author":[{"dropping-particle":"","family":"Kuznetsova","given":"E.","non-dropping-particle":"","parse-names":false,"suffix":""},{"dropping-particle":"","family":"Zhbanova","given":"N.","non-dropping-particle":"","parse-names":false,"suffix":""},{"dropping-particle":"","family":"Golovaneva","given":"F.","non-dropping-particle":"","parse-names":false,"suffix":""}],"id":"ITEM-1","issued":{"date-parts":[["2021"]]},"title":"The Role Of Mathematics And Its Teaching For Sustainable Development","type":"paper-conference"},"uris":["http://www.mendeley.com/documents/?uuid=78f92499-cf68-3f53-9b2a-6070a92727e9"]}],"mendeley":{"formattedCitation":"(Kuznetsova et al., 2021)","plainTextFormattedCitation":"(Kuznetsova et al., 2021)","previouslyFormattedCitation":"(Kuznetsova et al., 2021)"},"properties":{"noteIndex":0},"schema":"https://github.com/citation-style-language/schema/raw/master/csl-citation.json"}</w:instrText>
      </w:r>
      <w:r w:rsidRPr="005658EC">
        <w:rPr>
          <w:rFonts w:ascii="Arial Narrow" w:hAnsi="Arial Narrow"/>
          <w:sz w:val="24"/>
          <w:szCs w:val="24"/>
        </w:rPr>
        <w:fldChar w:fldCharType="separate"/>
      </w:r>
      <w:r w:rsidRPr="005658EC">
        <w:rPr>
          <w:rFonts w:ascii="Arial Narrow" w:hAnsi="Arial Narrow"/>
          <w:noProof/>
          <w:sz w:val="24"/>
          <w:szCs w:val="24"/>
        </w:rPr>
        <w:t>(Kuznetsova et al., 2021)</w:t>
      </w:r>
      <w:r w:rsidRPr="005658EC">
        <w:rPr>
          <w:rFonts w:ascii="Arial Narrow" w:hAnsi="Arial Narrow"/>
          <w:sz w:val="24"/>
          <w:szCs w:val="24"/>
        </w:rPr>
        <w:fldChar w:fldCharType="end"/>
      </w:r>
      <w:r w:rsidRPr="005658EC">
        <w:rPr>
          <w:rFonts w:ascii="Arial Narrow" w:hAnsi="Arial Narrow"/>
          <w:sz w:val="24"/>
          <w:szCs w:val="24"/>
        </w:rPr>
        <w:t xml:space="preserve"> </w:t>
      </w:r>
      <w:r w:rsidRPr="005658EC">
        <w:rPr>
          <w:rFonts w:ascii="Arial Narrow" w:hAnsi="Arial Narrow"/>
          <w:sz w:val="24"/>
          <w:szCs w:val="24"/>
        </w:rPr>
        <w:fldChar w:fldCharType="begin" w:fldLock="1"/>
      </w:r>
      <w:r w:rsidRPr="005658EC">
        <w:rPr>
          <w:rFonts w:ascii="Arial Narrow" w:hAnsi="Arial Narrow"/>
          <w:sz w:val="24"/>
          <w:szCs w:val="24"/>
        </w:rPr>
        <w:instrText>ADDIN CSL_CITATION {"citationItems":[{"id":"ITEM-1","itemData":{"abstract":"This collection brings together classic, previously-published articles and new research to present the emerging field of ethnomathematics from a critical perspective, challenging particular ways in which Eurocentrism permeates mathematics education. The contributors identify several of the field's broad themes -- reconsidering what counts as mathematical knowledge, considering interactions between culture and mathematical knowledge, and uncovering hidden and distorted histories of mathematical knowledge. The book offers a diversity of ethnomathematics perspectives that develop both theoretical and practical issues from various disciplines including mathematics, mathematics education, history, anthropology, cognitive psychology, feminist studies, and African studies written by authors from Brazil, England, Australia, Mozambique, Palestine, Belgium, and the United States.","author":[{"dropping-particle":"","family":"Harris","given":"Mary","non-dropping-particle":"","parse-names":false,"suffix":""}],"container-title":"For the Learning of Mathematics","id":"ITEM-1","issue":"3","issued":{"date-parts":[["1987"]]},"title":"An Example of Traditional Women's Work as a Mathematics Resource","type":"article-journal","volume":"7"},"uris":["http://www.mendeley.com/documents/?uuid=b0c02ceb-091a-328f-b172-1627dfb579c9"]}],"mendeley":{"formattedCitation":"(Harris, 1987)","plainTextFormattedCitation":"(Harris, 1987)","previouslyFormattedCitation":"(Harris, 1987)"},"properties":{"noteIndex":0},"schema":"https://github.com/citation-style-language/schema/raw/master/csl-citation.json"}</w:instrText>
      </w:r>
      <w:r w:rsidRPr="005658EC">
        <w:rPr>
          <w:rFonts w:ascii="Arial Narrow" w:hAnsi="Arial Narrow"/>
          <w:sz w:val="24"/>
          <w:szCs w:val="24"/>
        </w:rPr>
        <w:fldChar w:fldCharType="separate"/>
      </w:r>
      <w:r w:rsidRPr="005658EC">
        <w:rPr>
          <w:rFonts w:ascii="Arial Narrow" w:hAnsi="Arial Narrow"/>
          <w:noProof/>
          <w:sz w:val="24"/>
          <w:szCs w:val="24"/>
        </w:rPr>
        <w:t>(Harris, 1987)</w:t>
      </w:r>
      <w:r w:rsidRPr="005658EC">
        <w:rPr>
          <w:rFonts w:ascii="Arial Narrow" w:hAnsi="Arial Narrow"/>
          <w:sz w:val="24"/>
          <w:szCs w:val="24"/>
        </w:rPr>
        <w:fldChar w:fldCharType="end"/>
      </w:r>
      <w:r w:rsidRPr="005658EC">
        <w:rPr>
          <w:rFonts w:ascii="Arial Narrow" w:hAnsi="Arial Narrow"/>
          <w:sz w:val="24"/>
          <w:szCs w:val="24"/>
        </w:rPr>
        <w:t xml:space="preserve">. According to </w:t>
      </w:r>
      <w:proofErr w:type="spellStart"/>
      <w:r w:rsidRPr="005658EC">
        <w:rPr>
          <w:rFonts w:ascii="Arial Narrow" w:hAnsi="Arial Narrow"/>
          <w:sz w:val="24"/>
          <w:szCs w:val="24"/>
        </w:rPr>
        <w:t>D'Ambrosio</w:t>
      </w:r>
      <w:proofErr w:type="spellEnd"/>
      <w:r w:rsidRPr="005658EC">
        <w:rPr>
          <w:rFonts w:ascii="Arial Narrow" w:hAnsi="Arial Narrow"/>
          <w:sz w:val="24"/>
          <w:szCs w:val="24"/>
        </w:rPr>
        <w:t xml:space="preserve"> </w:t>
      </w:r>
      <w:proofErr w:type="spellStart"/>
      <w:r w:rsidRPr="005658EC">
        <w:rPr>
          <w:rFonts w:ascii="Arial Narrow" w:hAnsi="Arial Narrow"/>
          <w:sz w:val="24"/>
          <w:szCs w:val="24"/>
        </w:rPr>
        <w:t>ethnomathematics</w:t>
      </w:r>
      <w:proofErr w:type="spellEnd"/>
      <w:r w:rsidRPr="005658EC">
        <w:rPr>
          <w:rFonts w:ascii="Arial Narrow" w:hAnsi="Arial Narrow"/>
          <w:sz w:val="24"/>
          <w:szCs w:val="24"/>
        </w:rPr>
        <w:t xml:space="preserve"> aims to recognize that in carrying out mathematical activities, different ways involve mathematical knowledge, which is developed from various levels of society. So, </w:t>
      </w:r>
      <w:proofErr w:type="spellStart"/>
      <w:r w:rsidRPr="005658EC">
        <w:rPr>
          <w:rFonts w:ascii="Arial Narrow" w:hAnsi="Arial Narrow"/>
          <w:sz w:val="24"/>
          <w:szCs w:val="24"/>
        </w:rPr>
        <w:t>ethnomathematics</w:t>
      </w:r>
      <w:proofErr w:type="spellEnd"/>
      <w:r w:rsidRPr="005658EC">
        <w:rPr>
          <w:rFonts w:ascii="Arial Narrow" w:hAnsi="Arial Narrow"/>
          <w:sz w:val="24"/>
          <w:szCs w:val="24"/>
        </w:rPr>
        <w:t xml:space="preserve"> is a representation that describes the culture of using mathematics and its implementation in society. </w:t>
      </w:r>
      <w:proofErr w:type="spellStart"/>
      <w:r w:rsidRPr="005658EC">
        <w:rPr>
          <w:rFonts w:ascii="Arial Narrow" w:hAnsi="Arial Narrow"/>
          <w:sz w:val="24"/>
          <w:szCs w:val="24"/>
        </w:rPr>
        <w:t>Ethnomathematics</w:t>
      </w:r>
      <w:proofErr w:type="spellEnd"/>
      <w:r w:rsidRPr="005658EC">
        <w:rPr>
          <w:rFonts w:ascii="Arial Narrow" w:hAnsi="Arial Narrow"/>
          <w:sz w:val="24"/>
          <w:szCs w:val="24"/>
        </w:rPr>
        <w:t xml:space="preserve"> is not new knowledge, but </w:t>
      </w:r>
      <w:proofErr w:type="spellStart"/>
      <w:r w:rsidRPr="005658EC">
        <w:rPr>
          <w:rFonts w:ascii="Arial Narrow" w:hAnsi="Arial Narrow"/>
          <w:sz w:val="24"/>
          <w:szCs w:val="24"/>
        </w:rPr>
        <w:t>ethnomathematics</w:t>
      </w:r>
      <w:proofErr w:type="spellEnd"/>
      <w:r w:rsidRPr="005658EC">
        <w:rPr>
          <w:rFonts w:ascii="Arial Narrow" w:hAnsi="Arial Narrow"/>
          <w:sz w:val="24"/>
          <w:szCs w:val="24"/>
        </w:rPr>
        <w:t xml:space="preserve"> has existed since the development of mathematics itself </w:t>
      </w:r>
      <w:r w:rsidRPr="005658EC">
        <w:rPr>
          <w:rFonts w:ascii="Arial Narrow" w:hAnsi="Arial Narrow"/>
          <w:sz w:val="24"/>
          <w:szCs w:val="24"/>
        </w:rPr>
        <w:fldChar w:fldCharType="begin" w:fldLock="1"/>
      </w:r>
      <w:r w:rsidRPr="005658EC">
        <w:rPr>
          <w:rFonts w:ascii="Arial Narrow" w:hAnsi="Arial Narrow"/>
          <w:sz w:val="24"/>
          <w:szCs w:val="24"/>
        </w:rPr>
        <w:instrText>ADDIN CSL_CITATION {"citationItems":[{"id":"ITEM-1","itemData":{"DOI":"10.5951/tcm.7.6.0308","ISSN":"1073-5836","abstract":" The term ethnomathematics is used to express the relationship between culture and mathematics. The term requires a dynamic interpretation because it describes concepts that are themselves neither rigid nor singular—namely, ethno and mathematics (D'Ambrosio 1987). The term ethno describes “all of the ingredients that make up the cultural identity of a group: language, codes, values, jargon, beliefs, food and dress, habits, and physical traits.” Mathematics expresses a “broad view of mathematics which includes ciphering, arithmetic, classifying, ordering, inferring, and modeling” (pp. 2–3). ","author":[{"dropping-particle":"","family":"D'Ambrosio","given":"Ubiratan","non-dropping-particle":"","parse-names":false,"suffix":""}],"container-title":"Teaching Children Mathematics","id":"ITEM-1","issue":"6","issued":{"date-parts":[["2020"]]},"title":"In My Opinion: What Is Ethnomathematics, and How Can It Help Children in Schools?","type":"article-journal","volume":"7"},"uris":["http://www.mendeley.com/documents/?uuid=5440d4a9-b3fe-3b29-bd62-8c58d48cdf68"]}],"mendeley":{"formattedCitation":"(D’Ambrosio, 2020)","plainTextFormattedCitation":"(D’Ambrosio, 2020)","previouslyFormattedCitation":"(D’Ambrosio, 2020)"},"properties":{"noteIndex":0},"schema":"https://github.com/citation-style-language/schema/raw/master/csl-citation.json"}</w:instrText>
      </w:r>
      <w:r w:rsidRPr="005658EC">
        <w:rPr>
          <w:rFonts w:ascii="Arial Narrow" w:hAnsi="Arial Narrow"/>
          <w:sz w:val="24"/>
          <w:szCs w:val="24"/>
        </w:rPr>
        <w:fldChar w:fldCharType="separate"/>
      </w:r>
      <w:r w:rsidRPr="005658EC">
        <w:rPr>
          <w:rFonts w:ascii="Arial Narrow" w:hAnsi="Arial Narrow"/>
          <w:noProof/>
          <w:sz w:val="24"/>
          <w:szCs w:val="24"/>
        </w:rPr>
        <w:t>(D’Ambrosio, 2020)</w:t>
      </w:r>
      <w:r w:rsidRPr="005658EC">
        <w:rPr>
          <w:rFonts w:ascii="Arial Narrow" w:hAnsi="Arial Narrow"/>
          <w:sz w:val="24"/>
          <w:szCs w:val="24"/>
        </w:rPr>
        <w:fldChar w:fldCharType="end"/>
      </w:r>
      <w:r w:rsidRPr="005658EC">
        <w:rPr>
          <w:rFonts w:ascii="Arial Narrow" w:hAnsi="Arial Narrow"/>
          <w:sz w:val="24"/>
          <w:szCs w:val="24"/>
        </w:rPr>
        <w:t>.</w:t>
      </w:r>
    </w:p>
    <w:p w:rsidR="005658EC" w:rsidRPr="005658EC" w:rsidRDefault="005658EC" w:rsidP="005658EC">
      <w:pPr>
        <w:spacing w:line="360" w:lineRule="auto"/>
        <w:ind w:firstLine="720"/>
        <w:jc w:val="both"/>
        <w:rPr>
          <w:rFonts w:ascii="Arial Narrow" w:hAnsi="Arial Narrow"/>
          <w:sz w:val="24"/>
          <w:szCs w:val="24"/>
        </w:rPr>
      </w:pPr>
      <w:proofErr w:type="spellStart"/>
      <w:r w:rsidRPr="005658EC">
        <w:rPr>
          <w:rFonts w:ascii="Arial Narrow" w:hAnsi="Arial Narrow"/>
          <w:sz w:val="24"/>
          <w:szCs w:val="24"/>
        </w:rPr>
        <w:t>Ethnomathematics</w:t>
      </w:r>
      <w:proofErr w:type="spellEnd"/>
      <w:r w:rsidRPr="005658EC">
        <w:rPr>
          <w:rFonts w:ascii="Arial Narrow" w:hAnsi="Arial Narrow"/>
          <w:sz w:val="24"/>
          <w:szCs w:val="24"/>
        </w:rPr>
        <w:t xml:space="preserve"> is mathematics that grows and develops in the culture of a particular </w:t>
      </w:r>
      <w:r w:rsidRPr="005658EC">
        <w:rPr>
          <w:rFonts w:ascii="Arial Narrow" w:hAnsi="Arial Narrow"/>
          <w:sz w:val="24"/>
          <w:szCs w:val="24"/>
        </w:rPr>
        <w:lastRenderedPageBreak/>
        <w:t>society. Culture covers all aspects of human life, including norms that apply to society, beliefs, customs, values, arts, knowledge, and habits that apply to society in a place or region.</w:t>
      </w:r>
    </w:p>
    <w:p w:rsidR="005658EC" w:rsidRPr="005658EC" w:rsidRDefault="005658EC" w:rsidP="005658EC">
      <w:pPr>
        <w:spacing w:line="360" w:lineRule="auto"/>
        <w:ind w:firstLine="720"/>
        <w:jc w:val="both"/>
        <w:rPr>
          <w:rFonts w:ascii="Arial Narrow" w:hAnsi="Arial Narrow"/>
          <w:sz w:val="24"/>
          <w:szCs w:val="24"/>
        </w:rPr>
      </w:pPr>
      <w:r w:rsidRPr="005658EC">
        <w:rPr>
          <w:rFonts w:ascii="Arial Narrow" w:hAnsi="Arial Narrow"/>
          <w:sz w:val="24"/>
          <w:szCs w:val="24"/>
        </w:rPr>
        <w:t>Bengkulu Province is one of Indonesia's regions with various ethnic (cultural) characteristics. Various cultures developed in the people of Bengkulu Province, such as regional languages, traditional houses, and traditional food, as well as traditional ceremonies such as wedding ceremonies, baby shaving, death, religious ceremonies (</w:t>
      </w:r>
      <w:proofErr w:type="spellStart"/>
      <w:r w:rsidRPr="005658EC">
        <w:rPr>
          <w:rFonts w:ascii="Arial Narrow" w:hAnsi="Arial Narrow"/>
          <w:sz w:val="24"/>
          <w:szCs w:val="24"/>
        </w:rPr>
        <w:t>Tabut</w:t>
      </w:r>
      <w:proofErr w:type="spellEnd"/>
      <w:r w:rsidRPr="005658EC">
        <w:rPr>
          <w:rFonts w:ascii="Arial Narrow" w:hAnsi="Arial Narrow"/>
          <w:sz w:val="24"/>
          <w:szCs w:val="24"/>
        </w:rPr>
        <w:t>), and all forms of activities -</w:t>
      </w:r>
      <w:proofErr w:type="spellStart"/>
      <w:r w:rsidRPr="005658EC">
        <w:rPr>
          <w:rFonts w:ascii="Arial Narrow" w:hAnsi="Arial Narrow"/>
          <w:sz w:val="24"/>
          <w:szCs w:val="24"/>
        </w:rPr>
        <w:t>ethnomathematical</w:t>
      </w:r>
      <w:proofErr w:type="spellEnd"/>
      <w:r w:rsidRPr="005658EC">
        <w:rPr>
          <w:rFonts w:ascii="Arial Narrow" w:hAnsi="Arial Narrow"/>
          <w:sz w:val="24"/>
          <w:szCs w:val="24"/>
        </w:rPr>
        <w:t xml:space="preserve"> activities that are practiced in other daily lives that apply in society, including buying and selling transaction activities that apply in society, which are of course different from other regions, so it would be interesting if a more in-depth investigation was carried out into this culture </w:t>
      </w:r>
      <w:r w:rsidRPr="005658EC">
        <w:rPr>
          <w:rFonts w:ascii="Arial Narrow" w:hAnsi="Arial Narrow"/>
          <w:sz w:val="24"/>
          <w:szCs w:val="24"/>
        </w:rPr>
        <w:fldChar w:fldCharType="begin" w:fldLock="1"/>
      </w:r>
      <w:r w:rsidRPr="005658EC">
        <w:rPr>
          <w:rFonts w:ascii="Arial Narrow" w:hAnsi="Arial Narrow"/>
          <w:sz w:val="24"/>
          <w:szCs w:val="24"/>
        </w:rPr>
        <w:instrText>ADDIN CSL_CITATION {"citationItems":[{"id":"ITEM-1","itemData":{"DOI":"10.33642/ijbass.v5n9p1","ISSN":"10834346","abstract":"This study aims to determine the relationship between work motivation and participative leadership with the work behavior of Bengkulu Province Education and Culture Office Functional employees. The selection of Bengkulu Province is one of the provinces whose development and growth is relatively slower compared to other provinces in Sumatra. The research hypotheses proposed are: (1) there is a positive relationship between work motivation and work behavior, (2) there is a positive relationship between participative leadership and work behavior, and (3) there is a positive relationship between work motivation and participative leadership together with work behavior. The population of this research is the employees who are not currently occupying positions (functional staff) at the Office of Education and Culture of Bengkulu Province, in 2018 as many as 75 people, and the sampling technique uses saturated sampling techniques. Based on the results of the study found: (1) there is a positive relationship between work motivation with work behavior. (2) There is a positive relationship between participative leadership and work behavior and (3) there is a positive relationship between work motivation and participatory leadership together with work behavior. From the three findings, it was stated that (1) work behavior can be improved by increasing work motivation by increasing the desire to achieve and increasing a sense of responsibility, and increasing appreciation for the work, and (2) work behavior can be improved by increasing participatory leadership, by how to involve employees in every decision-making, respect the opinions and suggestions of employees, and enhance cooperation.","author":[{"dropping-particle":"","family":"Koto","given":"Eryus Amran","non-dropping-particle":"","parse-names":false,"suffix":""},{"dropping-particle":"","family":"Samudra","given":"Azhari Aziz","non-dropping-particle":"","parse-names":false,"suffix":""},{"dropping-particle":"","family":"Zainal","given":"Veithzal Rivai","non-dropping-particle":"","parse-names":false,"suffix":""},{"dropping-particle":"","family":"Sumrahadi","given":"Abdullah","non-dropping-particle":"","parse-names":false,"suffix":""},{"dropping-particle":"","family":"Hakim","given":"Aziz","non-dropping-particle":"","parse-names":false,"suffix":""},{"dropping-particle":"","family":"Hariyadi","given":"Ade Reza","non-dropping-particle":"","parse-names":false,"suffix":""},{"dropping-particle":"","family":"Subagja","given":"Iwan Kurniawan","non-dropping-particle":"","parse-names":false,"suffix":""}],"container-title":"International Journal of Business","id":"ITEM-1","issue":"9","issued":{"date-parts":[["2021"]]},"title":"Relationship of work Motivation and participative Leadership with Functional Employment Behavior of Education and Culture of Bengkulu Province, Indonesia","type":"article-journal","volume":"5"},"uris":["http://www.mendeley.com/documents/?uuid=8c5066d1-6310-39c9-a85b-766a052b299e"]}],"mendeley":{"formattedCitation":"(Koto et al., 2021)","plainTextFormattedCitation":"(Koto et al., 2021)","previouslyFormattedCitation":"(Koto et al., 2021)"},"properties":{"noteIndex":0},"schema":"https://github.com/citation-style-language/schema/raw/master/csl-citation.json"}</w:instrText>
      </w:r>
      <w:r w:rsidRPr="005658EC">
        <w:rPr>
          <w:rFonts w:ascii="Arial Narrow" w:hAnsi="Arial Narrow"/>
          <w:sz w:val="24"/>
          <w:szCs w:val="24"/>
        </w:rPr>
        <w:fldChar w:fldCharType="separate"/>
      </w:r>
      <w:r w:rsidRPr="005658EC">
        <w:rPr>
          <w:rFonts w:ascii="Arial Narrow" w:hAnsi="Arial Narrow"/>
          <w:noProof/>
          <w:sz w:val="24"/>
          <w:szCs w:val="24"/>
        </w:rPr>
        <w:t>(Koto et al., 2021)</w:t>
      </w:r>
      <w:r w:rsidRPr="005658EC">
        <w:rPr>
          <w:rFonts w:ascii="Arial Narrow" w:hAnsi="Arial Narrow"/>
          <w:sz w:val="24"/>
          <w:szCs w:val="24"/>
        </w:rPr>
        <w:fldChar w:fldCharType="end"/>
      </w:r>
      <w:r w:rsidRPr="005658EC">
        <w:rPr>
          <w:rFonts w:ascii="Arial Narrow" w:hAnsi="Arial Narrow"/>
          <w:sz w:val="24"/>
          <w:szCs w:val="24"/>
        </w:rPr>
        <w:t>.</w:t>
      </w:r>
    </w:p>
    <w:p w:rsidR="005658EC" w:rsidRPr="005658EC" w:rsidRDefault="005658EC" w:rsidP="005658EC">
      <w:pPr>
        <w:spacing w:line="360" w:lineRule="auto"/>
        <w:ind w:firstLine="720"/>
        <w:jc w:val="both"/>
        <w:rPr>
          <w:rFonts w:ascii="Arial Narrow" w:hAnsi="Arial Narrow"/>
          <w:sz w:val="24"/>
          <w:szCs w:val="24"/>
        </w:rPr>
      </w:pPr>
      <w:r w:rsidRPr="005658EC">
        <w:rPr>
          <w:rFonts w:ascii="Arial Narrow" w:hAnsi="Arial Narrow"/>
          <w:sz w:val="24"/>
          <w:szCs w:val="24"/>
        </w:rPr>
        <w:t xml:space="preserve">Traditional markets are centers of socio-economic activity. Traditional markets are a place of interaction between sellers or traders and buyers. The market is synonymous with buying and selling transaction activities carried out directly. There is also bargaining activity between sellers and buyers. This process involves mathematical activities, namely counting. Based on fundamental activity theory, states six basic mathematical activities: counting, locating, measuring, designing, </w:t>
      </w:r>
      <w:r w:rsidRPr="005658EC">
        <w:rPr>
          <w:rFonts w:ascii="Arial Narrow" w:hAnsi="Arial Narrow"/>
          <w:sz w:val="24"/>
          <w:szCs w:val="24"/>
        </w:rPr>
        <w:lastRenderedPageBreak/>
        <w:t xml:space="preserve">playing, and explaining </w:t>
      </w:r>
      <w:r w:rsidRPr="005658EC">
        <w:rPr>
          <w:rFonts w:ascii="Arial Narrow" w:hAnsi="Arial Narrow"/>
          <w:sz w:val="24"/>
          <w:szCs w:val="24"/>
        </w:rPr>
        <w:fldChar w:fldCharType="begin" w:fldLock="1"/>
      </w:r>
      <w:r w:rsidRPr="005658EC">
        <w:rPr>
          <w:rFonts w:ascii="Arial Narrow" w:hAnsi="Arial Narrow"/>
          <w:sz w:val="24"/>
          <w:szCs w:val="24"/>
        </w:rPr>
        <w:instrText>ADDIN CSL_CITATION {"citationItems":[{"id":"ITEM-1","itemData":{"ISSN":"0228-0671","abstract":"… mathe- matics education? It is high time that more research looked at the relationships between formal and non- formal mathematics education, and this area of cultur- al conflicts offers a particularly important focus. c) Informal …","author":[{"dropping-particle":"","family":"Bishop","given":"Alan","non-dropping-particle":"","parse-names":false,"suffix":""}],"container-title":"Learning of Mathematics","id":"ITEM-1","issue":"2","issued":{"date-parts":[["1994"]]},"title":"Cultural Conflicts in Mathematics Education: Developing a Research Agenda.","type":"article-journal","volume":"14"},"uris":["http://www.mendeley.com/documents/?uuid=65c1b263-2804-3135-a373-8830c79fc600"]}],"mendeley":{"formattedCitation":"(A. Bishop, 1994)","plainTextFormattedCitation":"(A. Bishop, 1994)","previouslyFormattedCitation":"(A. Bishop, 1994)"},"properties":{"noteIndex":0},"schema":"https://github.com/citation-style-language/schema/raw/master/csl-citation.json"}</w:instrText>
      </w:r>
      <w:r w:rsidRPr="005658EC">
        <w:rPr>
          <w:rFonts w:ascii="Arial Narrow" w:hAnsi="Arial Narrow"/>
          <w:sz w:val="24"/>
          <w:szCs w:val="24"/>
        </w:rPr>
        <w:fldChar w:fldCharType="separate"/>
      </w:r>
      <w:r w:rsidRPr="005658EC">
        <w:rPr>
          <w:rFonts w:ascii="Arial Narrow" w:hAnsi="Arial Narrow"/>
          <w:noProof/>
          <w:sz w:val="24"/>
          <w:szCs w:val="24"/>
        </w:rPr>
        <w:t>(A. Bishop, 1994)</w:t>
      </w:r>
      <w:r w:rsidRPr="005658EC">
        <w:rPr>
          <w:rFonts w:ascii="Arial Narrow" w:hAnsi="Arial Narrow"/>
          <w:sz w:val="24"/>
          <w:szCs w:val="24"/>
        </w:rPr>
        <w:fldChar w:fldCharType="end"/>
      </w:r>
      <w:r w:rsidRPr="005658EC">
        <w:rPr>
          <w:rFonts w:ascii="Arial Narrow" w:hAnsi="Arial Narrow"/>
          <w:sz w:val="24"/>
          <w:szCs w:val="24"/>
        </w:rPr>
        <w:t>. Then, the mathematical aspects contained therein are obtained from the fundamental activities obtained.</w:t>
      </w:r>
    </w:p>
    <w:p w:rsidR="005658EC" w:rsidRPr="005658EC" w:rsidRDefault="005658EC" w:rsidP="005658EC">
      <w:pPr>
        <w:spacing w:line="360" w:lineRule="auto"/>
        <w:ind w:firstLine="720"/>
        <w:jc w:val="both"/>
        <w:rPr>
          <w:rFonts w:ascii="Arial Narrow" w:hAnsi="Arial Narrow"/>
          <w:sz w:val="24"/>
          <w:szCs w:val="24"/>
        </w:rPr>
      </w:pPr>
      <w:r w:rsidRPr="005658EC">
        <w:rPr>
          <w:rFonts w:ascii="Arial Narrow" w:hAnsi="Arial Narrow"/>
          <w:sz w:val="24"/>
          <w:szCs w:val="24"/>
        </w:rPr>
        <w:t>Buying and selling transaction activities carried out by the people of Bengkulu are also closely related to mathematics. Based on initial observations that researchers have made, researchers found several mathematical aspects of buying and selling transaction activities carried out by traders in traditional markets in the city of Bengkulu; these activities include counting, counting, and measuring. We often encounter this activity when shopping at traditional markets. In buying and selling transaction activities, several arithmetic operations are often found: addition, subtraction, multiplication, and division. Meanwhile, measurement involves measuring standard units and measuring non-standard units.</w:t>
      </w:r>
    </w:p>
    <w:p w:rsidR="005658EC" w:rsidRPr="005658EC" w:rsidRDefault="005658EC" w:rsidP="005658EC">
      <w:pPr>
        <w:spacing w:line="360" w:lineRule="auto"/>
        <w:ind w:firstLine="720"/>
        <w:jc w:val="both"/>
        <w:rPr>
          <w:rFonts w:ascii="Arial Narrow" w:hAnsi="Arial Narrow"/>
          <w:sz w:val="24"/>
          <w:szCs w:val="24"/>
        </w:rPr>
      </w:pPr>
      <w:r w:rsidRPr="005658EC">
        <w:rPr>
          <w:rFonts w:ascii="Arial Narrow" w:hAnsi="Arial Narrow"/>
          <w:sz w:val="24"/>
          <w:szCs w:val="24"/>
        </w:rPr>
        <w:t xml:space="preserve">The results of other researchers' observations are that traders who sell in traditional markets in Bengkulu City, when interacting (carrying out transaction activities), usually use their native Bengkulu regional language. However, it is expected that they will use languages from other ethnic groups. Basically, the people of Bengkulu City come from various immigrant tribes </w:t>
      </w:r>
      <w:r w:rsidRPr="005658EC">
        <w:rPr>
          <w:rFonts w:ascii="Arial Narrow" w:hAnsi="Arial Narrow"/>
          <w:sz w:val="24"/>
          <w:szCs w:val="24"/>
        </w:rPr>
        <w:fldChar w:fldCharType="begin" w:fldLock="1"/>
      </w:r>
      <w:r w:rsidRPr="005658EC">
        <w:rPr>
          <w:rFonts w:ascii="Arial Narrow" w:hAnsi="Arial Narrow"/>
          <w:sz w:val="24"/>
          <w:szCs w:val="24"/>
        </w:rPr>
        <w:instrText>ADDIN CSL_CITATION {"citationItems":[{"id":"ITEM-1","itemData":{"DOI":"10.33642/ijbass.v5n9p1","ISSN":"10834346","abstract":"This study aims to determine the relationship between work motivation and participative leadership with the work behavior of Bengkulu Province Education and Culture Office Functional employees. The selection of Bengkulu Province is one of the provinces whose development and growth is relatively slower compared to other provinces in Sumatra. The research hypotheses proposed are: (1) there is a positive relationship between work motivation and work behavior, (2) there is a positive relationship between participative leadership and work behavior, and (3) there is a positive relationship between work motivation and participative leadership together with work behavior. The population of this research is the employees who are not currently occupying positions (functional staff) at the Office of Education and Culture of Bengkulu Province, in 2018 as many as 75 people, and the sampling technique uses saturated sampling techniques. Based on the results of the study found: (1) there is a positive relationship between work motivation with work behavior. (2) There is a positive relationship between participative leadership and work behavior and (3) there is a positive relationship between work motivation and participatory leadership together with work behavior. From the three findings, it was stated that (1) work behavior can be improved by increasing work motivation by increasing the desire to achieve and increasing a sense of responsibility, and increasing appreciation for the work, and (2) work behavior can be improved by increasing participatory leadership, by how to involve employees in every decision-making, respect the opinions and suggestions of employees, and enhance cooperation.","author":[{"dropping-particle":"","family":"Koto","given":"Eryus Amran","non-dropping-particle":"","parse-names":false,"suffix":""},{"dropping-particle":"","family":"Samudra","given":"Azhari Aziz","non-dropping-particle":"","parse-names":false,"suffix":""},{"dropping-particle":"","family":"Zainal","given":"Veithzal Rivai","non-dropping-particle":"","parse-names":false,"suffix":""},{"dropping-particle":"","family":"Sumrahadi","given":"Abdullah","non-dropping-particle":"","parse-names":false,"suffix":""},{"dropping-particle":"","family":"Hakim","given":"Aziz","non-dropping-particle":"","parse-names":false,"suffix":""},{"dropping-particle":"","family":"Hariyadi","given":"Ade Reza","non-dropping-particle":"","parse-names":false,"suffix":""},{"dropping-particle":"","family":"Subagja","given":"Iwan Kurniawan","non-dropping-particle":"","parse-names":false,"suffix":""}],"container-title":"International Journal of Business","id":"ITEM-1","issue":"9","issued":{"date-parts":[["2021"]]},"title":"Relationship of work Motivation and participative Leadership with Functional Employment Behavior of Education and Culture of Bengkulu Province, Indonesia","type":"article-journal","volume":"5"},"uris":["http://www.mendeley.com/documents/?uuid=8c5066d1-6310-39c9-a85b-766a052b299e"]}],"mendeley":{"formattedCitation":"(Koto et al., 2021)","plainTextFormattedCitation":"(Koto et al., 2021)","previouslyFormattedCitation":"(Koto et al., 2021)"},"properties":{"noteIndex":0},"schema":"https://github.com/citation-style-language/schema/raw/master/csl-citation.json"}</w:instrText>
      </w:r>
      <w:r w:rsidRPr="005658EC">
        <w:rPr>
          <w:rFonts w:ascii="Arial Narrow" w:hAnsi="Arial Narrow"/>
          <w:sz w:val="24"/>
          <w:szCs w:val="24"/>
        </w:rPr>
        <w:fldChar w:fldCharType="separate"/>
      </w:r>
      <w:r w:rsidRPr="005658EC">
        <w:rPr>
          <w:rFonts w:ascii="Arial Narrow" w:hAnsi="Arial Narrow"/>
          <w:noProof/>
          <w:sz w:val="24"/>
          <w:szCs w:val="24"/>
        </w:rPr>
        <w:t>(Koto et al., 2021)</w:t>
      </w:r>
      <w:r w:rsidRPr="005658EC">
        <w:rPr>
          <w:rFonts w:ascii="Arial Narrow" w:hAnsi="Arial Narrow"/>
          <w:sz w:val="24"/>
          <w:szCs w:val="24"/>
        </w:rPr>
        <w:fldChar w:fldCharType="end"/>
      </w:r>
      <w:r w:rsidRPr="005658EC">
        <w:rPr>
          <w:rFonts w:ascii="Arial Narrow" w:hAnsi="Arial Narrow"/>
          <w:sz w:val="24"/>
          <w:szCs w:val="24"/>
        </w:rPr>
        <w:t xml:space="preserve">. Most traders in traditional markets are not equipped with higher education. However, they </w:t>
      </w:r>
      <w:r w:rsidRPr="005658EC">
        <w:rPr>
          <w:rFonts w:ascii="Arial Narrow" w:hAnsi="Arial Narrow"/>
          <w:sz w:val="24"/>
          <w:szCs w:val="24"/>
        </w:rPr>
        <w:lastRenderedPageBreak/>
        <w:t>can carry out the activity of calculating several transactions quickly without even using calculating/measuring tools. These mathematical activities are carried out daily and have a different way of calculating/measuring from what they usually learn while at school. It is something interesting to explore, study, and research.</w:t>
      </w:r>
    </w:p>
    <w:p w:rsidR="005658EC" w:rsidRPr="005658EC" w:rsidRDefault="005658EC" w:rsidP="005658EC">
      <w:pPr>
        <w:spacing w:line="360" w:lineRule="auto"/>
        <w:ind w:firstLine="720"/>
        <w:jc w:val="both"/>
        <w:rPr>
          <w:rFonts w:ascii="Arial Narrow" w:hAnsi="Arial Narrow"/>
          <w:sz w:val="24"/>
          <w:szCs w:val="24"/>
        </w:rPr>
      </w:pPr>
      <w:r w:rsidRPr="005658EC">
        <w:rPr>
          <w:rFonts w:ascii="Arial Narrow" w:hAnsi="Arial Narrow"/>
          <w:sz w:val="24"/>
          <w:szCs w:val="24"/>
        </w:rPr>
        <w:t xml:space="preserve">The </w:t>
      </w:r>
      <w:proofErr w:type="spellStart"/>
      <w:r w:rsidRPr="005658EC">
        <w:rPr>
          <w:rFonts w:ascii="Arial Narrow" w:hAnsi="Arial Narrow"/>
          <w:sz w:val="24"/>
          <w:szCs w:val="24"/>
        </w:rPr>
        <w:t>ethnomathematical</w:t>
      </w:r>
      <w:proofErr w:type="spellEnd"/>
      <w:r w:rsidRPr="005658EC">
        <w:rPr>
          <w:rFonts w:ascii="Arial Narrow" w:hAnsi="Arial Narrow"/>
          <w:sz w:val="24"/>
          <w:szCs w:val="24"/>
        </w:rPr>
        <w:t xml:space="preserve"> activities carried out by these traders should be explored so that the public (especially students) can know and realize that their activities are related to mathematical concepts. It can also be used as a reference, especially for mathematics teachers, to implement </w:t>
      </w:r>
      <w:proofErr w:type="spellStart"/>
      <w:r w:rsidRPr="005658EC">
        <w:rPr>
          <w:rFonts w:ascii="Arial Narrow" w:hAnsi="Arial Narrow"/>
          <w:sz w:val="24"/>
          <w:szCs w:val="24"/>
        </w:rPr>
        <w:t>ethnomathematics</w:t>
      </w:r>
      <w:proofErr w:type="spellEnd"/>
      <w:r w:rsidRPr="005658EC">
        <w:rPr>
          <w:rFonts w:ascii="Arial Narrow" w:hAnsi="Arial Narrow"/>
          <w:sz w:val="24"/>
          <w:szCs w:val="24"/>
        </w:rPr>
        <w:t xml:space="preserve"> as a basis for learning so that mathematics learning is more realistic. Hopefully, it can provide students with knowledge and understanding (cognitive domain). The plus point is the achievement of understanding the values which are the essence of culture. It is also hoped that it can foster their feelings of love for local Bengkulu culture.</w:t>
      </w:r>
    </w:p>
    <w:p w:rsidR="005658EC" w:rsidRPr="005658EC" w:rsidRDefault="005658EC" w:rsidP="005658EC">
      <w:pPr>
        <w:pStyle w:val="E-JournalBody"/>
        <w:ind w:firstLine="709"/>
        <w:rPr>
          <w:rFonts w:ascii="Arial Narrow" w:hAnsi="Arial Narrow"/>
          <w:szCs w:val="22"/>
          <w:lang w:val="en-US"/>
        </w:rPr>
      </w:pPr>
    </w:p>
    <w:p w:rsidR="0017751F" w:rsidRDefault="00B96E3E">
      <w:pPr>
        <w:pStyle w:val="Heading2"/>
        <w:spacing w:line="360" w:lineRule="auto"/>
        <w:ind w:left="0"/>
        <w:rPr>
          <w:rFonts w:ascii="Arial Narrow" w:eastAsia="Arial Narrow" w:hAnsi="Arial Narrow" w:cs="Arial Narrow"/>
        </w:rPr>
      </w:pPr>
      <w:r>
        <w:rPr>
          <w:rFonts w:ascii="Arial Narrow" w:eastAsia="Arial Narrow" w:hAnsi="Arial Narrow" w:cs="Arial Narrow"/>
        </w:rPr>
        <w:t>METODE PENELITIAN</w:t>
      </w:r>
    </w:p>
    <w:p w:rsidR="005658EC" w:rsidRPr="005658EC" w:rsidRDefault="005658EC" w:rsidP="005658EC">
      <w:pPr>
        <w:spacing w:line="360" w:lineRule="auto"/>
        <w:ind w:firstLine="720"/>
        <w:jc w:val="both"/>
        <w:rPr>
          <w:rFonts w:ascii="Arial Narrow" w:hAnsi="Arial Narrow"/>
          <w:b/>
          <w:bCs/>
          <w:i/>
          <w:iCs/>
          <w:szCs w:val="24"/>
          <w:lang w:val="id-ID"/>
        </w:rPr>
      </w:pPr>
      <w:r w:rsidRPr="005658EC">
        <w:rPr>
          <w:rFonts w:ascii="Arial Narrow" w:hAnsi="Arial Narrow"/>
          <w:sz w:val="24"/>
          <w:szCs w:val="24"/>
        </w:rPr>
        <w:t xml:space="preserve">This research is exploratory research using a qualitative approach. The implementation of this research observes </w:t>
      </w:r>
      <w:proofErr w:type="spellStart"/>
      <w:r w:rsidRPr="005658EC">
        <w:rPr>
          <w:rFonts w:ascii="Arial Narrow" w:hAnsi="Arial Narrow"/>
          <w:sz w:val="24"/>
          <w:szCs w:val="24"/>
        </w:rPr>
        <w:t>ethnomathematics</w:t>
      </w:r>
      <w:proofErr w:type="spellEnd"/>
      <w:r w:rsidRPr="005658EC">
        <w:rPr>
          <w:rFonts w:ascii="Arial Narrow" w:hAnsi="Arial Narrow"/>
          <w:sz w:val="24"/>
          <w:szCs w:val="24"/>
        </w:rPr>
        <w:t xml:space="preserve"> activities in buying and selling transaction activities carried out by traders in traditional markets, which occur naturally as is, and there is no manipulation of circumstances and conditions during the research </w:t>
      </w:r>
      <w:r w:rsidRPr="005658EC">
        <w:rPr>
          <w:rFonts w:ascii="Arial Narrow" w:hAnsi="Arial Narrow"/>
          <w:sz w:val="24"/>
          <w:szCs w:val="24"/>
        </w:rPr>
        <w:lastRenderedPageBreak/>
        <w:t xml:space="preserve">implementation. </w:t>
      </w:r>
    </w:p>
    <w:p w:rsidR="005658EC" w:rsidRPr="005658EC" w:rsidRDefault="005658EC" w:rsidP="005658EC">
      <w:pPr>
        <w:spacing w:line="360" w:lineRule="auto"/>
        <w:ind w:firstLine="720"/>
        <w:jc w:val="both"/>
        <w:rPr>
          <w:rFonts w:ascii="Arial Narrow" w:hAnsi="Arial Narrow"/>
          <w:b/>
          <w:bCs/>
          <w:i/>
          <w:iCs/>
          <w:szCs w:val="24"/>
          <w:lang w:val="id-ID"/>
        </w:rPr>
      </w:pPr>
      <w:r w:rsidRPr="005658EC">
        <w:rPr>
          <w:rFonts w:ascii="Arial Narrow" w:hAnsi="Arial Narrow"/>
          <w:sz w:val="24"/>
          <w:szCs w:val="24"/>
        </w:rPr>
        <w:t xml:space="preserve">This research is exploratory research using a qualitative approach. The implementation of this research observes </w:t>
      </w:r>
      <w:proofErr w:type="spellStart"/>
      <w:r w:rsidRPr="005658EC">
        <w:rPr>
          <w:rFonts w:ascii="Arial Narrow" w:hAnsi="Arial Narrow"/>
          <w:sz w:val="24"/>
          <w:szCs w:val="24"/>
        </w:rPr>
        <w:t>ethnomathematics</w:t>
      </w:r>
      <w:proofErr w:type="spellEnd"/>
      <w:r w:rsidRPr="005658EC">
        <w:rPr>
          <w:rFonts w:ascii="Arial Narrow" w:hAnsi="Arial Narrow"/>
          <w:sz w:val="24"/>
          <w:szCs w:val="24"/>
        </w:rPr>
        <w:t xml:space="preserve"> activities in buying and selling transaction activities carried out by traders in traditional markets, which occur naturally as is, and there is no manipulation of circumstances and conditions during the research implementation. Research subjects were selected purposively, according to considerations from observation results, which showed unique </w:t>
      </w:r>
      <w:proofErr w:type="spellStart"/>
      <w:r w:rsidRPr="005658EC">
        <w:rPr>
          <w:rFonts w:ascii="Arial Narrow" w:hAnsi="Arial Narrow"/>
          <w:sz w:val="24"/>
          <w:szCs w:val="24"/>
        </w:rPr>
        <w:t>ethnomathematics</w:t>
      </w:r>
      <w:proofErr w:type="spellEnd"/>
      <w:r w:rsidRPr="005658EC">
        <w:rPr>
          <w:rFonts w:ascii="Arial Narrow" w:hAnsi="Arial Narrow"/>
          <w:sz w:val="24"/>
          <w:szCs w:val="24"/>
        </w:rPr>
        <w:t xml:space="preserve"> activities, with the subject selection criteria being the types of goods sold by the subjects involving local cultural objects, including object/material culture and non-object/non-material culture. So, the selected subjects were rice traders, nuts traders, egg traders, and vegetable traders. The research locations were three traditional markets in Bengkulu City: </w:t>
      </w:r>
      <w:proofErr w:type="spellStart"/>
      <w:r w:rsidRPr="005658EC">
        <w:rPr>
          <w:rFonts w:ascii="Arial Narrow" w:hAnsi="Arial Narrow"/>
          <w:sz w:val="24"/>
          <w:szCs w:val="24"/>
        </w:rPr>
        <w:t>Pagar</w:t>
      </w:r>
      <w:proofErr w:type="spellEnd"/>
      <w:r w:rsidRPr="005658EC">
        <w:rPr>
          <w:rFonts w:ascii="Arial Narrow" w:hAnsi="Arial Narrow"/>
          <w:sz w:val="24"/>
          <w:szCs w:val="24"/>
        </w:rPr>
        <w:t xml:space="preserve"> </w:t>
      </w:r>
      <w:proofErr w:type="spellStart"/>
      <w:r w:rsidRPr="005658EC">
        <w:rPr>
          <w:rFonts w:ascii="Arial Narrow" w:hAnsi="Arial Narrow"/>
          <w:sz w:val="24"/>
          <w:szCs w:val="24"/>
        </w:rPr>
        <w:t>Dewa</w:t>
      </w:r>
      <w:proofErr w:type="spellEnd"/>
      <w:r w:rsidRPr="005658EC">
        <w:rPr>
          <w:rFonts w:ascii="Arial Narrow" w:hAnsi="Arial Narrow"/>
          <w:sz w:val="24"/>
          <w:szCs w:val="24"/>
        </w:rPr>
        <w:t xml:space="preserve"> Main Market, Panorama Traditional Market, and </w:t>
      </w:r>
      <w:proofErr w:type="spellStart"/>
      <w:r w:rsidRPr="005658EC">
        <w:rPr>
          <w:rFonts w:ascii="Arial Narrow" w:hAnsi="Arial Narrow"/>
          <w:sz w:val="24"/>
          <w:szCs w:val="24"/>
        </w:rPr>
        <w:t>Minggu</w:t>
      </w:r>
      <w:proofErr w:type="spellEnd"/>
      <w:r w:rsidRPr="005658EC">
        <w:rPr>
          <w:rFonts w:ascii="Arial Narrow" w:hAnsi="Arial Narrow"/>
          <w:sz w:val="24"/>
          <w:szCs w:val="24"/>
        </w:rPr>
        <w:t xml:space="preserve"> Traditional Modern Market (PTM). </w:t>
      </w:r>
    </w:p>
    <w:p w:rsidR="0017751F" w:rsidRDefault="005658EC" w:rsidP="005658EC">
      <w:pPr>
        <w:pBdr>
          <w:top w:val="nil"/>
          <w:left w:val="nil"/>
          <w:bottom w:val="nil"/>
          <w:right w:val="nil"/>
          <w:between w:val="nil"/>
        </w:pBdr>
        <w:spacing w:line="360" w:lineRule="auto"/>
        <w:ind w:right="123" w:firstLine="720"/>
        <w:jc w:val="both"/>
        <w:rPr>
          <w:rFonts w:ascii="Arial Narrow" w:eastAsia="Arial Narrow" w:hAnsi="Arial Narrow" w:cs="Arial Narrow"/>
          <w:color w:val="000000"/>
          <w:sz w:val="24"/>
          <w:szCs w:val="24"/>
        </w:rPr>
      </w:pPr>
      <w:r w:rsidRPr="005658EC">
        <w:rPr>
          <w:rFonts w:ascii="Arial Narrow" w:hAnsi="Arial Narrow"/>
          <w:sz w:val="24"/>
          <w:szCs w:val="24"/>
        </w:rPr>
        <w:t>Data collection techniques include field notes (observations), documentation, and interviews. The data analysis technique goes through three stages of triangulation: reduction, presentation, and drawing conclusions/verification.</w:t>
      </w:r>
      <w:r w:rsidR="00B96E3E">
        <w:rPr>
          <w:rFonts w:ascii="Arial Narrow" w:eastAsia="Arial Narrow" w:hAnsi="Arial Narrow" w:cs="Arial Narrow"/>
          <w:color w:val="000000"/>
          <w:sz w:val="24"/>
          <w:szCs w:val="24"/>
        </w:rPr>
        <w:t xml:space="preserve"> </w:t>
      </w:r>
    </w:p>
    <w:p w:rsidR="005658EC" w:rsidRDefault="005658EC" w:rsidP="005658EC">
      <w:pPr>
        <w:pBdr>
          <w:top w:val="nil"/>
          <w:left w:val="nil"/>
          <w:bottom w:val="nil"/>
          <w:right w:val="nil"/>
          <w:between w:val="nil"/>
        </w:pBdr>
        <w:spacing w:line="360" w:lineRule="auto"/>
        <w:ind w:right="123" w:firstLine="720"/>
        <w:jc w:val="both"/>
        <w:rPr>
          <w:rFonts w:ascii="Arial Narrow" w:eastAsia="Arial Narrow" w:hAnsi="Arial Narrow" w:cs="Arial Narrow"/>
          <w:color w:val="000000"/>
          <w:sz w:val="24"/>
          <w:szCs w:val="24"/>
        </w:rPr>
      </w:pPr>
    </w:p>
    <w:p w:rsidR="0017751F" w:rsidRDefault="0017751F">
      <w:pPr>
        <w:pStyle w:val="Heading2"/>
        <w:spacing w:line="360" w:lineRule="auto"/>
        <w:ind w:left="0"/>
        <w:rPr>
          <w:rFonts w:ascii="Arial Narrow" w:eastAsia="Arial Narrow" w:hAnsi="Arial Narrow" w:cs="Arial Narrow"/>
        </w:rPr>
      </w:pPr>
    </w:p>
    <w:p w:rsidR="0017751F" w:rsidRDefault="00B96E3E">
      <w:pPr>
        <w:pStyle w:val="Heading2"/>
        <w:spacing w:line="360" w:lineRule="auto"/>
        <w:ind w:left="0"/>
        <w:rPr>
          <w:rFonts w:ascii="Arial Narrow" w:eastAsia="Arial Narrow" w:hAnsi="Arial Narrow" w:cs="Arial Narrow"/>
        </w:rPr>
      </w:pPr>
      <w:r>
        <w:rPr>
          <w:rFonts w:ascii="Arial Narrow" w:eastAsia="Arial Narrow" w:hAnsi="Arial Narrow" w:cs="Arial Narrow"/>
        </w:rPr>
        <w:lastRenderedPageBreak/>
        <w:t>HASIL DAN PEMBAHASAN</w:t>
      </w:r>
    </w:p>
    <w:p w:rsidR="009A6117" w:rsidRPr="009A6117" w:rsidRDefault="009A6117" w:rsidP="009A6117">
      <w:pPr>
        <w:spacing w:line="360" w:lineRule="auto"/>
        <w:ind w:firstLine="720"/>
        <w:jc w:val="both"/>
        <w:rPr>
          <w:rFonts w:ascii="Arial Narrow" w:hAnsi="Arial Narrow"/>
          <w:sz w:val="24"/>
          <w:szCs w:val="24"/>
        </w:rPr>
      </w:pPr>
      <w:r w:rsidRPr="009A6117">
        <w:rPr>
          <w:rFonts w:ascii="Arial Narrow" w:hAnsi="Arial Narrow"/>
          <w:sz w:val="24"/>
          <w:szCs w:val="24"/>
        </w:rPr>
        <w:t xml:space="preserve">Below, we will present an analysis of data from research on </w:t>
      </w:r>
      <w:proofErr w:type="spellStart"/>
      <w:r w:rsidRPr="009A6117">
        <w:rPr>
          <w:rFonts w:ascii="Arial Narrow" w:hAnsi="Arial Narrow"/>
          <w:sz w:val="24"/>
          <w:szCs w:val="24"/>
        </w:rPr>
        <w:t>ethnomathematics</w:t>
      </w:r>
      <w:proofErr w:type="spellEnd"/>
      <w:r w:rsidRPr="009A6117">
        <w:rPr>
          <w:rFonts w:ascii="Arial Narrow" w:hAnsi="Arial Narrow"/>
          <w:sz w:val="24"/>
          <w:szCs w:val="24"/>
        </w:rPr>
        <w:t xml:space="preserve"> activities on buying and selling transactions carried out by traders in traditional markets in Bengkulu City. </w:t>
      </w:r>
      <w:proofErr w:type="spellStart"/>
      <w:r w:rsidRPr="009A6117">
        <w:rPr>
          <w:rFonts w:ascii="Arial Narrow" w:hAnsi="Arial Narrow"/>
          <w:sz w:val="24"/>
          <w:szCs w:val="24"/>
        </w:rPr>
        <w:t>Ethnomathematical</w:t>
      </w:r>
      <w:proofErr w:type="spellEnd"/>
      <w:r w:rsidRPr="009A6117">
        <w:rPr>
          <w:rFonts w:ascii="Arial Narrow" w:hAnsi="Arial Narrow"/>
          <w:sz w:val="24"/>
          <w:szCs w:val="24"/>
        </w:rPr>
        <w:t xml:space="preserve"> activities that emerged were analyzed based on Bishop's </w:t>
      </w:r>
      <w:r w:rsidRPr="009A6117">
        <w:rPr>
          <w:rFonts w:ascii="Arial Narrow" w:hAnsi="Arial Narrow"/>
          <w:sz w:val="24"/>
          <w:szCs w:val="24"/>
        </w:rPr>
        <w:fldChar w:fldCharType="begin" w:fldLock="1"/>
      </w:r>
      <w:r w:rsidRPr="009A6117">
        <w:rPr>
          <w:rFonts w:ascii="Arial Narrow" w:hAnsi="Arial Narrow"/>
          <w:sz w:val="24"/>
          <w:szCs w:val="24"/>
        </w:rPr>
        <w:instrText>ADDIN CSL_CITATION {"citationItems":[{"id":"ITEM-1","itemData":{"ISSN":"0228-0671","abstract":"… mathe- matics education? It is high time that more research looked at the relationships between formal and non- formal mathematics education, and this area of cultur- al conflicts offers a particularly important focus. c) Informal …","author":[{"dropping-particle":"","family":"Bishop","given":"Alan","non-dropping-particle":"","parse-names":false,"suffix":""}],"container-title":"Learning of Mathematics","id":"ITEM-1","issue":"2","issued":{"date-parts":[["1994"]]},"title":"Cultural Conflicts in Mathematics Education: Developing a Research Agenda.","type":"article-journal","volume":"14"},"uris":["http://www.mendeley.com/documents/?uuid=65c1b263-2804-3135-a373-8830c79fc600"]}],"mendeley":{"formattedCitation":"(A. Bishop, 1994)","plainTextFormattedCitation":"(A. Bishop, 1994)","previouslyFormattedCitation":"(A. Bishop, 1994)"},"properties":{"noteIndex":0},"schema":"https://github.com/citation-style-language/schema/raw/master/csl-citation.json"}</w:instrText>
      </w:r>
      <w:r w:rsidRPr="009A6117">
        <w:rPr>
          <w:rFonts w:ascii="Arial Narrow" w:hAnsi="Arial Narrow"/>
          <w:sz w:val="24"/>
          <w:szCs w:val="24"/>
        </w:rPr>
        <w:fldChar w:fldCharType="separate"/>
      </w:r>
      <w:r w:rsidRPr="009A6117">
        <w:rPr>
          <w:rFonts w:ascii="Arial Narrow" w:hAnsi="Arial Narrow"/>
          <w:noProof/>
          <w:sz w:val="24"/>
          <w:szCs w:val="24"/>
        </w:rPr>
        <w:t>(A. Bishop, 1994)</w:t>
      </w:r>
      <w:r w:rsidRPr="009A6117">
        <w:rPr>
          <w:rFonts w:ascii="Arial Narrow" w:hAnsi="Arial Narrow"/>
          <w:sz w:val="24"/>
          <w:szCs w:val="24"/>
        </w:rPr>
        <w:fldChar w:fldCharType="end"/>
      </w:r>
      <w:r w:rsidRPr="009A6117">
        <w:rPr>
          <w:rFonts w:ascii="Arial Narrow" w:hAnsi="Arial Narrow"/>
          <w:sz w:val="24"/>
          <w:szCs w:val="24"/>
        </w:rPr>
        <w:t xml:space="preserve"> fundamental mathematical activity theory, including counting, locating, measuring, designing, playing, and explaining. These activities can be explained as follows:</w:t>
      </w:r>
    </w:p>
    <w:p w:rsidR="009A6117" w:rsidRPr="009A6117" w:rsidRDefault="009A6117" w:rsidP="009A6117">
      <w:pPr>
        <w:pStyle w:val="ListParagraph"/>
        <w:numPr>
          <w:ilvl w:val="3"/>
          <w:numId w:val="1"/>
        </w:numPr>
        <w:autoSpaceDE w:val="0"/>
        <w:autoSpaceDN w:val="0"/>
        <w:adjustRightInd w:val="0"/>
        <w:spacing w:after="0" w:line="360" w:lineRule="auto"/>
        <w:ind w:left="426"/>
        <w:rPr>
          <w:rFonts w:ascii="Arial Narrow" w:hAnsi="Arial Narrow" w:cstheme="majorBidi"/>
          <w:b/>
          <w:bCs/>
          <w:sz w:val="24"/>
          <w:szCs w:val="24"/>
        </w:rPr>
      </w:pPr>
      <w:r w:rsidRPr="009A6117">
        <w:rPr>
          <w:rFonts w:ascii="Arial Narrow" w:hAnsi="Arial Narrow" w:cstheme="majorBidi"/>
          <w:b/>
          <w:bCs/>
          <w:sz w:val="24"/>
          <w:szCs w:val="24"/>
        </w:rPr>
        <w:t xml:space="preserve">Counting </w:t>
      </w:r>
    </w:p>
    <w:p w:rsidR="009A6117" w:rsidRPr="009A6117" w:rsidRDefault="009A6117" w:rsidP="009A6117">
      <w:pPr>
        <w:pStyle w:val="NormalWeb"/>
        <w:spacing w:before="0" w:beforeAutospacing="0" w:after="0" w:afterAutospacing="0" w:line="360" w:lineRule="auto"/>
        <w:ind w:firstLine="720"/>
        <w:jc w:val="both"/>
        <w:rPr>
          <w:rFonts w:ascii="Arial Narrow" w:hAnsi="Arial Narrow"/>
          <w:color w:val="0E101A"/>
        </w:rPr>
      </w:pPr>
      <w:r w:rsidRPr="009A6117">
        <w:rPr>
          <w:rFonts w:ascii="Arial Narrow" w:hAnsi="Arial Narrow"/>
          <w:color w:val="0E101A"/>
        </w:rPr>
        <w:t>Counting activities are related to numbers that show 'how much' or 'the amount of something'. Coplay (2001), numbers are symbols which are objects consisting of numbers. In general, most of the people of Bengkulu City do not say basic numbers using Indonesian but instead use Bengkulu or the language they usually use in everyday conversations. The basic numbers in Bengkul</w:t>
      </w:r>
      <w:r w:rsidRPr="009A6117">
        <w:rPr>
          <w:rFonts w:ascii="Arial Narrow" w:hAnsi="Arial Narrow"/>
          <w:color w:val="0E101A"/>
          <w:lang w:val="en-US"/>
        </w:rPr>
        <w:t>u</w:t>
      </w:r>
      <w:r w:rsidRPr="009A6117">
        <w:rPr>
          <w:rFonts w:ascii="Arial Narrow" w:hAnsi="Arial Narrow"/>
          <w:color w:val="0E101A"/>
        </w:rPr>
        <w:t xml:space="preserve"> include: </w:t>
      </w:r>
      <w:r w:rsidRPr="009A6117">
        <w:rPr>
          <w:rStyle w:val="Emphasis"/>
          <w:rFonts w:ascii="Arial Narrow" w:eastAsiaTheme="majorEastAsia" w:hAnsi="Arial Narrow"/>
          <w:color w:val="0E101A"/>
        </w:rPr>
        <w:t>sikok</w:t>
      </w:r>
      <w:r w:rsidRPr="009A6117">
        <w:rPr>
          <w:rFonts w:ascii="Arial Narrow" w:hAnsi="Arial Narrow"/>
          <w:color w:val="0E101A"/>
        </w:rPr>
        <w:t> (one), </w:t>
      </w:r>
      <w:r w:rsidRPr="009A6117">
        <w:rPr>
          <w:rStyle w:val="Emphasis"/>
          <w:rFonts w:ascii="Arial Narrow" w:eastAsiaTheme="majorEastAsia" w:hAnsi="Arial Narrow"/>
          <w:color w:val="0E101A"/>
        </w:rPr>
        <w:t>duo</w:t>
      </w:r>
      <w:r w:rsidRPr="009A6117">
        <w:rPr>
          <w:rFonts w:ascii="Arial Narrow" w:hAnsi="Arial Narrow"/>
          <w:color w:val="0E101A"/>
        </w:rPr>
        <w:t> (two), </w:t>
      </w:r>
      <w:r w:rsidRPr="009A6117">
        <w:rPr>
          <w:rStyle w:val="Emphasis"/>
          <w:rFonts w:ascii="Arial Narrow" w:eastAsiaTheme="majorEastAsia" w:hAnsi="Arial Narrow"/>
          <w:color w:val="0E101A"/>
        </w:rPr>
        <w:t>tigo</w:t>
      </w:r>
      <w:r w:rsidRPr="009A6117">
        <w:rPr>
          <w:rFonts w:ascii="Arial Narrow" w:hAnsi="Arial Narrow"/>
          <w:color w:val="0E101A"/>
        </w:rPr>
        <w:t> (three), </w:t>
      </w:r>
      <w:r w:rsidRPr="009A6117">
        <w:rPr>
          <w:rStyle w:val="Emphasis"/>
          <w:rFonts w:ascii="Arial Narrow" w:eastAsiaTheme="majorEastAsia" w:hAnsi="Arial Narrow"/>
          <w:color w:val="0E101A"/>
        </w:rPr>
        <w:t>empek</w:t>
      </w:r>
      <w:r w:rsidRPr="009A6117">
        <w:rPr>
          <w:rFonts w:ascii="Arial Narrow" w:hAnsi="Arial Narrow"/>
          <w:color w:val="0E101A"/>
        </w:rPr>
        <w:t> (four), </w:t>
      </w:r>
      <w:r w:rsidRPr="009A6117">
        <w:rPr>
          <w:rStyle w:val="Emphasis"/>
          <w:rFonts w:ascii="Arial Narrow" w:eastAsiaTheme="majorEastAsia" w:hAnsi="Arial Narrow"/>
          <w:color w:val="0E101A"/>
        </w:rPr>
        <w:t>limo</w:t>
      </w:r>
      <w:r w:rsidRPr="009A6117">
        <w:rPr>
          <w:rFonts w:ascii="Arial Narrow" w:hAnsi="Arial Narrow"/>
          <w:color w:val="0E101A"/>
        </w:rPr>
        <w:t xml:space="preserve"> (five),</w:t>
      </w:r>
      <w:r w:rsidRPr="009A6117">
        <w:rPr>
          <w:rStyle w:val="Emphasis"/>
          <w:rFonts w:ascii="Arial Narrow" w:eastAsiaTheme="majorEastAsia" w:hAnsi="Arial Narrow"/>
          <w:color w:val="0E101A"/>
        </w:rPr>
        <w:t xml:space="preserve"> enam</w:t>
      </w:r>
      <w:r w:rsidRPr="009A6117">
        <w:rPr>
          <w:rFonts w:ascii="Arial Narrow" w:hAnsi="Arial Narrow"/>
          <w:color w:val="0E101A"/>
        </w:rPr>
        <w:t xml:space="preserve"> (six), </w:t>
      </w:r>
      <w:r w:rsidRPr="009A6117">
        <w:rPr>
          <w:rStyle w:val="Emphasis"/>
          <w:rFonts w:ascii="Arial Narrow" w:eastAsiaTheme="majorEastAsia" w:hAnsi="Arial Narrow"/>
          <w:color w:val="0E101A"/>
        </w:rPr>
        <w:t>tujuh</w:t>
      </w:r>
      <w:r w:rsidRPr="009A6117">
        <w:rPr>
          <w:rFonts w:ascii="Arial Narrow" w:hAnsi="Arial Narrow"/>
          <w:color w:val="0E101A"/>
        </w:rPr>
        <w:t> (seven), </w:t>
      </w:r>
      <w:r w:rsidRPr="009A6117">
        <w:rPr>
          <w:rStyle w:val="Emphasis"/>
          <w:rFonts w:ascii="Arial Narrow" w:eastAsiaTheme="majorEastAsia" w:hAnsi="Arial Narrow"/>
          <w:color w:val="0E101A"/>
        </w:rPr>
        <w:t>delapan</w:t>
      </w:r>
      <w:r w:rsidRPr="009A6117">
        <w:rPr>
          <w:rFonts w:ascii="Arial Narrow" w:hAnsi="Arial Narrow"/>
          <w:color w:val="0E101A"/>
        </w:rPr>
        <w:t xml:space="preserve"> (eight), </w:t>
      </w:r>
      <w:r w:rsidRPr="009A6117">
        <w:rPr>
          <w:rStyle w:val="Emphasis"/>
          <w:rFonts w:ascii="Arial Narrow" w:eastAsiaTheme="majorEastAsia" w:hAnsi="Arial Narrow"/>
          <w:color w:val="0E101A"/>
        </w:rPr>
        <w:t>sembilan (</w:t>
      </w:r>
      <w:r w:rsidRPr="009A6117">
        <w:rPr>
          <w:rFonts w:ascii="Arial Narrow" w:hAnsi="Arial Narrow"/>
          <w:color w:val="0E101A"/>
        </w:rPr>
        <w:t>nine) , </w:t>
      </w:r>
      <w:r w:rsidRPr="009A6117">
        <w:rPr>
          <w:rStyle w:val="Emphasis"/>
          <w:rFonts w:ascii="Arial Narrow" w:eastAsiaTheme="majorEastAsia" w:hAnsi="Arial Narrow"/>
          <w:color w:val="0E101A"/>
        </w:rPr>
        <w:t>sepuluh</w:t>
      </w:r>
      <w:r w:rsidRPr="009A6117">
        <w:rPr>
          <w:rFonts w:ascii="Arial Narrow" w:hAnsi="Arial Narrow"/>
          <w:color w:val="0E101A"/>
        </w:rPr>
        <w:t> (ten). The main number, if it shows the classification, will change shape. The word sikok 'one' will change to se. The number 'teen' becomes </w:t>
      </w:r>
      <w:r w:rsidRPr="009A6117">
        <w:rPr>
          <w:rStyle w:val="Emphasis"/>
          <w:rFonts w:ascii="Arial Narrow" w:eastAsiaTheme="majorEastAsia" w:hAnsi="Arial Narrow"/>
          <w:color w:val="0E101A"/>
        </w:rPr>
        <w:t>bele</w:t>
      </w:r>
      <w:r w:rsidRPr="009A6117">
        <w:rPr>
          <w:rFonts w:ascii="Arial Narrow" w:hAnsi="Arial Narrow"/>
          <w:color w:val="0E101A"/>
        </w:rPr>
        <w:t>, such as </w:t>
      </w:r>
      <w:r w:rsidRPr="009A6117">
        <w:rPr>
          <w:rStyle w:val="Emphasis"/>
          <w:rFonts w:ascii="Arial Narrow" w:eastAsiaTheme="majorEastAsia" w:hAnsi="Arial Narrow"/>
          <w:color w:val="0E101A"/>
        </w:rPr>
        <w:t>sebele</w:t>
      </w:r>
      <w:r w:rsidRPr="009A6117">
        <w:rPr>
          <w:rFonts w:ascii="Arial Narrow" w:hAnsi="Arial Narrow"/>
          <w:color w:val="0E101A"/>
        </w:rPr>
        <w:t xml:space="preserve"> (eleven), </w:t>
      </w:r>
      <w:r w:rsidRPr="009A6117">
        <w:rPr>
          <w:rFonts w:ascii="Arial Narrow" w:hAnsi="Arial Narrow"/>
          <w:i/>
          <w:iCs/>
          <w:color w:val="0E101A"/>
        </w:rPr>
        <w:t xml:space="preserve">duobele </w:t>
      </w:r>
      <w:r w:rsidRPr="009A6117">
        <w:rPr>
          <w:rFonts w:ascii="Arial Narrow" w:hAnsi="Arial Narrow"/>
          <w:color w:val="0E101A"/>
        </w:rPr>
        <w:t xml:space="preserve">(twelve), </w:t>
      </w:r>
      <w:r w:rsidRPr="009A6117">
        <w:rPr>
          <w:rFonts w:ascii="Arial Narrow" w:hAnsi="Arial Narrow"/>
          <w:i/>
          <w:iCs/>
          <w:color w:val="0E101A"/>
        </w:rPr>
        <w:t xml:space="preserve">tigobele </w:t>
      </w:r>
      <w:r w:rsidRPr="009A6117">
        <w:rPr>
          <w:rFonts w:ascii="Arial Narrow" w:hAnsi="Arial Narrow"/>
          <w:color w:val="0E101A"/>
        </w:rPr>
        <w:t xml:space="preserve">(thirteen), </w:t>
      </w:r>
      <w:r w:rsidRPr="009A6117">
        <w:rPr>
          <w:rFonts w:ascii="Arial Narrow" w:hAnsi="Arial Narrow"/>
          <w:i/>
          <w:iCs/>
          <w:color w:val="0E101A"/>
        </w:rPr>
        <w:t xml:space="preserve">empekbele </w:t>
      </w:r>
      <w:r w:rsidRPr="009A6117">
        <w:rPr>
          <w:rFonts w:ascii="Arial Narrow" w:hAnsi="Arial Narrow"/>
          <w:color w:val="0E101A"/>
        </w:rPr>
        <w:t xml:space="preserve">(fourteen) </w:t>
      </w:r>
      <w:r w:rsidRPr="009A6117">
        <w:rPr>
          <w:rFonts w:ascii="Arial Narrow" w:hAnsi="Arial Narrow"/>
          <w:i/>
          <w:iCs/>
          <w:color w:val="0E101A"/>
        </w:rPr>
        <w:t xml:space="preserve">limobele </w:t>
      </w:r>
      <w:r w:rsidRPr="009A6117">
        <w:rPr>
          <w:rFonts w:ascii="Arial Narrow" w:hAnsi="Arial Narrow"/>
          <w:color w:val="0E101A"/>
        </w:rPr>
        <w:t>(fifteen), etc</w:t>
      </w:r>
      <w:r w:rsidRPr="009A6117">
        <w:rPr>
          <w:rFonts w:ascii="Arial Narrow" w:hAnsi="Arial Narrow"/>
          <w:color w:val="0E101A"/>
          <w:lang w:val="en-US"/>
        </w:rPr>
        <w:t xml:space="preserve"> </w:t>
      </w:r>
      <w:r w:rsidRPr="009A6117">
        <w:rPr>
          <w:rFonts w:ascii="Arial Narrow" w:hAnsi="Arial Narrow"/>
          <w:color w:val="0E101A"/>
          <w:lang w:val="en-US"/>
        </w:rPr>
        <w:fldChar w:fldCharType="begin" w:fldLock="1"/>
      </w:r>
      <w:r w:rsidRPr="009A6117">
        <w:rPr>
          <w:rFonts w:ascii="Arial Narrow" w:hAnsi="Arial Narrow"/>
          <w:color w:val="0E101A"/>
          <w:lang w:val="en-US"/>
        </w:rPr>
        <w:instrText>ADDIN CSL_CITATION {"citationItems":[{"id":"ITEM-1","itemData":{"DOI":"10.23887/jere.v4i2.22370","ISSN":"2597-422X","abstract":"This research was conducted with the purpose to produce mathematics instructional media based game and comic stories for android. This study aimed at assisting students in studying number material and increasing reading interest for 7th grade students. Media developed were stories that were made into an adventure game made with \"appsgeyser.com\". The research method was research and development. The development of this medium used 4D (Four-D) development techniques consisting of Define, Design, Develop, and Disseminate stages. To obtain quality media, validation and experiment were done. The result of this study indicated that mathematics instructional media comic game story based android could improve the positive nature and spirit of students in learning. The validity value of media was 3.2 and the practical value of media was 3.14","author":[{"dropping-particle":"","family":"Sulistio","given":"Wahyu","non-dropping-particle":"","parse-names":false,"suffix":""},{"dropping-particle":"","family":"Qohar","given":"Abd","non-dropping-particle":"","parse-names":false,"suffix":""}],"container-title":"Journal of Education Research and Evaluation","id":"ITEM-1","issue":"2","issued":{"date-parts":[["2020"]]},"title":"Development of Instructional Media “Game Math Comic Story” Based Android on Number","type":"article-journal","volume":"4"},"uris":["http://www.mendeley.com/documents/?uuid=6dda9f13-b29e-3b6b-8a08-493b878ab006"]}],"mendeley":{"formattedCitation":"(Sulistio &amp; Qohar, 2020)","plainTextFormattedCitation":"(Sulistio &amp; Qohar, 2020)","previouslyFormattedCitation":"(Sulistio &amp; Qohar, 2020)"},"properties":{"noteIndex":0},"schema":"https://github.com/citation-style-language/schema/raw/master/csl-citation.json"}</w:instrText>
      </w:r>
      <w:r w:rsidRPr="009A6117">
        <w:rPr>
          <w:rFonts w:ascii="Arial Narrow" w:hAnsi="Arial Narrow"/>
          <w:color w:val="0E101A"/>
          <w:lang w:val="en-US"/>
        </w:rPr>
        <w:fldChar w:fldCharType="separate"/>
      </w:r>
      <w:r w:rsidRPr="009A6117">
        <w:rPr>
          <w:rFonts w:ascii="Arial Narrow" w:hAnsi="Arial Narrow"/>
          <w:noProof/>
          <w:color w:val="0E101A"/>
          <w:lang w:val="en-US"/>
        </w:rPr>
        <w:t>(Sulistio &amp; Qohar, 2020)</w:t>
      </w:r>
      <w:r w:rsidRPr="009A6117">
        <w:rPr>
          <w:rFonts w:ascii="Arial Narrow" w:hAnsi="Arial Narrow"/>
          <w:color w:val="0E101A"/>
          <w:lang w:val="en-US"/>
        </w:rPr>
        <w:fldChar w:fldCharType="end"/>
      </w:r>
      <w:r w:rsidRPr="009A6117">
        <w:rPr>
          <w:rFonts w:ascii="Arial Narrow" w:hAnsi="Arial Narrow"/>
          <w:color w:val="0E101A"/>
          <w:lang w:val="en-US"/>
        </w:rPr>
        <w:t xml:space="preserve"> </w:t>
      </w:r>
      <w:r w:rsidRPr="009A6117">
        <w:rPr>
          <w:rFonts w:ascii="Arial Narrow" w:hAnsi="Arial Narrow"/>
          <w:color w:val="0E101A"/>
        </w:rPr>
        <w:t>.</w:t>
      </w:r>
    </w:p>
    <w:p w:rsidR="009A6117" w:rsidRPr="009A6117" w:rsidRDefault="009A6117" w:rsidP="009A6117">
      <w:pPr>
        <w:pStyle w:val="NormalWeb"/>
        <w:spacing w:before="0" w:beforeAutospacing="0" w:after="0" w:afterAutospacing="0" w:line="360" w:lineRule="auto"/>
        <w:ind w:firstLine="720"/>
        <w:jc w:val="both"/>
        <w:rPr>
          <w:rFonts w:ascii="Arial Narrow" w:hAnsi="Arial Narrow"/>
          <w:color w:val="0E101A"/>
          <w:lang w:val="en-US"/>
        </w:rPr>
      </w:pPr>
      <w:r w:rsidRPr="009A6117">
        <w:rPr>
          <w:rFonts w:ascii="Arial Narrow" w:hAnsi="Arial Narrow"/>
          <w:color w:val="0E101A"/>
        </w:rPr>
        <w:lastRenderedPageBreak/>
        <w:t>Traders in the traditional markets of Bengkulu City tend to make the number values smaller; they use thousands as the unit, and this is done to make calculations easier. This counting activity is seen when traders count the number of goods purchased by consumers, calculate the selling price, and calculate the amount of change.</w:t>
      </w:r>
    </w:p>
    <w:p w:rsidR="009A6117" w:rsidRPr="009A6117" w:rsidRDefault="009A6117" w:rsidP="009A6117">
      <w:pPr>
        <w:pStyle w:val="NormalWeb"/>
        <w:spacing w:before="0" w:beforeAutospacing="0" w:after="0" w:afterAutospacing="0" w:line="360" w:lineRule="auto"/>
        <w:ind w:firstLine="720"/>
        <w:jc w:val="both"/>
        <w:rPr>
          <w:rFonts w:ascii="Arial Narrow" w:hAnsi="Arial Narrow"/>
          <w:color w:val="0E101A"/>
        </w:rPr>
      </w:pPr>
      <w:r w:rsidRPr="009A6117">
        <w:rPr>
          <w:rFonts w:ascii="Arial Narrow" w:hAnsi="Arial Narrow"/>
          <w:color w:val="0E101A"/>
        </w:rPr>
        <w:t>In the activity of determining the selling price of goods, traders consisting of subjects S1 (rice trader), S2 (nut trader), S3 (egg trader), and S4 (vegetable trader) stated that the selling price was determined by rounding to five hundred or thousands. , to make it easier to count and to anticipate change if there are no coins. Counting activities are also found when traders count the goods consumers purchase. So that there are many shopping items, the prices are calculated, and nothing is missed; the method used by research subjects S1, S2, S3, and S4 is when they put the goods purchased by consumers into plastic bags (Bengkulu people call them 'asoi') in a plastic bag—one by one.</w:t>
      </w:r>
    </w:p>
    <w:p w:rsidR="009A6117" w:rsidRPr="009A6117" w:rsidRDefault="009A6117" w:rsidP="009A6117">
      <w:pPr>
        <w:pStyle w:val="NormalWeb"/>
        <w:spacing w:before="0" w:beforeAutospacing="0" w:after="0" w:afterAutospacing="0" w:line="360" w:lineRule="auto"/>
        <w:ind w:firstLine="720"/>
        <w:jc w:val="both"/>
        <w:rPr>
          <w:rFonts w:ascii="Arial Narrow" w:hAnsi="Arial Narrow"/>
          <w:color w:val="0E101A"/>
          <w:lang w:val="en-US"/>
        </w:rPr>
      </w:pPr>
      <w:r w:rsidRPr="009A6117">
        <w:rPr>
          <w:rFonts w:ascii="Arial Narrow" w:hAnsi="Arial Narrow"/>
          <w:color w:val="0E101A"/>
        </w:rPr>
        <w:t xml:space="preserve">Meanwhile, counting activities are often found in buying and selling transactions between traders and buyers, namely calculating total consumer purchases, the amount of change, and sales profits. In the activities above, there are mathematical concepts and the use of arithmetic operations used by traders in the </w:t>
      </w:r>
      <w:r w:rsidRPr="009A6117">
        <w:rPr>
          <w:rFonts w:ascii="Arial Narrow" w:hAnsi="Arial Narrow"/>
          <w:color w:val="0E101A"/>
        </w:rPr>
        <w:lastRenderedPageBreak/>
        <w:t>traditional market of Bengkulu City during buying and selling transactions, including:</w:t>
      </w:r>
    </w:p>
    <w:p w:rsidR="009A6117" w:rsidRPr="009A6117" w:rsidRDefault="009A6117" w:rsidP="00037DE7">
      <w:pPr>
        <w:pStyle w:val="ListParagraph"/>
        <w:numPr>
          <w:ilvl w:val="6"/>
          <w:numId w:val="2"/>
        </w:numPr>
        <w:autoSpaceDE w:val="0"/>
        <w:autoSpaceDN w:val="0"/>
        <w:adjustRightInd w:val="0"/>
        <w:spacing w:after="0" w:line="360" w:lineRule="auto"/>
        <w:ind w:left="284" w:hanging="218"/>
        <w:jc w:val="both"/>
        <w:rPr>
          <w:rFonts w:ascii="Arial Narrow" w:hAnsi="Arial Narrow" w:cstheme="majorBidi"/>
          <w:sz w:val="24"/>
          <w:szCs w:val="24"/>
        </w:rPr>
      </w:pPr>
      <w:r w:rsidRPr="009A6117">
        <w:rPr>
          <w:rFonts w:ascii="Arial Narrow" w:hAnsi="Arial Narrow" w:cstheme="majorBidi"/>
          <w:sz w:val="24"/>
          <w:szCs w:val="24"/>
          <w:lang w:val="en-US"/>
        </w:rPr>
        <w:t>Addition</w:t>
      </w:r>
    </w:p>
    <w:p w:rsidR="009A6117" w:rsidRPr="009A6117" w:rsidRDefault="009A6117" w:rsidP="00C57548">
      <w:pPr>
        <w:pStyle w:val="ListParagraph"/>
        <w:autoSpaceDE w:val="0"/>
        <w:autoSpaceDN w:val="0"/>
        <w:adjustRightInd w:val="0"/>
        <w:spacing w:after="0" w:line="360" w:lineRule="auto"/>
        <w:ind w:left="284" w:firstLine="425"/>
        <w:jc w:val="both"/>
        <w:rPr>
          <w:rFonts w:ascii="Arial Narrow" w:hAnsi="Arial Narrow" w:cstheme="majorBidi"/>
          <w:sz w:val="28"/>
          <w:szCs w:val="28"/>
        </w:rPr>
      </w:pPr>
      <w:r w:rsidRPr="009A6117">
        <w:rPr>
          <w:rFonts w:ascii="Arial Narrow" w:hAnsi="Arial Narrow" w:cstheme="majorBidi"/>
          <w:color w:val="0E101A"/>
          <w:sz w:val="24"/>
          <w:szCs w:val="24"/>
        </w:rPr>
        <w:t>Based on observations and interviews, there are strategies for calculating addition operations used by traders in traditional markets in Bengkulu City, including:</w:t>
      </w:r>
    </w:p>
    <w:p w:rsidR="009A6117" w:rsidRPr="009A6117" w:rsidRDefault="009A6117" w:rsidP="00037DE7">
      <w:pPr>
        <w:pStyle w:val="NormalWeb"/>
        <w:numPr>
          <w:ilvl w:val="0"/>
          <w:numId w:val="3"/>
        </w:numPr>
        <w:spacing w:before="0" w:beforeAutospacing="0" w:after="0" w:afterAutospacing="0" w:line="360" w:lineRule="auto"/>
        <w:ind w:left="709" w:hanging="426"/>
        <w:jc w:val="both"/>
        <w:rPr>
          <w:rFonts w:ascii="Arial Narrow" w:hAnsi="Arial Narrow"/>
          <w:color w:val="0E101A"/>
        </w:rPr>
      </w:pPr>
      <w:r w:rsidRPr="009A6117">
        <w:rPr>
          <w:rFonts w:ascii="Arial Narrow" w:hAnsi="Arial Narrow"/>
          <w:color w:val="0E101A"/>
        </w:rPr>
        <w:t>Ignore the zeros, which act as thousands first;</w:t>
      </w:r>
    </w:p>
    <w:p w:rsidR="009A6117" w:rsidRPr="001A1315" w:rsidRDefault="009A6117" w:rsidP="00037DE7">
      <w:pPr>
        <w:pStyle w:val="NormalWeb"/>
        <w:numPr>
          <w:ilvl w:val="0"/>
          <w:numId w:val="3"/>
        </w:numPr>
        <w:spacing w:before="0" w:beforeAutospacing="0" w:after="0" w:afterAutospacing="0" w:line="360" w:lineRule="auto"/>
        <w:ind w:left="709" w:hanging="426"/>
        <w:jc w:val="both"/>
        <w:rPr>
          <w:rFonts w:ascii="Arial Narrow" w:hAnsi="Arial Narrow"/>
          <w:color w:val="0E101A"/>
          <w:lang w:val="en-US"/>
        </w:rPr>
      </w:pPr>
      <w:r w:rsidRPr="001A1315">
        <w:rPr>
          <w:rFonts w:ascii="Arial Narrow" w:hAnsi="Arial Narrow"/>
          <w:color w:val="0E101A"/>
        </w:rPr>
        <w:t>Add using the Count on Strategy, namely starting with a larger number and 'counting on' other additions to get the result of the addition. For example, if the number sentence is 4+3, then the trader will identify 4 as the larger number and count the other three numbers again “4...5, 6, 7”. The answer to the addition is 7. In this case, it appears that the trader can 'store' a number in his mind and then add it up. The Count on Strategy carried out by traders is depicted in the following chart:</w:t>
      </w:r>
      <w:r w:rsidRPr="001A1315">
        <w:rPr>
          <w:rFonts w:ascii="Arial Narrow" w:hAnsi="Arial Narrow"/>
          <w:color w:val="0E101A"/>
          <w:lang w:val="en-US"/>
        </w:rPr>
        <w:t xml:space="preserve">                        </w:t>
      </w:r>
      <w:r w:rsidR="00037DE7">
        <w:rPr>
          <w:rFonts w:ascii="Arial Narrow" w:hAnsi="Arial Narrow"/>
          <w:color w:val="0E101A"/>
          <w:lang w:val="en-US"/>
        </w:rPr>
        <w:t xml:space="preserve">         </w:t>
      </w:r>
      <w:r w:rsidR="001A1315">
        <w:rPr>
          <w:rFonts w:ascii="Arial Narrow" w:hAnsi="Arial Narrow"/>
          <w:noProof/>
          <w:color w:val="0E101A"/>
          <w:lang w:val="en-US" w:eastAsia="en-US"/>
        </w:rPr>
        <w:drawing>
          <wp:inline distT="0" distB="0" distL="0" distR="0" wp14:anchorId="3E2789F5" wp14:editId="0DE43F11">
            <wp:extent cx="1383527" cy="685836"/>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r="11278"/>
                    <a:stretch/>
                  </pic:blipFill>
                  <pic:spPr bwMode="auto">
                    <a:xfrm>
                      <a:off x="0" y="0"/>
                      <a:ext cx="1387925" cy="688016"/>
                    </a:xfrm>
                    <a:prstGeom prst="rect">
                      <a:avLst/>
                    </a:prstGeom>
                    <a:noFill/>
                    <a:ln>
                      <a:noFill/>
                    </a:ln>
                    <a:extLst>
                      <a:ext uri="{53640926-AAD7-44D8-BBD7-CCE9431645EC}">
                        <a14:shadowObscured xmlns:a14="http://schemas.microsoft.com/office/drawing/2010/main"/>
                      </a:ext>
                    </a:extLst>
                  </pic:spPr>
                </pic:pic>
              </a:graphicData>
            </a:graphic>
          </wp:inline>
        </w:drawing>
      </w:r>
    </w:p>
    <w:p w:rsidR="009A6117" w:rsidRPr="00C57548" w:rsidRDefault="009A6117" w:rsidP="009A6117">
      <w:pPr>
        <w:pStyle w:val="NormalWeb"/>
        <w:numPr>
          <w:ilvl w:val="0"/>
          <w:numId w:val="3"/>
        </w:numPr>
        <w:spacing w:before="0" w:beforeAutospacing="0" w:after="0" w:afterAutospacing="0" w:line="360" w:lineRule="auto"/>
        <w:jc w:val="both"/>
        <w:rPr>
          <w:rFonts w:ascii="Arial Narrow" w:hAnsi="Arial Narrow"/>
        </w:rPr>
      </w:pPr>
      <w:r w:rsidRPr="006B4CA4">
        <w:rPr>
          <w:rFonts w:ascii="Arial Narrow" w:hAnsi="Arial Narrow"/>
        </w:rPr>
        <w:t xml:space="preserve">Add the values of tens of thousands with tens of thousands, then add the values of thousands with thousands; after that, the results of the two additions are added again. If one of the numbers contains five hundred, then the five </w:t>
      </w:r>
      <w:r w:rsidRPr="006B4CA4">
        <w:rPr>
          <w:rFonts w:ascii="Arial Narrow" w:hAnsi="Arial Narrow"/>
        </w:rPr>
        <w:lastRenderedPageBreak/>
        <w:t xml:space="preserve">hundred are ignored and added at the end of the calculation. However, if both contain five hundred, then the value of five hundred is added to the five hundred, then added to the sum of thousands, and then added to the value of tens of thousands. This method is called the adjusting strategy. This strategy can be used simultaneously with all estimation strategies and all types of operations or is called adjusting with front-end estimation strategy </w:t>
      </w:r>
      <w:r w:rsidRPr="006B4CA4">
        <w:rPr>
          <w:rFonts w:ascii="Arial Narrow" w:hAnsi="Arial Narrow"/>
        </w:rPr>
        <w:fldChar w:fldCharType="begin" w:fldLock="1"/>
      </w:r>
      <w:r w:rsidRPr="006B4CA4">
        <w:rPr>
          <w:rFonts w:ascii="Arial Narrow" w:hAnsi="Arial Narrow"/>
        </w:rPr>
        <w:instrText>ADDIN CSL_CITATION {"citationItems":[{"id":"ITEM-1","itemData":{"DOI":"10.15294/kreano.v10i2.20642","ISSN":"2086-2334","abstract":"Mathematical Estimation is one of the competencies in mathematics related to the ability to estimate. One way to practice estimation skills can be through the traditional Mpa’a Amba game strategy. But before that, validity and reliability tests were carried out by two experts on the learning tools developed, namely RPP, LKS, BAS, and Instrument of mathematical estimation ability. After the assessment, it was found that the learning tools developed were very valid and very reliable. Using these instruments, the teaching obtained using Mpa’a Amba’s strategy specifically Social Arithmetic material to improve the ability of estimation in student’s the VII class is very effective because the value obtained when measured using the N-Gain formula is high. It was seen from the comparison of the pre-test and post-test scores. That the increase in the value of pre-test to post-test between 66.67 to 233.33%.","author":[{"dropping-particle":"","family":"Amirulmukminin","given":"Amirulmukminin","non-dropping-particle":"","parse-names":false,"suffix":""},{"dropping-particle":"","family":"Aprianti","given":"Kartin","non-dropping-particle":"","parse-names":false,"suffix":""}],"container-title":"Kreano, Jurnal Matematika Kreatif-Inovatif","id":"ITEM-1","issue":"2","issued":{"date-parts":[["2019"]]},"title":"Pengembangan Perangkat Pembelajaran Untuk Meningkatkan Kemampuan Estimasi Matematika Ekonomi Melalui Permainan Tradisional Mpa’a Amba","type":"article-journal","volume":"10"},"uris":["http://www.mendeley.com/documents/?uuid=ff6c1087-1507-3fb0-bb4f-ad2ab70d2b27"]}],"mendeley":{"formattedCitation":"(Amirulmukminin &amp; Aprianti, 2019)","plainTextFormattedCitation":"(Amirulmukminin &amp; Aprianti, 2019)","previouslyFormattedCitation":"(Amirulmukminin &amp; Aprianti, 2019)"},"properties":{"noteIndex":0},"schema":"https://github.com/citation-style-language/schema/raw/master/csl-citation.json"}</w:instrText>
      </w:r>
      <w:r w:rsidRPr="006B4CA4">
        <w:rPr>
          <w:rFonts w:ascii="Arial Narrow" w:hAnsi="Arial Narrow"/>
        </w:rPr>
        <w:fldChar w:fldCharType="separate"/>
      </w:r>
      <w:r w:rsidRPr="006B4CA4">
        <w:rPr>
          <w:rFonts w:ascii="Arial Narrow" w:hAnsi="Arial Narrow"/>
          <w:noProof/>
        </w:rPr>
        <w:t>(Amirulmukminin &amp; Aprianti, 2019)</w:t>
      </w:r>
      <w:r w:rsidRPr="006B4CA4">
        <w:rPr>
          <w:rFonts w:ascii="Arial Narrow" w:hAnsi="Arial Narrow"/>
        </w:rPr>
        <w:fldChar w:fldCharType="end"/>
      </w:r>
      <w:r w:rsidRPr="006B4CA4">
        <w:rPr>
          <w:rFonts w:ascii="Arial Narrow" w:hAnsi="Arial Narrow"/>
          <w:lang w:val="en-US"/>
        </w:rPr>
        <w:t xml:space="preserve"> </w:t>
      </w:r>
      <w:r w:rsidRPr="006B4CA4">
        <w:rPr>
          <w:rFonts w:ascii="Arial Narrow" w:hAnsi="Arial Narrow"/>
          <w:lang w:val="en-US"/>
        </w:rPr>
        <w:fldChar w:fldCharType="begin" w:fldLock="1"/>
      </w:r>
      <w:r w:rsidRPr="006B4CA4">
        <w:rPr>
          <w:rFonts w:ascii="Arial Narrow" w:hAnsi="Arial Narrow"/>
          <w:lang w:val="en-US"/>
        </w:rPr>
        <w:instrText>ADDIN CSL_CITATION {"citationItems":[{"id":"ITEM-1","itemData":{"DOI":"10.33603/jnpm.v7i1.7417","ISSN":"2549-8495","abstract":"Abstrak. Kemampuan Number Sense merupakan kemampuan mengenali bilangan beserta operasinya yang sangat diperlukan untuk membantu siswa belajar matematika. Kemampuan Number Sense setiap siswa berbeda-beda dipengaruhi oleh tingkat pendidikan, pengalaman belajar, serta kemampuan matematika (tinggi, sedang, dan rendah).  Penelitian ini bertujuan untuk mendiskripsikan kemampuan Number Sense siswa berdasarkan kemampuan matematika pada materi bilangan kelas VII MTsN 1 Blitar. Penelitian ini menggunakan pendekatakan kualitatif deskriptif. Pengambilan data dengan cara tes tulis, wawancara, dan dokumentasi. Subjek terpilih yaitu 3 subjek sesuai dengan kategori tinggi, sedang, dan rendah. Analisis data dengan reduksi, penyajian, dan penarikan kesimpulan. Hasil penelitian menunjukkan siswa berkemampuan matematika tinggi dan sedang mampu menilai kewajaran suatu hasil perhitungan, menenetukan karakteristik hasil operasi bilangan dan implikasinya. Namun, subjek kemampuan matematika sedang belum mampu menentukan estimasi terdekat pada suatu hasil operasi bilangan dan merepresentasikannya. Keduanya juga belum mampu menenentukan sifat berurutan dan keteraturan pada sistem bilangan. Sedangkan siswa berkemampuan matematika rendah hanya mampu menentukan estimasi terdekat pada suatu hasil operasi bilangan dan merepresentasikannya, namun belum memenuhi kemampuan Number Sense yang lain.Kata Kunci:Kemampuan Number Sense, Kemampuan Matematika, Bilangan.","author":[{"dropping-particle":"","family":"Hidayah","given":"Rista Wiladatul","non-dropping-particle":"","parse-names":false,"suffix":""},{"dropping-particle":"","family":"Sholihah","given":"Ummu","non-dropping-particle":"","parse-names":false,"suffix":""}],"container-title":"JNPM (Jurnal Nasional Pendidikan Matematika)","id":"ITEM-1","issue":"1","issued":{"date-parts":[["2023"]]},"title":"Analisis Kemampuan Number Sense Siswa Berdasarkan Kemampuan Matematika pada Materi Bilangan","type":"article-journal","volume":"7"},"uris":["http://www.mendeley.com/documents/?uuid=0cf362bc-0045-3fa5-b235-e5cc97c498e1"]}],"mendeley":{"formattedCitation":"(Hidayah &amp; Sholihah, 2023)","plainTextFormattedCitation":"(Hidayah &amp; Sholihah, 2023)","previouslyFormattedCitation":"(Hidayah &amp; Sholihah, 2023)"},"properties":{"noteIndex":0},"schema":"https://github.com/citation-style-language/schema/raw/master/csl-citation.json"}</w:instrText>
      </w:r>
      <w:r w:rsidRPr="006B4CA4">
        <w:rPr>
          <w:rFonts w:ascii="Arial Narrow" w:hAnsi="Arial Narrow"/>
          <w:lang w:val="en-US"/>
        </w:rPr>
        <w:fldChar w:fldCharType="separate"/>
      </w:r>
      <w:r w:rsidRPr="006B4CA4">
        <w:rPr>
          <w:rFonts w:ascii="Arial Narrow" w:hAnsi="Arial Narrow"/>
          <w:noProof/>
          <w:lang w:val="en-US"/>
        </w:rPr>
        <w:t>(Hidayah &amp; Sholihah, 2023)</w:t>
      </w:r>
      <w:r w:rsidRPr="006B4CA4">
        <w:rPr>
          <w:rFonts w:ascii="Arial Narrow" w:hAnsi="Arial Narrow"/>
          <w:lang w:val="en-US"/>
        </w:rPr>
        <w:fldChar w:fldCharType="end"/>
      </w:r>
      <w:r w:rsidRPr="006B4CA4">
        <w:rPr>
          <w:rFonts w:ascii="Arial Narrow" w:hAnsi="Arial Narrow"/>
        </w:rPr>
        <w:t>. In a case example, the adjusting with front-end estimation strategy can be illustrated in the following picture:</w:t>
      </w:r>
    </w:p>
    <w:p w:rsidR="00C57548" w:rsidRPr="009A6117" w:rsidRDefault="00C57548" w:rsidP="00C57548">
      <w:pPr>
        <w:pStyle w:val="NormalWeb"/>
        <w:spacing w:before="0" w:beforeAutospacing="0" w:after="0" w:afterAutospacing="0" w:line="360" w:lineRule="auto"/>
        <w:ind w:left="360"/>
        <w:jc w:val="both"/>
        <w:rPr>
          <w:rFonts w:ascii="Arial Narrow" w:hAnsi="Arial Narrow"/>
        </w:rPr>
      </w:pPr>
      <w:r>
        <w:rPr>
          <w:rFonts w:ascii="Arial Narrow" w:hAnsi="Arial Narrow"/>
          <w:noProof/>
          <w:lang w:val="en-US" w:eastAsia="en-US"/>
        </w:rPr>
        <w:drawing>
          <wp:inline distT="0" distB="0" distL="0" distR="0" wp14:anchorId="559B10BE" wp14:editId="38DE2A6E">
            <wp:extent cx="2705100" cy="20002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05100" cy="2000250"/>
                    </a:xfrm>
                    <a:prstGeom prst="rect">
                      <a:avLst/>
                    </a:prstGeom>
                    <a:noFill/>
                    <a:ln>
                      <a:noFill/>
                    </a:ln>
                  </pic:spPr>
                </pic:pic>
              </a:graphicData>
            </a:graphic>
          </wp:inline>
        </w:drawing>
      </w:r>
    </w:p>
    <w:p w:rsidR="001A1315" w:rsidRDefault="001A1315" w:rsidP="001A1315">
      <w:pPr>
        <w:pStyle w:val="NormalWeb"/>
        <w:numPr>
          <w:ilvl w:val="0"/>
          <w:numId w:val="3"/>
        </w:numPr>
        <w:spacing w:before="0" w:beforeAutospacing="0" w:after="0" w:afterAutospacing="0" w:line="360" w:lineRule="auto"/>
        <w:jc w:val="both"/>
        <w:rPr>
          <w:rFonts w:ascii="Arial Narrow" w:hAnsi="Arial Narrow"/>
          <w:lang w:val="en-US"/>
        </w:rPr>
      </w:pPr>
      <w:r w:rsidRPr="006B4CA4">
        <w:rPr>
          <w:rFonts w:ascii="Arial Narrow" w:hAnsi="Arial Narrow"/>
        </w:rPr>
        <w:t>Rounding to the nearest tens. For example, the numbers 35, 36, 37, 38, and 39 are numbers close to 40. This technique is called Bridging through ten (addition)</w:t>
      </w:r>
      <w:r w:rsidRPr="006B4CA4">
        <w:rPr>
          <w:rFonts w:ascii="Arial Narrow" w:hAnsi="Arial Narrow"/>
          <w:lang w:val="en-US"/>
        </w:rPr>
        <w:t xml:space="preserve"> </w:t>
      </w:r>
      <w:r w:rsidRPr="006B4CA4">
        <w:rPr>
          <w:rFonts w:ascii="Arial Narrow" w:hAnsi="Arial Narrow"/>
          <w:lang w:val="en-US"/>
        </w:rPr>
        <w:fldChar w:fldCharType="begin" w:fldLock="1"/>
      </w:r>
      <w:r w:rsidRPr="006B4CA4">
        <w:rPr>
          <w:rFonts w:ascii="Arial Narrow" w:hAnsi="Arial Narrow"/>
          <w:lang w:val="en-US"/>
        </w:rPr>
        <w:instrText>ADDIN CSL_CITATION {"citationItems":[{"id":"ITEM-1","itemData":{"ISSN":"1098-6596","abstract":"The writer discusses some recent research evidence concerning mental addition and subtraction strategies for two-digit number calculations. These strategies include partitioning, sequencing, a hybrid method, compensation, and complementary addition.","author":[{"dropping-particle":"","family":"Thompson","given":"Ian","non-dropping-particle":"","parse-names":false,"suffix":""}],"container-title":"Mathematics in School","id":"ITEM-1","issue":"5","issued":{"date-parts":[["1999"]]},"title":"Mental calculation strategies for addition and subtraction: part 1","type":"article-journal","volume":"28"},"uris":["http://www.mendeley.com/documents/?uuid=44b78646-98d8-3f5c-8206-1bd2f6aa0983"]}],"mendeley":{"formattedCitation":"(Thompson, 1999)","plainTextFormattedCitation":"(Thompson, 1999)","previouslyFormattedCitation":"(Thompson, 1999)"},"properties":{"noteIndex":0},"schema":"https://github.com/citation-style-language/schema/raw/master/csl-citation.json"}</w:instrText>
      </w:r>
      <w:r w:rsidRPr="006B4CA4">
        <w:rPr>
          <w:rFonts w:ascii="Arial Narrow" w:hAnsi="Arial Narrow"/>
          <w:lang w:val="en-US"/>
        </w:rPr>
        <w:fldChar w:fldCharType="separate"/>
      </w:r>
      <w:r w:rsidRPr="006B4CA4">
        <w:rPr>
          <w:rFonts w:ascii="Arial Narrow" w:hAnsi="Arial Narrow"/>
          <w:noProof/>
          <w:lang w:val="en-US"/>
        </w:rPr>
        <w:t>(Thompson, 1999)</w:t>
      </w:r>
      <w:r w:rsidRPr="006B4CA4">
        <w:rPr>
          <w:rFonts w:ascii="Arial Narrow" w:hAnsi="Arial Narrow"/>
          <w:lang w:val="en-US"/>
        </w:rPr>
        <w:fldChar w:fldCharType="end"/>
      </w:r>
      <w:r w:rsidRPr="006B4CA4">
        <w:rPr>
          <w:rFonts w:ascii="Arial Narrow" w:hAnsi="Arial Narrow"/>
          <w:lang w:val="en-US"/>
        </w:rPr>
        <w:t xml:space="preserve"> </w:t>
      </w:r>
      <w:r w:rsidRPr="006B4CA4">
        <w:rPr>
          <w:rFonts w:ascii="Arial Narrow" w:hAnsi="Arial Narrow"/>
          <w:lang w:val="en-US"/>
        </w:rPr>
        <w:fldChar w:fldCharType="begin" w:fldLock="1"/>
      </w:r>
      <w:r w:rsidRPr="006B4CA4">
        <w:rPr>
          <w:rFonts w:ascii="Arial Narrow" w:hAnsi="Arial Narrow"/>
          <w:lang w:val="en-US"/>
        </w:rPr>
        <w:instrText>ADDIN CSL_CITATION {"citationItems":[{"id":"ITEM-1","itemData":{"ISSN":"01878298","abstract":"Mental calculation strategies play an important role in the development of students’ number sense. In this regard, we sought to determine how students of a public middle school (distance education program), located in a rural community in the state of Hidalgo, Mexico, can develop mental calculation strategies when performing tasks involving addition and subtraction, in a shopping context. Eight different strategies were identified, some of which used fantasy money as a representation system that helped students to decompose quantities. They referred to strategies used by people, without schooling, when they receiving money back after paying for a purchase in the market. Strategies such as removing one to the minuend in a subtraction with regrouping also appeared, to obtain one addition without regrouping. That is, we identified a transfer of mental calculation strategies to paper and pencil scenarios, which facilitate calculations to solve a problem. This is an indicator of creativity and understanding of numbers and operations. © 2018 Mexican Society for Research and Dissemination of Mathematics Education. All rights reserved.","author":[{"dropping-particle":"","family":"Barrera-Mora","given":"F","non-dropping-particle":"","parse-names":false,"suffix":""},{"dropping-particle":"","family":"Reyes-Rodríguez","given":"A","non-dropping-particle":"","parse-names":false,"suffix":""},{"dropping-particle":"","family":"Mendoza-Hernández","given":"J G","non-dropping-particle":"","parse-names":false,"suffix":""}],"container-title":"Educacion Matematica","id":"ITEM-1","issue":"3","issued":{"date-parts":[["2018"]]},"title":"Mental calculation strategies for addition and subtraction developed by middle school students [Estrategias de cálculo mental para sumas y restas desarrolladas por estudiantes de secundaria]","type":"article-journal","volume":"30"},"uris":["http://www.mendeley.com/documents/?uuid=9869e6b6-b188-34df-bf0e-9c97d72a8f47"]}],"mendeley":{"formattedCitation":"(Barrera-Mora et al., 2018)","plainTextFormattedCitation":"(Barrera-Mora et al., 2018)","previouslyFormattedCitation":"(Barrera-Mora et al., 2018)"},"properties":{"noteIndex":0},"schema":"https://github.com/citation-style-language/schema/raw/master/csl-citation.json"}</w:instrText>
      </w:r>
      <w:r w:rsidRPr="006B4CA4">
        <w:rPr>
          <w:rFonts w:ascii="Arial Narrow" w:hAnsi="Arial Narrow"/>
          <w:lang w:val="en-US"/>
        </w:rPr>
        <w:fldChar w:fldCharType="separate"/>
      </w:r>
      <w:r w:rsidRPr="006B4CA4">
        <w:rPr>
          <w:rFonts w:ascii="Arial Narrow" w:hAnsi="Arial Narrow"/>
          <w:noProof/>
          <w:lang w:val="en-US"/>
        </w:rPr>
        <w:t>(Barrera-Mora et al., 2018)</w:t>
      </w:r>
      <w:r w:rsidRPr="006B4CA4">
        <w:rPr>
          <w:rFonts w:ascii="Arial Narrow" w:hAnsi="Arial Narrow"/>
          <w:lang w:val="en-US"/>
        </w:rPr>
        <w:fldChar w:fldCharType="end"/>
      </w:r>
      <w:r w:rsidRPr="006B4CA4">
        <w:rPr>
          <w:rFonts w:ascii="Arial Narrow" w:hAnsi="Arial Narrow"/>
        </w:rPr>
        <w:t xml:space="preserve">; this value can be </w:t>
      </w:r>
      <w:r w:rsidRPr="006B4CA4">
        <w:rPr>
          <w:rFonts w:ascii="Arial Narrow" w:hAnsi="Arial Narrow"/>
        </w:rPr>
        <w:lastRenderedPageBreak/>
        <w:t>calculated by adding the numbers rounded to the nearest tens with the remaining number subtracted from the number needed to round to the tens. If one of the numbers contains five hundred, then the value of the five hundred is ignored first and added at the end of the calculation. For numbers containing five hundred, the result of adding the two five hundred can be added last; after that, the addition can be added to the result of the addition with a rounding number previously. In a case example, the Bridging through ten (addition) strategy is illustrated in the following figure:</w:t>
      </w:r>
    </w:p>
    <w:p w:rsidR="004B2F1B" w:rsidRDefault="004B2F1B" w:rsidP="00C57548">
      <w:pPr>
        <w:pStyle w:val="NormalWeb"/>
        <w:spacing w:before="0" w:beforeAutospacing="0" w:after="0" w:afterAutospacing="0" w:line="360" w:lineRule="auto"/>
        <w:ind w:left="142"/>
        <w:jc w:val="both"/>
        <w:rPr>
          <w:rFonts w:ascii="Arial Narrow" w:hAnsi="Arial Narrow"/>
          <w:lang w:val="en-US"/>
        </w:rPr>
      </w:pPr>
      <w:r>
        <w:rPr>
          <w:rFonts w:ascii="Arial Narrow" w:hAnsi="Arial Narrow"/>
          <w:noProof/>
          <w:lang w:val="en-US" w:eastAsia="en-US"/>
        </w:rPr>
        <w:drawing>
          <wp:inline distT="0" distB="0" distL="0" distR="0">
            <wp:extent cx="2703195" cy="1022350"/>
            <wp:effectExtent l="0" t="0" r="190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03195" cy="1022350"/>
                    </a:xfrm>
                    <a:prstGeom prst="rect">
                      <a:avLst/>
                    </a:prstGeom>
                    <a:noFill/>
                    <a:ln>
                      <a:noFill/>
                    </a:ln>
                  </pic:spPr>
                </pic:pic>
              </a:graphicData>
            </a:graphic>
          </wp:inline>
        </w:drawing>
      </w:r>
    </w:p>
    <w:p w:rsidR="00037DE7" w:rsidRDefault="00037DE7" w:rsidP="00037DE7">
      <w:pPr>
        <w:pStyle w:val="NormalWeb"/>
        <w:spacing w:before="0" w:beforeAutospacing="0" w:after="0" w:afterAutospacing="0" w:line="360" w:lineRule="auto"/>
        <w:ind w:left="709"/>
        <w:jc w:val="both"/>
        <w:rPr>
          <w:rFonts w:ascii="Arial Narrow" w:hAnsi="Arial Narrow"/>
          <w:lang w:val="en-US"/>
        </w:rPr>
      </w:pPr>
      <w:r w:rsidRPr="00382C9D">
        <w:rPr>
          <w:rFonts w:ascii="Arial Narrow" w:hAnsi="Arial Narrow"/>
        </w:rPr>
        <w:t xml:space="preserve">Based on the data above, it can be concluded that the addition algorithm used by traders in buying and selling transaction activities in the traditional markets of Bengkulu City uses several strategies, including count-on strategy, adjusting with front-end estimation strategy, and bridging through ten (addition) strategy, where in every calculation process you always ignore the three zeros at the end which act as </w:t>
      </w:r>
      <w:r w:rsidRPr="00382C9D">
        <w:rPr>
          <w:rFonts w:ascii="Arial Narrow" w:hAnsi="Arial Narrow"/>
        </w:rPr>
        <w:lastRenderedPageBreak/>
        <w:t>thousands. Traders do this to make it easier to complete calculations because, in trading, most traders often do not use calculators, but this can be done quickly by traders. However, for convenience and buyers' confidence in the accuracy of calculations, traders also often use calculators, especially if the buyers' (consumers') purchases have a wide variety of goods with a reasonably large accumulated purchase amount.</w:t>
      </w:r>
    </w:p>
    <w:p w:rsidR="00037DE7" w:rsidRPr="00037DE7" w:rsidRDefault="00037DE7" w:rsidP="00037DE7">
      <w:pPr>
        <w:pStyle w:val="ListParagraph"/>
        <w:numPr>
          <w:ilvl w:val="6"/>
          <w:numId w:val="2"/>
        </w:numPr>
        <w:autoSpaceDE w:val="0"/>
        <w:autoSpaceDN w:val="0"/>
        <w:adjustRightInd w:val="0"/>
        <w:spacing w:after="0" w:line="360" w:lineRule="auto"/>
        <w:ind w:left="284" w:hanging="218"/>
        <w:jc w:val="both"/>
        <w:rPr>
          <w:rFonts w:ascii="Arial Narrow" w:hAnsi="Arial Narrow" w:cstheme="majorBidi"/>
          <w:sz w:val="24"/>
          <w:szCs w:val="24"/>
        </w:rPr>
      </w:pPr>
      <w:r w:rsidRPr="00037DE7">
        <w:rPr>
          <w:rFonts w:ascii="Arial Narrow" w:hAnsi="Arial Narrow" w:cstheme="majorBidi"/>
          <w:sz w:val="24"/>
          <w:szCs w:val="24"/>
          <w:lang w:val="en-US"/>
        </w:rPr>
        <w:t>Subtraction</w:t>
      </w:r>
    </w:p>
    <w:p w:rsidR="00037DE7" w:rsidRDefault="00037DE7" w:rsidP="00C57548">
      <w:pPr>
        <w:pStyle w:val="NormalWeb"/>
        <w:spacing w:before="0" w:beforeAutospacing="0" w:after="0" w:afterAutospacing="0" w:line="360" w:lineRule="auto"/>
        <w:ind w:left="284" w:firstLine="436"/>
        <w:jc w:val="both"/>
        <w:rPr>
          <w:rFonts w:ascii="Arial Narrow" w:hAnsi="Arial Narrow"/>
          <w:lang w:val="en-US"/>
        </w:rPr>
      </w:pPr>
      <w:r w:rsidRPr="00037DE7">
        <w:rPr>
          <w:rFonts w:ascii="Arial Narrow" w:hAnsi="Arial Narrow"/>
        </w:rPr>
        <w:t xml:space="preserve">Subtraction calculation operation is visible when merchant activities calculate refunds for consumer purchases. This was found in the activity of one of the subjects (S3.1) when making a return, with the following case: a consumer shopping for goods worth IDR 24,000.00 was paid with money worth IDR 50,000.00. The subject's way of calculating returns is by completing the subtraction first in tens and above (complementing upwards), known as counting up from (complementary addition) </w:t>
      </w:r>
      <w:r w:rsidRPr="00037DE7">
        <w:rPr>
          <w:rFonts w:ascii="Arial Narrow" w:hAnsi="Arial Narrow"/>
        </w:rPr>
        <w:fldChar w:fldCharType="begin" w:fldLock="1"/>
      </w:r>
      <w:r w:rsidRPr="00037DE7">
        <w:rPr>
          <w:rFonts w:ascii="Arial Narrow" w:hAnsi="Arial Narrow"/>
        </w:rPr>
        <w:instrText>ADDIN CSL_CITATION {"citationItems":[{"id":"ITEM-1","itemData":{"ISSN":"1098-6596","abstract":"The writer discusses some recent research evidence concerning mental addition and subtraction strategies for two-digit number calculations. These strategies include partitioning, sequencing, a hybrid method, compensation, and complementary addition.","author":[{"dropping-particle":"","family":"Thompson","given":"Ian","non-dropping-particle":"","parse-names":false,"suffix":""}],"container-title":"Mathematics in School","id":"ITEM-1","issue":"5","issued":{"date-parts":[["1999"]]},"title":"Mental calculation strategies for addition and subtraction: part 1","type":"article-journal","volume":"28"},"uris":["http://www.mendeley.com/documents/?uuid=44b78646-98d8-3f5c-8206-1bd2f6aa0983"]}],"mendeley":{"formattedCitation":"(Thompson, 1999)","plainTextFormattedCitation":"(Thompson, 1999)","previouslyFormattedCitation":"(Thompson, 1999)"},"properties":{"noteIndex":0},"schema":"https://github.com/citation-style-language/schema/raw/master/csl-citation.json"}</w:instrText>
      </w:r>
      <w:r w:rsidRPr="00037DE7">
        <w:rPr>
          <w:rFonts w:ascii="Arial Narrow" w:hAnsi="Arial Narrow"/>
        </w:rPr>
        <w:fldChar w:fldCharType="separate"/>
      </w:r>
      <w:r w:rsidRPr="00037DE7">
        <w:rPr>
          <w:rFonts w:ascii="Arial Narrow" w:hAnsi="Arial Narrow"/>
          <w:noProof/>
        </w:rPr>
        <w:t>(Thompson, 1999)</w:t>
      </w:r>
      <w:r w:rsidRPr="00037DE7">
        <w:rPr>
          <w:rFonts w:ascii="Arial Narrow" w:hAnsi="Arial Narrow"/>
        </w:rPr>
        <w:fldChar w:fldCharType="end"/>
      </w:r>
      <w:r w:rsidRPr="00037DE7">
        <w:rPr>
          <w:rFonts w:ascii="Arial Narrow" w:hAnsi="Arial Narrow"/>
          <w:lang w:val="en-US"/>
        </w:rPr>
        <w:t xml:space="preserve"> </w:t>
      </w:r>
      <w:r w:rsidRPr="00037DE7">
        <w:rPr>
          <w:rFonts w:ascii="Arial Narrow" w:hAnsi="Arial Narrow"/>
          <w:lang w:val="en-US"/>
        </w:rPr>
        <w:fldChar w:fldCharType="begin" w:fldLock="1"/>
      </w:r>
      <w:r w:rsidRPr="00037DE7">
        <w:rPr>
          <w:rFonts w:ascii="Arial Narrow" w:hAnsi="Arial Narrow"/>
          <w:lang w:val="en-US"/>
        </w:rPr>
        <w:instrText>ADDIN CSL_CITATION {"citationItems":[{"id":"ITEM-1","itemData":{"ISSN":"01878298","abstract":"Mental calculation strategies play an important role in the development of students’ number sense. In this regard, we sought to determine how students of a public middle school (distance education program), located in a rural community in the state of Hidalgo, Mexico, can develop mental calculation strategies when performing tasks involving addition and subtraction, in a shopping context. Eight different strategies were identified, some of which used fantasy money as a representation system that helped students to decompose quantities. They referred to strategies used by people, without schooling, when they receiving money back after paying for a purchase in the market. Strategies such as removing one to the minuend in a subtraction with regrouping also appeared, to obtain one addition without regrouping. That is, we identified a transfer of mental calculation strategies to paper and pencil scenarios, which facilitate calculations to solve a problem. This is an indicator of creativity and understanding of numbers and operations. © 2018 Mexican Society for Research and Dissemination of Mathematics Education. All rights reserved.","author":[{"dropping-particle":"","family":"Barrera-Mora","given":"F","non-dropping-particle":"","parse-names":false,"suffix":""},{"dropping-particle":"","family":"Reyes-Rodríguez","given":"A","non-dropping-particle":"","parse-names":false,"suffix":""},{"dropping-particle":"","family":"Mendoza-Hernández","given":"J G","non-dropping-particle":"","parse-names":false,"suffix":""}],"container-title":"Educacion Matematica","id":"ITEM-1","issue":"3","issued":{"date-parts":[["2018"]]},"title":"Mental calculation strategies for addition and subtraction developed by middle school students [Estrategias de cálculo mental para sumas y restas desarrolladas por estudiantes de secundaria]","type":"article-journal","volume":"30"},"uris":["http://www.mendeley.com/documents/?uuid=9869e6b6-b188-34df-bf0e-9c97d72a8f47"]}],"mendeley":{"formattedCitation":"(Barrera-Mora et al., 2018)","plainTextFormattedCitation":"(Barrera-Mora et al., 2018)","previouslyFormattedCitation":"(Barrera-Mora et al., 2018)"},"properties":{"noteIndex":0},"schema":"https://github.com/citation-style-language/schema/raw/master/csl-citation.json"}</w:instrText>
      </w:r>
      <w:r w:rsidRPr="00037DE7">
        <w:rPr>
          <w:rFonts w:ascii="Arial Narrow" w:hAnsi="Arial Narrow"/>
          <w:lang w:val="en-US"/>
        </w:rPr>
        <w:fldChar w:fldCharType="separate"/>
      </w:r>
      <w:r w:rsidRPr="00037DE7">
        <w:rPr>
          <w:rFonts w:ascii="Arial Narrow" w:hAnsi="Arial Narrow"/>
          <w:noProof/>
          <w:lang w:val="en-US"/>
        </w:rPr>
        <w:t xml:space="preserve">(Barrera-Mora et al., </w:t>
      </w:r>
      <w:proofErr w:type="gramStart"/>
      <w:r w:rsidRPr="00037DE7">
        <w:rPr>
          <w:rFonts w:ascii="Arial Narrow" w:hAnsi="Arial Narrow"/>
          <w:noProof/>
          <w:lang w:val="en-US"/>
        </w:rPr>
        <w:t>2018)</w:t>
      </w:r>
      <w:r w:rsidRPr="00037DE7">
        <w:rPr>
          <w:rFonts w:ascii="Arial Narrow" w:hAnsi="Arial Narrow"/>
          <w:lang w:val="en-US"/>
        </w:rPr>
        <w:fldChar w:fldCharType="end"/>
      </w:r>
      <w:r w:rsidRPr="00037DE7">
        <w:rPr>
          <w:rFonts w:ascii="Arial Narrow" w:hAnsi="Arial Narrow"/>
        </w:rPr>
        <w:t>, namely starting with a smaller number (in subtraction) and counting up.</w:t>
      </w:r>
      <w:proofErr w:type="gramEnd"/>
      <w:r w:rsidRPr="00037DE7">
        <w:rPr>
          <w:rFonts w:ascii="Arial Narrow" w:hAnsi="Arial Narrow"/>
        </w:rPr>
        <w:t xml:space="preserve"> In the sense of completing it upwards to reach the money spent. In one case, the counting-up strategy is illustrated in the following figure:</w:t>
      </w:r>
    </w:p>
    <w:p w:rsidR="00037DE7" w:rsidRPr="00037DE7" w:rsidRDefault="004B2F1B" w:rsidP="004B2F1B">
      <w:pPr>
        <w:pStyle w:val="NormalWeb"/>
        <w:spacing w:before="0" w:beforeAutospacing="0" w:after="0" w:afterAutospacing="0" w:line="360" w:lineRule="auto"/>
        <w:jc w:val="both"/>
        <w:rPr>
          <w:rFonts w:ascii="Arial Narrow" w:hAnsi="Arial Narrow"/>
          <w:lang w:val="en-US"/>
        </w:rPr>
      </w:pPr>
      <w:r>
        <w:rPr>
          <w:rFonts w:ascii="Arial Narrow" w:hAnsi="Arial Narrow"/>
          <w:noProof/>
          <w:lang w:val="en-US" w:eastAsia="en-US"/>
        </w:rPr>
        <w:lastRenderedPageBreak/>
        <w:drawing>
          <wp:inline distT="0" distB="0" distL="0" distR="0">
            <wp:extent cx="2835493" cy="1017767"/>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36139" cy="1017999"/>
                    </a:xfrm>
                    <a:prstGeom prst="rect">
                      <a:avLst/>
                    </a:prstGeom>
                    <a:noFill/>
                    <a:ln>
                      <a:noFill/>
                    </a:ln>
                  </pic:spPr>
                </pic:pic>
              </a:graphicData>
            </a:graphic>
          </wp:inline>
        </w:drawing>
      </w:r>
    </w:p>
    <w:p w:rsidR="00C57548" w:rsidRPr="00C57548" w:rsidRDefault="00C57548" w:rsidP="00C57548">
      <w:pPr>
        <w:pStyle w:val="NormalWeb"/>
        <w:spacing w:before="0" w:beforeAutospacing="0" w:after="0" w:afterAutospacing="0" w:line="360" w:lineRule="auto"/>
        <w:ind w:left="284"/>
        <w:jc w:val="both"/>
        <w:rPr>
          <w:rFonts w:ascii="Arial Narrow" w:hAnsi="Arial Narrow"/>
        </w:rPr>
      </w:pPr>
      <w:r w:rsidRPr="00C57548">
        <w:rPr>
          <w:rFonts w:ascii="Arial Narrow" w:hAnsi="Arial Narrow"/>
        </w:rPr>
        <w:t>Activities involving other subtraction calculation operations appear when traders determine profits. Profit is the total income minus the total costs incurred.</w:t>
      </w:r>
    </w:p>
    <w:p w:rsidR="00C57548" w:rsidRPr="00C57548" w:rsidRDefault="00C57548" w:rsidP="00C57548">
      <w:pPr>
        <w:pStyle w:val="ListParagraph"/>
        <w:numPr>
          <w:ilvl w:val="6"/>
          <w:numId w:val="2"/>
        </w:numPr>
        <w:autoSpaceDE w:val="0"/>
        <w:autoSpaceDN w:val="0"/>
        <w:adjustRightInd w:val="0"/>
        <w:spacing w:after="0" w:line="360" w:lineRule="auto"/>
        <w:ind w:left="284" w:hanging="218"/>
        <w:jc w:val="both"/>
        <w:rPr>
          <w:rFonts w:ascii="Arial Narrow" w:hAnsi="Arial Narrow" w:cstheme="majorBidi"/>
          <w:sz w:val="24"/>
          <w:szCs w:val="24"/>
        </w:rPr>
      </w:pPr>
      <w:r w:rsidRPr="00C57548">
        <w:rPr>
          <w:rFonts w:ascii="Arial Narrow" w:hAnsi="Arial Narrow" w:cstheme="majorBidi"/>
          <w:sz w:val="24"/>
          <w:szCs w:val="24"/>
          <w:lang w:val="en-US"/>
        </w:rPr>
        <w:t>Multiplication</w:t>
      </w:r>
    </w:p>
    <w:p w:rsidR="00C57548" w:rsidRPr="00C57548" w:rsidRDefault="00C57548" w:rsidP="000757DF">
      <w:pPr>
        <w:autoSpaceDE w:val="0"/>
        <w:autoSpaceDN w:val="0"/>
        <w:adjustRightInd w:val="0"/>
        <w:spacing w:line="360" w:lineRule="auto"/>
        <w:ind w:left="284" w:firstLine="436"/>
        <w:jc w:val="both"/>
        <w:rPr>
          <w:rFonts w:ascii="Arial Narrow" w:hAnsi="Arial Narrow"/>
          <w:sz w:val="24"/>
          <w:szCs w:val="24"/>
        </w:rPr>
      </w:pPr>
      <w:r w:rsidRPr="00C57548">
        <w:rPr>
          <w:rFonts w:ascii="Arial Narrow" w:hAnsi="Arial Narrow"/>
          <w:sz w:val="24"/>
          <w:szCs w:val="24"/>
        </w:rPr>
        <w:t>Calculations using multiplication operations appear when buyers carry out buying and selling transactions with traders, namely when traders calculate the volume (amount) of goods purchased by the buyer multiplied by the selling price of the goods. Just like addition or subtraction operations, traders always ignore the three 0s that act as thousands in every calculation process. Some traders use a strategy of rounding out numbers. The multiplication strategy these traders use utilizes friendly multipliers (Mabbott &amp; Bisanz, 2003), such as multiplying multiples of 10 to make calculations easier. Next, multiply the numbers containing tens of thousands and thousands one by one by the multiplier, then add the results of the two together. This method also applies to numbers containing five hundreds, namely by multiplying the hundreds by a multiplier and adding them to the results of the previous addition.</w:t>
      </w:r>
    </w:p>
    <w:p w:rsidR="009A6117" w:rsidRDefault="00C57548" w:rsidP="00C57548">
      <w:pPr>
        <w:autoSpaceDE w:val="0"/>
        <w:autoSpaceDN w:val="0"/>
        <w:adjustRightInd w:val="0"/>
        <w:spacing w:line="360" w:lineRule="auto"/>
        <w:ind w:left="284" w:firstLine="436"/>
        <w:jc w:val="both"/>
        <w:rPr>
          <w:rFonts w:ascii="Arial Narrow" w:hAnsi="Arial Narrow"/>
          <w:sz w:val="24"/>
          <w:szCs w:val="24"/>
        </w:rPr>
      </w:pPr>
      <w:r w:rsidRPr="00C57548">
        <w:rPr>
          <w:rFonts w:ascii="Arial Narrow" w:hAnsi="Arial Narrow"/>
          <w:sz w:val="24"/>
          <w:szCs w:val="24"/>
        </w:rPr>
        <w:lastRenderedPageBreak/>
        <w:t>In the case of a buyer who wants to buy 3 cups of rice for a cup of rice at a price of IDR 18,000.00, the trader's method is to ignore the zeros for thousands, then multiply the tens value 10x3=30, and multiply the unit value 8x3=24. Next, add up the two multiplication results, namely 30+24=54. So, the amount of money that the buyer must pay is IDR 54,000.00.</w:t>
      </w:r>
    </w:p>
    <w:p w:rsidR="000757DF" w:rsidRPr="00C57548" w:rsidRDefault="000757DF" w:rsidP="000757DF">
      <w:pPr>
        <w:autoSpaceDE w:val="0"/>
        <w:autoSpaceDN w:val="0"/>
        <w:adjustRightInd w:val="0"/>
        <w:spacing w:line="360" w:lineRule="auto"/>
        <w:jc w:val="both"/>
        <w:rPr>
          <w:rFonts w:ascii="Arial Narrow" w:hAnsi="Arial Narrow"/>
          <w:color w:val="0E101A"/>
          <w:sz w:val="24"/>
          <w:szCs w:val="24"/>
        </w:rPr>
      </w:pPr>
      <w:r>
        <w:rPr>
          <w:rFonts w:ascii="Arial Narrow" w:hAnsi="Arial Narrow"/>
          <w:noProof/>
          <w:color w:val="0E101A"/>
          <w:sz w:val="24"/>
          <w:szCs w:val="24"/>
        </w:rPr>
        <w:drawing>
          <wp:inline distT="0" distB="0" distL="0" distR="0">
            <wp:extent cx="2710557" cy="92235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9">
                      <a:extLst>
                        <a:ext uri="{28A0092B-C50C-407E-A947-70E740481C1C}">
                          <a14:useLocalDpi xmlns:a14="http://schemas.microsoft.com/office/drawing/2010/main" val="0"/>
                        </a:ext>
                      </a:extLst>
                    </a:blip>
                    <a:srcRect l="12355" b="8661"/>
                    <a:stretch/>
                  </pic:blipFill>
                  <pic:spPr bwMode="auto">
                    <a:xfrm>
                      <a:off x="0" y="0"/>
                      <a:ext cx="2710729" cy="922409"/>
                    </a:xfrm>
                    <a:prstGeom prst="rect">
                      <a:avLst/>
                    </a:prstGeom>
                    <a:noFill/>
                    <a:ln>
                      <a:noFill/>
                    </a:ln>
                    <a:extLst>
                      <a:ext uri="{53640926-AAD7-44D8-BBD7-CCE9431645EC}">
                        <a14:shadowObscured xmlns:a14="http://schemas.microsoft.com/office/drawing/2010/main"/>
                      </a:ext>
                    </a:extLst>
                  </pic:spPr>
                </pic:pic>
              </a:graphicData>
            </a:graphic>
          </wp:inline>
        </w:drawing>
      </w:r>
    </w:p>
    <w:p w:rsidR="000757DF" w:rsidRPr="000757DF" w:rsidRDefault="000757DF" w:rsidP="000757DF">
      <w:pPr>
        <w:pStyle w:val="ListParagraph"/>
        <w:numPr>
          <w:ilvl w:val="0"/>
          <w:numId w:val="7"/>
        </w:numPr>
        <w:autoSpaceDE w:val="0"/>
        <w:autoSpaceDN w:val="0"/>
        <w:adjustRightInd w:val="0"/>
        <w:spacing w:after="0" w:line="360" w:lineRule="auto"/>
        <w:ind w:left="284" w:hanging="218"/>
        <w:jc w:val="both"/>
        <w:rPr>
          <w:rFonts w:ascii="Arial Narrow" w:hAnsi="Arial Narrow" w:cstheme="majorBidi"/>
          <w:sz w:val="24"/>
          <w:szCs w:val="24"/>
        </w:rPr>
      </w:pPr>
      <w:r>
        <w:rPr>
          <w:rFonts w:ascii="Arial Narrow" w:hAnsi="Arial Narrow" w:cstheme="majorBidi"/>
          <w:sz w:val="24"/>
          <w:szCs w:val="24"/>
          <w:lang w:val="en-US"/>
        </w:rPr>
        <w:t>Division</w:t>
      </w:r>
    </w:p>
    <w:p w:rsidR="000757DF" w:rsidRDefault="000757DF" w:rsidP="000757DF">
      <w:pPr>
        <w:pStyle w:val="NormalWeb"/>
        <w:spacing w:before="0" w:beforeAutospacing="0" w:after="0" w:afterAutospacing="0" w:line="360" w:lineRule="auto"/>
        <w:ind w:left="284" w:firstLine="436"/>
        <w:jc w:val="both"/>
        <w:rPr>
          <w:rFonts w:ascii="Arial Narrow" w:hAnsi="Arial Narrow"/>
          <w:lang w:val="en-US"/>
        </w:rPr>
      </w:pPr>
      <w:r w:rsidRPr="00A4407F">
        <w:rPr>
          <w:rFonts w:ascii="Arial Narrow" w:hAnsi="Arial Narrow"/>
        </w:rPr>
        <w:t xml:space="preserve">Calculations using division operations appear when traders offer goods in multiple packages (parties/wholesale), where for purchases of this type of goods, there has been a price agreement between the trader and the buyer. In one case of selling tomatoes, the price per kilogram was </w:t>
      </w:r>
      <w:r w:rsidRPr="00A4407F">
        <w:rPr>
          <w:rFonts w:ascii="Arial Narrow" w:hAnsi="Arial Narrow"/>
          <w:lang w:val="en-US"/>
        </w:rPr>
        <w:t xml:space="preserve">IDR </w:t>
      </w:r>
      <w:r w:rsidRPr="00A4407F">
        <w:rPr>
          <w:rFonts w:ascii="Arial Narrow" w:hAnsi="Arial Narrow"/>
        </w:rPr>
        <w:t xml:space="preserve">10,000.00, and the price per two kilograms was sold for </w:t>
      </w:r>
      <w:r w:rsidRPr="00A4407F">
        <w:rPr>
          <w:rFonts w:ascii="Arial Narrow" w:hAnsi="Arial Narrow"/>
          <w:lang w:val="en-US"/>
        </w:rPr>
        <w:t>IDR</w:t>
      </w:r>
      <w:r w:rsidRPr="00A4407F">
        <w:rPr>
          <w:rFonts w:ascii="Arial Narrow" w:hAnsi="Arial Narrow"/>
        </w:rPr>
        <w:t xml:space="preserve"> 18,000.00. If the buyer wants to buy half a kilogram, the calculation method is to divide 10:2=5, meaning half a kilogram of tomatoes costs IDR 5,000.00. However, if the buyer wants to buy a quarter kilogram package, then 10:4=2.5 means the price of one-fourth of a kilogram of tomatoes costs IDR 2,500.00. However, to make calculations easier and anticipate the </w:t>
      </w:r>
      <w:r w:rsidRPr="00A4407F">
        <w:rPr>
          <w:rFonts w:ascii="Arial Narrow" w:hAnsi="Arial Narrow"/>
        </w:rPr>
        <w:lastRenderedPageBreak/>
        <w:t xml:space="preserve">unavailability of coins for returns, traders often round up the price of one-fourth kilogram of tomatoes from </w:t>
      </w:r>
      <w:r w:rsidRPr="00A4407F">
        <w:rPr>
          <w:rFonts w:ascii="Arial Narrow" w:hAnsi="Arial Narrow"/>
          <w:lang w:val="en-US"/>
        </w:rPr>
        <w:t>IDR</w:t>
      </w:r>
      <w:r w:rsidRPr="00A4407F">
        <w:rPr>
          <w:rFonts w:ascii="Arial Narrow" w:hAnsi="Arial Narrow"/>
        </w:rPr>
        <w:t xml:space="preserve"> 2,500.00 to </w:t>
      </w:r>
      <w:r w:rsidRPr="00A4407F">
        <w:rPr>
          <w:rFonts w:ascii="Arial Narrow" w:hAnsi="Arial Narrow"/>
          <w:lang w:val="en-US"/>
        </w:rPr>
        <w:t>IDR</w:t>
      </w:r>
      <w:r w:rsidRPr="00A4407F">
        <w:rPr>
          <w:rFonts w:ascii="Arial Narrow" w:hAnsi="Arial Narrow"/>
        </w:rPr>
        <w:t xml:space="preserve"> 3,000.00.</w:t>
      </w:r>
    </w:p>
    <w:p w:rsidR="00D03BF2" w:rsidRPr="000865B5" w:rsidRDefault="00D03BF2" w:rsidP="00D03BF2">
      <w:pPr>
        <w:pStyle w:val="NormalWeb"/>
        <w:spacing w:before="0" w:beforeAutospacing="0" w:after="0" w:afterAutospacing="0" w:line="360" w:lineRule="auto"/>
        <w:ind w:firstLine="720"/>
        <w:jc w:val="both"/>
        <w:rPr>
          <w:rFonts w:ascii="Arial Narrow" w:hAnsi="Arial Narrow"/>
          <w:lang w:val="en-US"/>
        </w:rPr>
      </w:pPr>
      <w:r w:rsidRPr="000865B5">
        <w:rPr>
          <w:rFonts w:ascii="Arial Narrow" w:hAnsi="Arial Narrow"/>
        </w:rPr>
        <w:t>At first glance, the counting operations carried out by traders in the traditional markets of Bengkulu City seem simple, but these steps involve complex counting concepts and strategies. Traders can easily carry out calculations without a calculating tool/calculator because it is based on their habits in daily mathematical activities. The calculation strategy or algorithm they use is a combination of systematic mental calculation strategies.</w:t>
      </w:r>
    </w:p>
    <w:p w:rsidR="00D03BF2" w:rsidRPr="000865B5" w:rsidRDefault="00D03BF2" w:rsidP="00D03BF2">
      <w:pPr>
        <w:pStyle w:val="NormalWeb"/>
        <w:spacing w:before="0" w:beforeAutospacing="0" w:after="0" w:afterAutospacing="0" w:line="360" w:lineRule="auto"/>
        <w:ind w:firstLine="720"/>
        <w:jc w:val="both"/>
        <w:rPr>
          <w:rFonts w:ascii="Arial Narrow" w:hAnsi="Arial Narrow"/>
          <w:lang w:val="en-US"/>
        </w:rPr>
      </w:pPr>
      <w:r w:rsidRPr="000865B5">
        <w:rPr>
          <w:rFonts w:ascii="Arial Narrow" w:hAnsi="Arial Narrow"/>
        </w:rPr>
        <w:t>The calculation methods/algorithms traders use are different from those taught in schools. This can be used as an alternative idea to be implemented in mathematics learning, especially number-counting operations. The concepts and calculation strategies traders use are essential for students to know and understand at school, aiming to improve students' numeracy abilities and skills as well as sharpen students' mental math.</w:t>
      </w:r>
    </w:p>
    <w:p w:rsidR="00D03BF2" w:rsidRPr="000865B5" w:rsidRDefault="00D03BF2" w:rsidP="00D03BF2">
      <w:pPr>
        <w:pStyle w:val="NormalWeb"/>
        <w:spacing w:before="0" w:beforeAutospacing="0" w:after="0" w:afterAutospacing="0" w:line="360" w:lineRule="auto"/>
        <w:ind w:firstLine="720"/>
        <w:jc w:val="both"/>
        <w:rPr>
          <w:rFonts w:ascii="Arial Narrow" w:hAnsi="Arial Narrow"/>
        </w:rPr>
      </w:pPr>
      <w:r w:rsidRPr="000865B5">
        <w:rPr>
          <w:rFonts w:ascii="Arial Narrow" w:hAnsi="Arial Narrow"/>
        </w:rPr>
        <w:t>Mental math is a group of skills that allows students to do mathematics "in their heads" without using a pencil and paper or a calculator (Hodnett). Mental math is helpful in school and everyday life. Mental math can help students understand mathematical concepts better and get answers more quickly.</w:t>
      </w:r>
    </w:p>
    <w:p w:rsidR="00D03BF2" w:rsidRPr="000865B5" w:rsidRDefault="00D03BF2" w:rsidP="00D03BF2">
      <w:pPr>
        <w:pStyle w:val="ListParagraph"/>
        <w:numPr>
          <w:ilvl w:val="3"/>
          <w:numId w:val="1"/>
        </w:numPr>
        <w:autoSpaceDE w:val="0"/>
        <w:autoSpaceDN w:val="0"/>
        <w:adjustRightInd w:val="0"/>
        <w:spacing w:after="0" w:line="360" w:lineRule="auto"/>
        <w:ind w:left="426"/>
        <w:rPr>
          <w:rFonts w:ascii="Arial Narrow" w:hAnsi="Arial Narrow" w:cstheme="majorBidi"/>
          <w:b/>
          <w:bCs/>
          <w:sz w:val="24"/>
          <w:szCs w:val="24"/>
        </w:rPr>
      </w:pPr>
      <w:r w:rsidRPr="000865B5">
        <w:rPr>
          <w:rFonts w:ascii="Arial Narrow" w:hAnsi="Arial Narrow" w:cstheme="majorBidi"/>
          <w:b/>
          <w:bCs/>
          <w:sz w:val="24"/>
          <w:szCs w:val="24"/>
          <w:lang w:val="en-US"/>
        </w:rPr>
        <w:lastRenderedPageBreak/>
        <w:t>Locating</w:t>
      </w:r>
    </w:p>
    <w:p w:rsidR="00D03BF2" w:rsidRPr="000865B5" w:rsidRDefault="00D03BF2" w:rsidP="00D03BF2">
      <w:pPr>
        <w:pStyle w:val="NormalWeb"/>
        <w:spacing w:before="0" w:beforeAutospacing="0" w:after="0" w:afterAutospacing="0" w:line="360" w:lineRule="auto"/>
        <w:ind w:firstLine="720"/>
        <w:jc w:val="both"/>
        <w:rPr>
          <w:rFonts w:ascii="Arial Narrow" w:hAnsi="Arial Narrow"/>
          <w:lang w:val="en-US"/>
        </w:rPr>
      </w:pPr>
      <w:r w:rsidRPr="000865B5">
        <w:rPr>
          <w:rFonts w:ascii="Arial Narrow" w:hAnsi="Arial Narrow"/>
        </w:rPr>
        <w:t>Locating activities can be seen in zoning, namely the placement of traders' selling locations, which are classified based on the type of commodity/goods being traded. Traditional markets are divided into wet markets (</w:t>
      </w:r>
      <w:r w:rsidRPr="000865B5">
        <w:rPr>
          <w:rStyle w:val="Emphasis"/>
          <w:rFonts w:ascii="Arial Narrow" w:eastAsiaTheme="majorEastAsia" w:hAnsi="Arial Narrow"/>
          <w:color w:val="0E101A"/>
        </w:rPr>
        <w:t>pasar basah</w:t>
      </w:r>
      <w:r w:rsidRPr="000865B5">
        <w:rPr>
          <w:rFonts w:ascii="Arial Narrow" w:hAnsi="Arial Narrow"/>
        </w:rPr>
        <w:t> )and dry markets (</w:t>
      </w:r>
      <w:r w:rsidRPr="000865B5">
        <w:rPr>
          <w:rStyle w:val="Emphasis"/>
          <w:rFonts w:ascii="Arial Narrow" w:eastAsiaTheme="majorEastAsia" w:hAnsi="Arial Narrow"/>
          <w:color w:val="0E101A"/>
        </w:rPr>
        <w:t>pasar kering)</w:t>
      </w:r>
      <w:r w:rsidRPr="000865B5">
        <w:rPr>
          <w:rFonts w:ascii="Arial Narrow" w:hAnsi="Arial Narrow"/>
        </w:rPr>
        <w:t>, which are allocated separately. In the wet market, there are goods sold by traders, such as meat, fish, fruit, vegetables, and spices, and home-cooked food stalls. Meanwhile, dry markets usually sell dry goods, such as household items, dry spices, clothes, and homemade snacks.</w:t>
      </w:r>
    </w:p>
    <w:p w:rsidR="00D03BF2" w:rsidRPr="000865B5" w:rsidRDefault="00D03BF2" w:rsidP="00D03BF2">
      <w:pPr>
        <w:pStyle w:val="NormalWeb"/>
        <w:spacing w:before="0" w:beforeAutospacing="0" w:after="0" w:afterAutospacing="0" w:line="360" w:lineRule="auto"/>
        <w:ind w:firstLine="720"/>
        <w:jc w:val="both"/>
        <w:rPr>
          <w:rFonts w:ascii="Arial Narrow" w:hAnsi="Arial Narrow"/>
          <w:lang w:val="en-US"/>
        </w:rPr>
      </w:pPr>
    </w:p>
    <w:p w:rsidR="00D03BF2" w:rsidRPr="000865B5" w:rsidRDefault="00D03BF2" w:rsidP="00D03BF2">
      <w:pPr>
        <w:pStyle w:val="ListParagraph"/>
        <w:numPr>
          <w:ilvl w:val="3"/>
          <w:numId w:val="1"/>
        </w:numPr>
        <w:autoSpaceDE w:val="0"/>
        <w:autoSpaceDN w:val="0"/>
        <w:adjustRightInd w:val="0"/>
        <w:spacing w:after="0" w:line="360" w:lineRule="auto"/>
        <w:ind w:left="426"/>
        <w:rPr>
          <w:rFonts w:ascii="Arial Narrow" w:hAnsi="Arial Narrow" w:cstheme="majorBidi"/>
          <w:b/>
          <w:bCs/>
          <w:sz w:val="24"/>
          <w:szCs w:val="24"/>
        </w:rPr>
      </w:pPr>
      <w:r w:rsidRPr="000865B5">
        <w:rPr>
          <w:rFonts w:ascii="Arial Narrow" w:hAnsi="Arial Narrow" w:cstheme="majorBidi"/>
          <w:b/>
          <w:bCs/>
          <w:sz w:val="24"/>
          <w:szCs w:val="24"/>
          <w:lang w:val="en-US"/>
        </w:rPr>
        <w:t>Measuring</w:t>
      </w:r>
    </w:p>
    <w:p w:rsidR="00D03BF2" w:rsidRDefault="00D03BF2" w:rsidP="00D03BF2">
      <w:pPr>
        <w:pStyle w:val="HTMLPreformatted"/>
        <w:shd w:val="clear" w:color="auto" w:fill="FFFFFF" w:themeFill="background1"/>
        <w:spacing w:line="360" w:lineRule="auto"/>
        <w:jc w:val="both"/>
        <w:rPr>
          <w:rFonts w:ascii="Arial Narrow" w:hAnsi="Arial Narrow" w:cs="Times New Roman"/>
          <w:sz w:val="24"/>
          <w:szCs w:val="24"/>
          <w:lang w:val="en-US"/>
        </w:rPr>
      </w:pPr>
      <w:r w:rsidRPr="000865B5">
        <w:rPr>
          <w:rFonts w:ascii="Arial Narrow" w:hAnsi="Arial Narrow" w:cs="Times New Roman"/>
          <w:sz w:val="24"/>
          <w:szCs w:val="24"/>
        </w:rPr>
        <w:tab/>
        <w:t>One of the measuring activities can be seen in a dosing system. Bengkulu people still have a strong tradition regarding the measuring system, which differs from other regions. Based on the results of observations in the field, there is a measuring system in buying and selling transaction activities carried out by traders in the traditional markets of Bengkulu City, where several types of goods are measured/measured in a measuring system using non-standard measuring tools. The measuring system in this research, which traders use in traditional markets in Bengkulu City, is used for types of merchandise, namely rice, beans, eggs, and vegetables</w:t>
      </w:r>
      <w:r w:rsidRPr="000865B5">
        <w:rPr>
          <w:rFonts w:ascii="Arial Narrow" w:hAnsi="Arial Narrow" w:cs="Times New Roman"/>
          <w:sz w:val="24"/>
          <w:szCs w:val="24"/>
          <w:lang w:val="en-US"/>
        </w:rPr>
        <w:t>.</w:t>
      </w:r>
    </w:p>
    <w:p w:rsidR="00D03BF2" w:rsidRPr="000865B5" w:rsidRDefault="00D03BF2" w:rsidP="00D03BF2">
      <w:pPr>
        <w:pStyle w:val="HTMLPreformatted"/>
        <w:shd w:val="clear" w:color="auto" w:fill="FFFFFF" w:themeFill="background1"/>
        <w:spacing w:line="360" w:lineRule="auto"/>
        <w:jc w:val="both"/>
        <w:rPr>
          <w:rFonts w:ascii="Arial Narrow" w:hAnsi="Arial Narrow" w:cstheme="majorBidi"/>
          <w:sz w:val="24"/>
          <w:szCs w:val="24"/>
          <w:lang w:val="en-US"/>
        </w:rPr>
      </w:pPr>
    </w:p>
    <w:p w:rsidR="00D03BF2" w:rsidRPr="000865B5" w:rsidRDefault="00D03BF2" w:rsidP="007B29B6">
      <w:pPr>
        <w:pStyle w:val="ListParagraph"/>
        <w:numPr>
          <w:ilvl w:val="3"/>
          <w:numId w:val="8"/>
        </w:numPr>
        <w:autoSpaceDE w:val="0"/>
        <w:autoSpaceDN w:val="0"/>
        <w:adjustRightInd w:val="0"/>
        <w:spacing w:after="0" w:line="360" w:lineRule="auto"/>
        <w:ind w:left="426"/>
        <w:jc w:val="both"/>
        <w:rPr>
          <w:rFonts w:ascii="Arial Narrow" w:hAnsi="Arial Narrow" w:cstheme="majorBidi"/>
          <w:sz w:val="24"/>
          <w:szCs w:val="24"/>
          <w:lang w:val="en-US"/>
        </w:rPr>
      </w:pPr>
      <w:r w:rsidRPr="000865B5">
        <w:rPr>
          <w:rFonts w:ascii="Arial Narrow" w:hAnsi="Arial Narrow" w:cstheme="majorBidi"/>
          <w:sz w:val="24"/>
          <w:szCs w:val="24"/>
          <w:lang w:val="en-US"/>
        </w:rPr>
        <w:lastRenderedPageBreak/>
        <w:t>Rice</w:t>
      </w:r>
    </w:p>
    <w:p w:rsidR="00D03BF2" w:rsidRDefault="00D03BF2" w:rsidP="007B29B6">
      <w:pPr>
        <w:pStyle w:val="NormalWeb"/>
        <w:spacing w:before="0" w:beforeAutospacing="0" w:after="0" w:afterAutospacing="0" w:line="360" w:lineRule="auto"/>
        <w:ind w:firstLine="720"/>
        <w:jc w:val="both"/>
        <w:rPr>
          <w:rFonts w:ascii="Arial Narrow" w:hAnsi="Arial Narrow"/>
          <w:lang w:val="en-US"/>
        </w:rPr>
      </w:pPr>
      <w:r w:rsidRPr="000865B5">
        <w:rPr>
          <w:rFonts w:ascii="Arial Narrow" w:hAnsi="Arial Narrow"/>
        </w:rPr>
        <w:t xml:space="preserve">Rice traders usually sell rice obtained from various regions in Bengkulu Province, even from outside Bengkulu, such as from Lampung, Seghinim, and others. In rice buying and selling activities, rice traders tend to sell in retail form, besides also selling wholesale. The retail measuring system uses a tube-shaped device called a </w:t>
      </w:r>
      <w:r w:rsidRPr="000865B5">
        <w:rPr>
          <w:rFonts w:ascii="Arial Narrow" w:hAnsi="Arial Narrow"/>
          <w:i/>
        </w:rPr>
        <w:t>cupak</w:t>
      </w:r>
      <w:r w:rsidRPr="000865B5">
        <w:rPr>
          <w:rFonts w:ascii="Arial Narrow" w:hAnsi="Arial Narrow"/>
        </w:rPr>
        <w:t xml:space="preserve"> with a volume of 2 liters. </w:t>
      </w:r>
      <w:r w:rsidRPr="000865B5">
        <w:rPr>
          <w:rFonts w:ascii="Arial Narrow" w:hAnsi="Arial Narrow"/>
          <w:i/>
        </w:rPr>
        <w:t>Cupak</w:t>
      </w:r>
      <w:r w:rsidRPr="000865B5">
        <w:rPr>
          <w:rFonts w:ascii="Arial Narrow" w:hAnsi="Arial Narrow"/>
        </w:rPr>
        <w:t xml:space="preserve"> is a unit that indicates the amount or weight of rice used by the people of Bengkulu City to measure rice. A </w:t>
      </w:r>
      <w:r w:rsidRPr="000865B5">
        <w:rPr>
          <w:rFonts w:ascii="Arial Narrow" w:hAnsi="Arial Narrow"/>
          <w:i/>
        </w:rPr>
        <w:t>cupak</w:t>
      </w:r>
      <w:r w:rsidRPr="000865B5">
        <w:rPr>
          <w:rFonts w:ascii="Arial Narrow" w:hAnsi="Arial Narrow"/>
        </w:rPr>
        <w:t xml:space="preserve"> = ± 1.6 kg (one kilo six ounces).</w:t>
      </w:r>
    </w:p>
    <w:p w:rsidR="00D03BF2" w:rsidRDefault="007B29B6" w:rsidP="00F65747">
      <w:pPr>
        <w:pStyle w:val="NormalWeb"/>
        <w:spacing w:before="0" w:beforeAutospacing="0" w:after="0" w:afterAutospacing="0" w:line="360" w:lineRule="auto"/>
        <w:jc w:val="center"/>
        <w:rPr>
          <w:rFonts w:ascii="Arial Narrow" w:hAnsi="Arial Narrow"/>
          <w:lang w:val="en-US"/>
        </w:rPr>
      </w:pPr>
      <w:r>
        <w:rPr>
          <w:rFonts w:ascii="Arial Narrow" w:hAnsi="Arial Narrow"/>
          <w:noProof/>
          <w:lang w:val="en-US" w:eastAsia="en-US"/>
        </w:rPr>
        <w:drawing>
          <wp:inline distT="0" distB="0" distL="0" distR="0" wp14:anchorId="3EAA47FE" wp14:editId="2598B9C3">
            <wp:extent cx="2154803" cy="122343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1924" cy="1227477"/>
                    </a:xfrm>
                    <a:prstGeom prst="rect">
                      <a:avLst/>
                    </a:prstGeom>
                    <a:noFill/>
                    <a:ln>
                      <a:noFill/>
                    </a:ln>
                  </pic:spPr>
                </pic:pic>
              </a:graphicData>
            </a:graphic>
          </wp:inline>
        </w:drawing>
      </w:r>
    </w:p>
    <w:p w:rsidR="007B29B6" w:rsidRPr="007B29B6" w:rsidRDefault="007B29B6" w:rsidP="007B29B6">
      <w:pPr>
        <w:pStyle w:val="ListParagraph"/>
        <w:numPr>
          <w:ilvl w:val="3"/>
          <w:numId w:val="8"/>
        </w:numPr>
        <w:autoSpaceDE w:val="0"/>
        <w:autoSpaceDN w:val="0"/>
        <w:adjustRightInd w:val="0"/>
        <w:spacing w:line="360" w:lineRule="auto"/>
        <w:ind w:left="426"/>
        <w:jc w:val="both"/>
        <w:rPr>
          <w:rFonts w:ascii="Arial Narrow" w:hAnsi="Arial Narrow" w:cstheme="majorBidi"/>
          <w:sz w:val="24"/>
          <w:szCs w:val="24"/>
        </w:rPr>
      </w:pPr>
      <w:r w:rsidRPr="007B29B6">
        <w:rPr>
          <w:rFonts w:ascii="Arial Narrow" w:hAnsi="Arial Narrow" w:cstheme="majorBidi"/>
          <w:sz w:val="24"/>
          <w:szCs w:val="24"/>
        </w:rPr>
        <w:t>Red Beans, Green Beans, and Peanuts</w:t>
      </w:r>
    </w:p>
    <w:p w:rsidR="007B29B6" w:rsidRPr="00A924D7" w:rsidRDefault="007B29B6" w:rsidP="007B29B6">
      <w:pPr>
        <w:pStyle w:val="ListParagraph"/>
        <w:autoSpaceDE w:val="0"/>
        <w:autoSpaceDN w:val="0"/>
        <w:adjustRightInd w:val="0"/>
        <w:spacing w:after="0" w:line="360" w:lineRule="auto"/>
        <w:ind w:left="0" w:firstLine="720"/>
        <w:jc w:val="both"/>
        <w:rPr>
          <w:rFonts w:ascii="Arial Narrow" w:hAnsi="Arial Narrow" w:cstheme="majorBidi"/>
          <w:sz w:val="24"/>
          <w:szCs w:val="24"/>
        </w:rPr>
      </w:pPr>
      <w:r w:rsidRPr="00A924D7">
        <w:rPr>
          <w:rFonts w:ascii="Arial Narrow" w:hAnsi="Arial Narrow" w:cstheme="majorBidi"/>
          <w:sz w:val="24"/>
          <w:szCs w:val="24"/>
        </w:rPr>
        <w:t>Traders who sell various types of nuts usually sell their goods retail in '</w:t>
      </w:r>
      <w:r w:rsidRPr="00A924D7">
        <w:rPr>
          <w:rFonts w:ascii="Arial Narrow" w:hAnsi="Arial Narrow" w:cstheme="majorBidi"/>
          <w:i/>
          <w:sz w:val="24"/>
          <w:szCs w:val="24"/>
        </w:rPr>
        <w:t>Canting</w:t>
      </w:r>
      <w:r w:rsidRPr="00A924D7">
        <w:rPr>
          <w:rFonts w:ascii="Arial Narrow" w:hAnsi="Arial Narrow" w:cstheme="majorBidi"/>
          <w:sz w:val="24"/>
          <w:szCs w:val="24"/>
        </w:rPr>
        <w:t xml:space="preserve">' quantities. This </w:t>
      </w:r>
      <w:r w:rsidRPr="00A924D7">
        <w:rPr>
          <w:rFonts w:ascii="Arial Narrow" w:hAnsi="Arial Narrow" w:cstheme="majorBidi"/>
          <w:i/>
          <w:sz w:val="24"/>
          <w:szCs w:val="24"/>
        </w:rPr>
        <w:t>canting</w:t>
      </w:r>
      <w:r w:rsidRPr="00A924D7">
        <w:rPr>
          <w:rFonts w:ascii="Arial Narrow" w:hAnsi="Arial Narrow" w:cstheme="majorBidi"/>
          <w:sz w:val="24"/>
          <w:szCs w:val="24"/>
        </w:rPr>
        <w:t xml:space="preserve"> measuring system uses a tube-shaped tool, usually made from used milk cans or cigarette cans.Traders use this canting to measure items such as peanuts, green beans, and red beans. Apart from that, </w:t>
      </w:r>
      <w:r w:rsidRPr="00A924D7">
        <w:rPr>
          <w:rFonts w:ascii="Arial Narrow" w:hAnsi="Arial Narrow" w:cstheme="majorBidi"/>
          <w:i/>
          <w:sz w:val="24"/>
          <w:szCs w:val="24"/>
        </w:rPr>
        <w:t>canting</w:t>
      </w:r>
      <w:r w:rsidRPr="00A924D7">
        <w:rPr>
          <w:rFonts w:ascii="Arial Narrow" w:hAnsi="Arial Narrow" w:cstheme="majorBidi"/>
          <w:sz w:val="24"/>
          <w:szCs w:val="24"/>
        </w:rPr>
        <w:t xml:space="preserve"> is also used to measure other goods such as leuca, black sticky rice, split gills mushrooms, and leucanea.</w:t>
      </w:r>
    </w:p>
    <w:p w:rsidR="007B29B6" w:rsidRDefault="007B29B6" w:rsidP="007B29B6">
      <w:pPr>
        <w:pStyle w:val="ListParagraph"/>
        <w:autoSpaceDE w:val="0"/>
        <w:autoSpaceDN w:val="0"/>
        <w:adjustRightInd w:val="0"/>
        <w:spacing w:before="120" w:after="120" w:line="360" w:lineRule="auto"/>
        <w:ind w:left="0" w:firstLine="709"/>
        <w:jc w:val="both"/>
        <w:rPr>
          <w:rFonts w:ascii="Arial Narrow" w:hAnsi="Arial Narrow" w:cstheme="majorBidi"/>
          <w:sz w:val="24"/>
          <w:szCs w:val="24"/>
          <w:lang w:val="en-US"/>
        </w:rPr>
      </w:pPr>
    </w:p>
    <w:p w:rsidR="007B29B6" w:rsidRDefault="007B29B6" w:rsidP="007B29B6">
      <w:pPr>
        <w:pStyle w:val="ListParagraph"/>
        <w:autoSpaceDE w:val="0"/>
        <w:autoSpaceDN w:val="0"/>
        <w:adjustRightInd w:val="0"/>
        <w:spacing w:before="120" w:after="120" w:line="360" w:lineRule="auto"/>
        <w:ind w:left="0" w:firstLine="709"/>
        <w:jc w:val="both"/>
        <w:rPr>
          <w:rFonts w:ascii="Arial Narrow" w:hAnsi="Arial Narrow"/>
          <w:sz w:val="24"/>
          <w:szCs w:val="24"/>
          <w:lang w:val="en-US"/>
        </w:rPr>
      </w:pPr>
      <w:r w:rsidRPr="00A924D7">
        <w:rPr>
          <w:rFonts w:ascii="Arial Narrow" w:hAnsi="Arial Narrow" w:cstheme="majorBidi"/>
          <w:sz w:val="24"/>
          <w:szCs w:val="24"/>
        </w:rPr>
        <w:t>The following is an illustration of the measuring system</w:t>
      </w:r>
      <w:r w:rsidRPr="00A924D7">
        <w:rPr>
          <w:rFonts w:ascii="Arial Narrow" w:hAnsi="Arial Narrow"/>
          <w:sz w:val="24"/>
          <w:szCs w:val="24"/>
        </w:rPr>
        <w:t xml:space="preserve"> in </w:t>
      </w:r>
      <w:r w:rsidRPr="00A924D7">
        <w:rPr>
          <w:rFonts w:ascii="Arial Narrow" w:hAnsi="Arial Narrow"/>
          <w:i/>
          <w:sz w:val="24"/>
          <w:szCs w:val="24"/>
        </w:rPr>
        <w:t>canting</w:t>
      </w:r>
      <w:r w:rsidRPr="00A924D7">
        <w:rPr>
          <w:rFonts w:ascii="Arial Narrow" w:hAnsi="Arial Narrow"/>
          <w:sz w:val="24"/>
          <w:szCs w:val="24"/>
        </w:rPr>
        <w:t>:</w:t>
      </w:r>
    </w:p>
    <w:p w:rsidR="007B29B6" w:rsidRPr="007B29B6" w:rsidRDefault="007B29B6" w:rsidP="007B29B6">
      <w:pPr>
        <w:pStyle w:val="ListParagraph"/>
        <w:autoSpaceDE w:val="0"/>
        <w:autoSpaceDN w:val="0"/>
        <w:adjustRightInd w:val="0"/>
        <w:spacing w:before="120" w:after="120" w:line="360" w:lineRule="auto"/>
        <w:ind w:left="0"/>
        <w:jc w:val="both"/>
        <w:rPr>
          <w:rFonts w:ascii="Arial Narrow" w:hAnsi="Arial Narrow" w:cstheme="majorBidi"/>
          <w:sz w:val="24"/>
          <w:szCs w:val="24"/>
          <w:lang w:val="en-US"/>
        </w:rPr>
      </w:pPr>
      <w:r>
        <w:rPr>
          <w:rFonts w:ascii="Arial Narrow" w:hAnsi="Arial Narrow" w:cstheme="majorBidi"/>
          <w:noProof/>
          <w:sz w:val="24"/>
          <w:szCs w:val="24"/>
          <w:lang w:val="en-US"/>
        </w:rPr>
        <w:lastRenderedPageBreak/>
        <w:drawing>
          <wp:inline distT="0" distB="0" distL="0" distR="0">
            <wp:extent cx="2741384" cy="1447138"/>
            <wp:effectExtent l="0" t="0" r="1905"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1">
                      <a:extLst>
                        <a:ext uri="{28A0092B-C50C-407E-A947-70E740481C1C}">
                          <a14:useLocalDpi xmlns:a14="http://schemas.microsoft.com/office/drawing/2010/main" val="0"/>
                        </a:ext>
                      </a:extLst>
                    </a:blip>
                    <a:srcRect l="15294" r="16176"/>
                    <a:stretch/>
                  </pic:blipFill>
                  <pic:spPr bwMode="auto">
                    <a:xfrm>
                      <a:off x="0" y="0"/>
                      <a:ext cx="2746117" cy="1449636"/>
                    </a:xfrm>
                    <a:prstGeom prst="rect">
                      <a:avLst/>
                    </a:prstGeom>
                    <a:noFill/>
                    <a:ln>
                      <a:noFill/>
                    </a:ln>
                    <a:extLst>
                      <a:ext uri="{53640926-AAD7-44D8-BBD7-CCE9431645EC}">
                        <a14:shadowObscured xmlns:a14="http://schemas.microsoft.com/office/drawing/2010/main"/>
                      </a:ext>
                    </a:extLst>
                  </pic:spPr>
                </pic:pic>
              </a:graphicData>
            </a:graphic>
          </wp:inline>
        </w:drawing>
      </w:r>
    </w:p>
    <w:p w:rsidR="00671471" w:rsidRPr="00671471" w:rsidRDefault="00671471" w:rsidP="0024596A">
      <w:pPr>
        <w:pStyle w:val="ListParagraph"/>
        <w:numPr>
          <w:ilvl w:val="3"/>
          <w:numId w:val="8"/>
        </w:numPr>
        <w:autoSpaceDE w:val="0"/>
        <w:autoSpaceDN w:val="0"/>
        <w:adjustRightInd w:val="0"/>
        <w:spacing w:after="0"/>
        <w:ind w:left="426"/>
        <w:jc w:val="both"/>
        <w:rPr>
          <w:rFonts w:ascii="Arial Narrow" w:hAnsi="Arial Narrow" w:cstheme="majorBidi"/>
          <w:sz w:val="24"/>
          <w:szCs w:val="24"/>
          <w:lang w:val="en-US"/>
        </w:rPr>
      </w:pPr>
      <w:r w:rsidRPr="00671471">
        <w:rPr>
          <w:rFonts w:ascii="Arial Narrow" w:hAnsi="Arial Narrow" w:cstheme="majorBidi"/>
          <w:sz w:val="24"/>
          <w:szCs w:val="24"/>
          <w:lang w:val="en-US"/>
        </w:rPr>
        <w:t>Eggs</w:t>
      </w:r>
    </w:p>
    <w:p w:rsidR="00671471" w:rsidRDefault="00671471" w:rsidP="00671471">
      <w:pPr>
        <w:autoSpaceDE w:val="0"/>
        <w:autoSpaceDN w:val="0"/>
        <w:adjustRightInd w:val="0"/>
        <w:spacing w:line="276" w:lineRule="auto"/>
        <w:ind w:firstLine="720"/>
        <w:jc w:val="both"/>
        <w:rPr>
          <w:rFonts w:ascii="Arial Narrow" w:hAnsi="Arial Narrow"/>
          <w:sz w:val="24"/>
          <w:szCs w:val="24"/>
        </w:rPr>
      </w:pPr>
      <w:r w:rsidRPr="00671471">
        <w:rPr>
          <w:rFonts w:ascii="Arial Narrow" w:hAnsi="Arial Narrow"/>
          <w:sz w:val="24"/>
          <w:szCs w:val="24"/>
        </w:rPr>
        <w:t>In the Bengkulu traditional market, egg traders sell eggs in units. Chicken eggs are usually sold in quantities/packaging called </w:t>
      </w:r>
      <w:proofErr w:type="spellStart"/>
      <w:r w:rsidRPr="00671471">
        <w:rPr>
          <w:rStyle w:val="Emphasis"/>
          <w:rFonts w:ascii="Arial Narrow" w:hAnsi="Arial Narrow"/>
          <w:color w:val="0E101A"/>
          <w:sz w:val="24"/>
          <w:szCs w:val="24"/>
        </w:rPr>
        <w:t>karpet</w:t>
      </w:r>
      <w:proofErr w:type="spellEnd"/>
      <w:r w:rsidRPr="00671471">
        <w:rPr>
          <w:rFonts w:ascii="Arial Narrow" w:hAnsi="Arial Narrow"/>
          <w:sz w:val="24"/>
          <w:szCs w:val="24"/>
        </w:rPr>
        <w:t>. The size of a </w:t>
      </w:r>
      <w:proofErr w:type="spellStart"/>
      <w:r w:rsidRPr="00671471">
        <w:rPr>
          <w:rStyle w:val="Emphasis"/>
          <w:rFonts w:ascii="Arial Narrow" w:hAnsi="Arial Narrow"/>
          <w:color w:val="0E101A"/>
          <w:sz w:val="24"/>
          <w:szCs w:val="24"/>
        </w:rPr>
        <w:t>karpet</w:t>
      </w:r>
      <w:proofErr w:type="spellEnd"/>
      <w:r w:rsidRPr="00671471">
        <w:rPr>
          <w:rFonts w:ascii="Arial Narrow" w:hAnsi="Arial Narrow"/>
          <w:sz w:val="24"/>
          <w:szCs w:val="24"/>
        </w:rPr>
        <w:t> contains 30 eggs, and a half-carpet package contains 15 eggs. However, depending on buyer demand, it does not rule out the possibility of being sold per item. Alternatively, even traders usually sell small-sized eggs at a selling price of IDR 5,000.00 per 3 eggs; medium sized eggs are sold for IDR 2,000.00, while large-sized eggs are sold for IDR 5,000.00 per 2 eggs. Measuring activities are also carried out when traders determine the price per egg, namely by making comparisons and estimates depending on the appearance and size of each egg. They are usually sorted into three sizes, namely large, medium, and small</w:t>
      </w:r>
      <w:r>
        <w:rPr>
          <w:rFonts w:ascii="Arial Narrow" w:hAnsi="Arial Narrow"/>
          <w:sz w:val="24"/>
          <w:szCs w:val="24"/>
        </w:rPr>
        <w:t>.</w:t>
      </w:r>
    </w:p>
    <w:p w:rsidR="00671471" w:rsidRPr="00671471" w:rsidRDefault="00671471" w:rsidP="00F65747">
      <w:pPr>
        <w:autoSpaceDE w:val="0"/>
        <w:autoSpaceDN w:val="0"/>
        <w:adjustRightInd w:val="0"/>
        <w:spacing w:line="276" w:lineRule="auto"/>
        <w:jc w:val="center"/>
        <w:rPr>
          <w:rFonts w:ascii="Arial Narrow" w:hAnsi="Arial Narrow" w:cstheme="majorBidi"/>
          <w:sz w:val="24"/>
          <w:szCs w:val="24"/>
        </w:rPr>
      </w:pPr>
      <w:r>
        <w:rPr>
          <w:rFonts w:ascii="Arial Narrow" w:hAnsi="Arial Narrow" w:cstheme="majorBidi"/>
          <w:noProof/>
          <w:sz w:val="24"/>
          <w:szCs w:val="24"/>
        </w:rPr>
        <w:drawing>
          <wp:inline distT="0" distB="0" distL="0" distR="0">
            <wp:extent cx="2242268" cy="1153698"/>
            <wp:effectExtent l="0" t="0" r="5715"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2">
                      <a:extLst>
                        <a:ext uri="{28A0092B-C50C-407E-A947-70E740481C1C}">
                          <a14:useLocalDpi xmlns:a14="http://schemas.microsoft.com/office/drawing/2010/main" val="0"/>
                        </a:ext>
                      </a:extLst>
                    </a:blip>
                    <a:srcRect l="15298" r="13799"/>
                    <a:stretch/>
                  </pic:blipFill>
                  <pic:spPr bwMode="auto">
                    <a:xfrm>
                      <a:off x="0" y="0"/>
                      <a:ext cx="2242707" cy="1153924"/>
                    </a:xfrm>
                    <a:prstGeom prst="rect">
                      <a:avLst/>
                    </a:prstGeom>
                    <a:noFill/>
                    <a:ln>
                      <a:noFill/>
                    </a:ln>
                    <a:extLst>
                      <a:ext uri="{53640926-AAD7-44D8-BBD7-CCE9431645EC}">
                        <a14:shadowObscured xmlns:a14="http://schemas.microsoft.com/office/drawing/2010/main"/>
                      </a:ext>
                    </a:extLst>
                  </pic:spPr>
                </pic:pic>
              </a:graphicData>
            </a:graphic>
          </wp:inline>
        </w:drawing>
      </w:r>
    </w:p>
    <w:p w:rsidR="0024596A" w:rsidRPr="0024596A" w:rsidRDefault="0024596A" w:rsidP="0024596A">
      <w:pPr>
        <w:pStyle w:val="ListParagraph"/>
        <w:numPr>
          <w:ilvl w:val="3"/>
          <w:numId w:val="11"/>
        </w:numPr>
        <w:autoSpaceDE w:val="0"/>
        <w:autoSpaceDN w:val="0"/>
        <w:adjustRightInd w:val="0"/>
        <w:spacing w:after="0" w:line="360" w:lineRule="auto"/>
        <w:ind w:left="426"/>
        <w:jc w:val="both"/>
        <w:rPr>
          <w:rFonts w:ascii="Arial Narrow" w:hAnsi="Arial Narrow" w:cstheme="majorBidi"/>
          <w:sz w:val="24"/>
          <w:szCs w:val="24"/>
          <w:lang w:val="en-US"/>
        </w:rPr>
      </w:pPr>
      <w:r w:rsidRPr="0024596A">
        <w:rPr>
          <w:rFonts w:ascii="Arial Narrow" w:hAnsi="Arial Narrow" w:cstheme="majorBidi"/>
          <w:sz w:val="24"/>
          <w:szCs w:val="24"/>
          <w:lang w:val="en-US"/>
        </w:rPr>
        <w:t xml:space="preserve">Vegetables </w:t>
      </w:r>
    </w:p>
    <w:p w:rsidR="0024596A" w:rsidRDefault="0024596A" w:rsidP="0024596A">
      <w:pPr>
        <w:pStyle w:val="ListParagraph"/>
        <w:autoSpaceDE w:val="0"/>
        <w:autoSpaceDN w:val="0"/>
        <w:adjustRightInd w:val="0"/>
        <w:spacing w:after="0" w:line="360" w:lineRule="auto"/>
        <w:ind w:left="432" w:firstLine="720"/>
        <w:jc w:val="both"/>
        <w:rPr>
          <w:rFonts w:ascii="Arial Narrow" w:hAnsi="Arial Narrow"/>
          <w:sz w:val="24"/>
          <w:szCs w:val="24"/>
          <w:lang w:val="en-US"/>
        </w:rPr>
      </w:pPr>
      <w:r w:rsidRPr="0024596A">
        <w:rPr>
          <w:rFonts w:ascii="Arial Narrow" w:hAnsi="Arial Narrow"/>
          <w:sz w:val="24"/>
          <w:szCs w:val="24"/>
        </w:rPr>
        <w:t xml:space="preserve">The selling price of types of vegetables is determined using a system of weighing, portion/package, and </w:t>
      </w:r>
      <w:r w:rsidRPr="0024596A">
        <w:rPr>
          <w:rFonts w:ascii="Arial Narrow" w:hAnsi="Arial Narrow"/>
          <w:i/>
          <w:sz w:val="24"/>
          <w:szCs w:val="24"/>
        </w:rPr>
        <w:t>kebe'</w:t>
      </w:r>
      <w:r w:rsidRPr="0024596A">
        <w:rPr>
          <w:rFonts w:ascii="Arial Narrow" w:hAnsi="Arial Narrow"/>
          <w:sz w:val="24"/>
          <w:szCs w:val="24"/>
        </w:rPr>
        <w:t xml:space="preserve"> (kebat/tie). The portion/wrap packaging system combines several types of </w:t>
      </w:r>
      <w:r w:rsidRPr="0024596A">
        <w:rPr>
          <w:rFonts w:ascii="Arial Narrow" w:hAnsi="Arial Narrow"/>
          <w:sz w:val="24"/>
          <w:szCs w:val="24"/>
        </w:rPr>
        <w:lastRenderedPageBreak/>
        <w:t>vegetables with the ideal quantity for a portion of food. Traders more often do this because most buyers/consumers prefer to buy vegetables in economical and inexpensive packaging so that it is more attractive for consumers to buy. Examples of vegetables in portion/wrap packages include vegetable soup and tamarind vegetables. One portion/pack of tamarind vegetables or raw vegetable soup is sold for an average IDR 5,000.00.</w:t>
      </w:r>
    </w:p>
    <w:p w:rsidR="0024596A" w:rsidRPr="0024596A" w:rsidRDefault="0024596A" w:rsidP="0024596A">
      <w:pPr>
        <w:autoSpaceDE w:val="0"/>
        <w:autoSpaceDN w:val="0"/>
        <w:adjustRightInd w:val="0"/>
        <w:spacing w:line="360" w:lineRule="auto"/>
        <w:jc w:val="center"/>
        <w:rPr>
          <w:rFonts w:ascii="Arial Narrow" w:hAnsi="Arial Narrow" w:cstheme="majorBidi"/>
          <w:sz w:val="24"/>
          <w:szCs w:val="24"/>
        </w:rPr>
      </w:pPr>
      <w:r>
        <w:rPr>
          <w:noProof/>
        </w:rPr>
        <w:drawing>
          <wp:inline distT="0" distB="0" distL="0" distR="0" wp14:anchorId="581EACAF" wp14:editId="2BD3A572">
            <wp:extent cx="2035534" cy="1102335"/>
            <wp:effectExtent l="0" t="0" r="3175"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3">
                      <a:extLst>
                        <a:ext uri="{28A0092B-C50C-407E-A947-70E740481C1C}">
                          <a14:useLocalDpi xmlns:a14="http://schemas.microsoft.com/office/drawing/2010/main" val="0"/>
                        </a:ext>
                      </a:extLst>
                    </a:blip>
                    <a:srcRect l="24126" r="24678" b="4820"/>
                    <a:stretch/>
                  </pic:blipFill>
                  <pic:spPr bwMode="auto">
                    <a:xfrm>
                      <a:off x="0" y="0"/>
                      <a:ext cx="2048578" cy="1109399"/>
                    </a:xfrm>
                    <a:prstGeom prst="rect">
                      <a:avLst/>
                    </a:prstGeom>
                    <a:noFill/>
                    <a:ln>
                      <a:noFill/>
                    </a:ln>
                    <a:extLst>
                      <a:ext uri="{53640926-AAD7-44D8-BBD7-CCE9431645EC}">
                        <a14:shadowObscured xmlns:a14="http://schemas.microsoft.com/office/drawing/2010/main"/>
                      </a:ext>
                    </a:extLst>
                  </pic:spPr>
                </pic:pic>
              </a:graphicData>
            </a:graphic>
          </wp:inline>
        </w:drawing>
      </w:r>
    </w:p>
    <w:p w:rsidR="0024596A" w:rsidRPr="00972DED" w:rsidRDefault="0024596A" w:rsidP="0024596A">
      <w:pPr>
        <w:autoSpaceDE w:val="0"/>
        <w:autoSpaceDN w:val="0"/>
        <w:adjustRightInd w:val="0"/>
        <w:spacing w:line="360" w:lineRule="auto"/>
        <w:ind w:firstLine="720"/>
        <w:jc w:val="both"/>
        <w:rPr>
          <w:rFonts w:ascii="Arial Narrow" w:hAnsi="Arial Narrow" w:cstheme="majorBidi"/>
          <w:sz w:val="24"/>
          <w:szCs w:val="24"/>
        </w:rPr>
      </w:pPr>
      <w:r w:rsidRPr="00972DED">
        <w:rPr>
          <w:rFonts w:ascii="Arial Narrow" w:hAnsi="Arial Narrow"/>
          <w:sz w:val="24"/>
          <w:szCs w:val="24"/>
        </w:rPr>
        <w:t xml:space="preserve">Meanwhile, green vegetables such as kale, spinach, mustard greens, sweet potato shoots and lettuce are usually sold in </w:t>
      </w:r>
      <w:proofErr w:type="spellStart"/>
      <w:r w:rsidRPr="00972DED">
        <w:rPr>
          <w:rFonts w:ascii="Arial Narrow" w:hAnsi="Arial Narrow"/>
          <w:i/>
          <w:iCs/>
          <w:sz w:val="24"/>
          <w:szCs w:val="24"/>
        </w:rPr>
        <w:t>kebe</w:t>
      </w:r>
      <w:proofErr w:type="spellEnd"/>
      <w:r w:rsidRPr="00972DED">
        <w:rPr>
          <w:rFonts w:ascii="Arial Narrow" w:hAnsi="Arial Narrow"/>
          <w:i/>
          <w:iCs/>
          <w:sz w:val="24"/>
          <w:szCs w:val="24"/>
        </w:rPr>
        <w:t xml:space="preserve">' </w:t>
      </w:r>
      <w:r w:rsidRPr="00972DED">
        <w:rPr>
          <w:rFonts w:ascii="Arial Narrow" w:hAnsi="Arial Narrow"/>
          <w:sz w:val="24"/>
          <w:szCs w:val="24"/>
        </w:rPr>
        <w:t>(</w:t>
      </w:r>
      <w:proofErr w:type="spellStart"/>
      <w:r w:rsidRPr="00972DED">
        <w:rPr>
          <w:rFonts w:ascii="Arial Narrow" w:hAnsi="Arial Narrow"/>
          <w:i/>
          <w:iCs/>
          <w:sz w:val="24"/>
          <w:szCs w:val="24"/>
        </w:rPr>
        <w:t>kebat</w:t>
      </w:r>
      <w:proofErr w:type="spellEnd"/>
      <w:r w:rsidRPr="00972DED">
        <w:rPr>
          <w:rFonts w:ascii="Arial Narrow" w:hAnsi="Arial Narrow"/>
          <w:sz w:val="24"/>
          <w:szCs w:val="24"/>
        </w:rPr>
        <w:t>/tie) packaging. For mustard greens, each bundle in the pile ranges from 9-10 trees, while kale, spinach, sweet potato shoots, and lettuce range from 40-50 trees, with an average selling price for green vegetables of IDR. 3000.00.</w:t>
      </w:r>
    </w:p>
    <w:p w:rsidR="007B29B6" w:rsidRDefault="0024596A" w:rsidP="0024596A">
      <w:pPr>
        <w:pStyle w:val="NormalWeb"/>
        <w:spacing w:before="0" w:beforeAutospacing="0" w:after="0" w:afterAutospacing="0" w:line="360" w:lineRule="auto"/>
        <w:jc w:val="both"/>
        <w:rPr>
          <w:rFonts w:ascii="Arial Narrow" w:hAnsi="Arial Narrow"/>
          <w:lang w:val="en-US"/>
        </w:rPr>
      </w:pPr>
      <w:r>
        <w:rPr>
          <w:rFonts w:ascii="Arial Narrow" w:hAnsi="Arial Narrow"/>
          <w:noProof/>
          <w:lang w:val="en-US" w:eastAsia="en-US"/>
        </w:rPr>
        <w:drawing>
          <wp:inline distT="0" distB="0" distL="0" distR="0">
            <wp:extent cx="2707765" cy="10336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4">
                      <a:extLst>
                        <a:ext uri="{28A0092B-C50C-407E-A947-70E740481C1C}">
                          <a14:useLocalDpi xmlns:a14="http://schemas.microsoft.com/office/drawing/2010/main" val="0"/>
                        </a:ext>
                      </a:extLst>
                    </a:blip>
                    <a:srcRect l="14707" r="14404"/>
                    <a:stretch/>
                  </pic:blipFill>
                  <pic:spPr bwMode="auto">
                    <a:xfrm>
                      <a:off x="0" y="0"/>
                      <a:ext cx="2707765" cy="1033670"/>
                    </a:xfrm>
                    <a:prstGeom prst="rect">
                      <a:avLst/>
                    </a:prstGeom>
                    <a:noFill/>
                    <a:ln>
                      <a:noFill/>
                    </a:ln>
                    <a:extLst>
                      <a:ext uri="{53640926-AAD7-44D8-BBD7-CCE9431645EC}">
                        <a14:shadowObscured xmlns:a14="http://schemas.microsoft.com/office/drawing/2010/main"/>
                      </a:ext>
                    </a:extLst>
                  </pic:spPr>
                </pic:pic>
              </a:graphicData>
            </a:graphic>
          </wp:inline>
        </w:drawing>
      </w:r>
    </w:p>
    <w:p w:rsidR="0024596A" w:rsidRPr="0024596A" w:rsidRDefault="0024596A" w:rsidP="0024596A">
      <w:pPr>
        <w:pStyle w:val="NormalWeb"/>
        <w:spacing w:before="0" w:beforeAutospacing="0" w:after="0" w:afterAutospacing="0" w:line="360" w:lineRule="auto"/>
        <w:ind w:firstLine="720"/>
        <w:jc w:val="both"/>
        <w:rPr>
          <w:rFonts w:ascii="Arial Narrow" w:hAnsi="Arial Narrow"/>
          <w:lang w:val="en-US"/>
        </w:rPr>
      </w:pPr>
      <w:r w:rsidRPr="0024596A">
        <w:rPr>
          <w:rFonts w:ascii="Arial Narrow" w:hAnsi="Arial Narrow"/>
        </w:rPr>
        <w:t xml:space="preserve">Apart from the packaging above, other types of vegetables are measured/measured using scales in ounces or kilograms, in this case </w:t>
      </w:r>
      <w:r w:rsidRPr="0024596A">
        <w:rPr>
          <w:rFonts w:ascii="Arial Narrow" w:hAnsi="Arial Narrow"/>
        </w:rPr>
        <w:lastRenderedPageBreak/>
        <w:t>requiring precision/accuracy in measuring the scales (accuracy), so that traders gain trust and satisfaction from consumers.</w:t>
      </w:r>
    </w:p>
    <w:p w:rsidR="0024596A" w:rsidRPr="0024596A" w:rsidRDefault="0024596A" w:rsidP="0024596A">
      <w:pPr>
        <w:autoSpaceDE w:val="0"/>
        <w:autoSpaceDN w:val="0"/>
        <w:adjustRightInd w:val="0"/>
        <w:spacing w:line="360" w:lineRule="auto"/>
        <w:ind w:firstLine="720"/>
        <w:jc w:val="both"/>
        <w:rPr>
          <w:rFonts w:ascii="Arial Narrow" w:hAnsi="Arial Narrow" w:cstheme="majorBidi"/>
          <w:sz w:val="24"/>
          <w:szCs w:val="24"/>
        </w:rPr>
      </w:pPr>
      <w:r w:rsidRPr="0024596A">
        <w:rPr>
          <w:rFonts w:ascii="Arial Narrow" w:hAnsi="Arial Narrow"/>
          <w:sz w:val="24"/>
          <w:szCs w:val="24"/>
        </w:rPr>
        <w:t>Another measuring activity is related to money, namely determining the amount of market levies traders must pay. Retribution payments can be made over some time, namely monthly or daily. Traders who own permanent kiosks usually pay monthly, namely IDR 80,000 per month, but it is not uncommon for traders to pay daily. Based on information from traders and market managers, the same rate applies for payment of market levies by traders, both for traders selling in kiosks and traders selling in stalls/overhangs, namely IDR 3,000 per day.</w:t>
      </w:r>
    </w:p>
    <w:p w:rsidR="0024596A" w:rsidRDefault="0024596A" w:rsidP="0024596A">
      <w:pPr>
        <w:pStyle w:val="NormalWeb"/>
        <w:spacing w:before="0" w:beforeAutospacing="0" w:after="0" w:afterAutospacing="0" w:line="360" w:lineRule="auto"/>
        <w:jc w:val="both"/>
        <w:rPr>
          <w:rFonts w:ascii="Arial Narrow" w:hAnsi="Arial Narrow"/>
          <w:lang w:val="en-US"/>
        </w:rPr>
      </w:pPr>
    </w:p>
    <w:p w:rsidR="00683604" w:rsidRPr="00683604" w:rsidRDefault="00683604" w:rsidP="00683604">
      <w:pPr>
        <w:pStyle w:val="ListParagraph"/>
        <w:numPr>
          <w:ilvl w:val="3"/>
          <w:numId w:val="1"/>
        </w:numPr>
        <w:autoSpaceDE w:val="0"/>
        <w:autoSpaceDN w:val="0"/>
        <w:adjustRightInd w:val="0"/>
        <w:spacing w:after="0" w:line="360" w:lineRule="auto"/>
        <w:ind w:left="426"/>
        <w:rPr>
          <w:rFonts w:ascii="Arial Narrow" w:hAnsi="Arial Narrow" w:cstheme="majorBidi"/>
          <w:b/>
          <w:bCs/>
          <w:sz w:val="24"/>
          <w:szCs w:val="24"/>
        </w:rPr>
      </w:pPr>
      <w:r w:rsidRPr="00683604">
        <w:rPr>
          <w:rFonts w:ascii="Arial Narrow" w:hAnsi="Arial Narrow" w:cstheme="majorBidi"/>
          <w:b/>
          <w:bCs/>
          <w:sz w:val="24"/>
          <w:szCs w:val="24"/>
          <w:lang w:val="en-US"/>
        </w:rPr>
        <w:t>Designing</w:t>
      </w:r>
    </w:p>
    <w:p w:rsidR="00683604" w:rsidRDefault="00683604" w:rsidP="00683604">
      <w:pPr>
        <w:autoSpaceDE w:val="0"/>
        <w:autoSpaceDN w:val="0"/>
        <w:adjustRightInd w:val="0"/>
        <w:spacing w:line="360" w:lineRule="auto"/>
        <w:ind w:firstLine="720"/>
        <w:jc w:val="both"/>
        <w:rPr>
          <w:rFonts w:ascii="Arial Narrow" w:hAnsi="Arial Narrow"/>
          <w:sz w:val="24"/>
          <w:szCs w:val="24"/>
        </w:rPr>
      </w:pPr>
      <w:r w:rsidRPr="00683604">
        <w:rPr>
          <w:rFonts w:ascii="Arial Narrow" w:hAnsi="Arial Narrow"/>
          <w:sz w:val="24"/>
          <w:szCs w:val="24"/>
        </w:rPr>
        <w:t xml:space="preserve">Designing activities in buying and selling transactions carried out by traders in the traditional markets of Bengkulu City can be seen in the patterns created by traders when designing/arranging/displaying their merchandise. How to design/arrange merchandise is a technique where traders prepare goods for display to attract consumers to buy. Based on the results of interviews with subject S1 (rice traders), it is known that the way to arrange merchandise (rice) before starting to sell is to pay attention to the type and quality of rice. Each type of rice is separated into a wooden container/box and arranged to start from </w:t>
      </w:r>
      <w:r w:rsidRPr="00683604">
        <w:rPr>
          <w:rFonts w:ascii="Arial Narrow" w:hAnsi="Arial Narrow"/>
          <w:sz w:val="24"/>
          <w:szCs w:val="24"/>
        </w:rPr>
        <w:lastRenderedPageBreak/>
        <w:t>high-quality rice to low-quality or vice versa. Each is given a price tag to provide accessible service to consumers (buyers).</w:t>
      </w:r>
    </w:p>
    <w:p w:rsidR="00683604" w:rsidRDefault="00683604" w:rsidP="00F65747">
      <w:pPr>
        <w:autoSpaceDE w:val="0"/>
        <w:autoSpaceDN w:val="0"/>
        <w:adjustRightInd w:val="0"/>
        <w:spacing w:line="360" w:lineRule="auto"/>
        <w:jc w:val="center"/>
        <w:rPr>
          <w:rFonts w:ascii="Arial Narrow" w:hAnsi="Arial Narrow" w:cstheme="majorBidi"/>
          <w:sz w:val="24"/>
          <w:szCs w:val="24"/>
        </w:rPr>
      </w:pPr>
      <w:r>
        <w:rPr>
          <w:rFonts w:ascii="Arial Narrow" w:hAnsi="Arial Narrow" w:cstheme="majorBidi"/>
          <w:noProof/>
          <w:sz w:val="24"/>
          <w:szCs w:val="24"/>
        </w:rPr>
        <w:drawing>
          <wp:inline distT="0" distB="0" distL="0" distR="0" wp14:anchorId="673820C3" wp14:editId="6F4DD658">
            <wp:extent cx="2146852" cy="1212362"/>
            <wp:effectExtent l="0" t="0" r="635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54808" cy="1216855"/>
                    </a:xfrm>
                    <a:prstGeom prst="rect">
                      <a:avLst/>
                    </a:prstGeom>
                    <a:noFill/>
                    <a:ln>
                      <a:noFill/>
                    </a:ln>
                  </pic:spPr>
                </pic:pic>
              </a:graphicData>
            </a:graphic>
          </wp:inline>
        </w:drawing>
      </w:r>
    </w:p>
    <w:p w:rsidR="00683604" w:rsidRDefault="00683604" w:rsidP="00683604">
      <w:pPr>
        <w:autoSpaceDE w:val="0"/>
        <w:autoSpaceDN w:val="0"/>
        <w:adjustRightInd w:val="0"/>
        <w:spacing w:line="360" w:lineRule="auto"/>
        <w:jc w:val="both"/>
        <w:rPr>
          <w:rFonts w:ascii="Arial Narrow" w:hAnsi="Arial Narrow"/>
          <w:noProof/>
        </w:rPr>
      </w:pPr>
      <w:r w:rsidRPr="00683604">
        <w:rPr>
          <w:rFonts w:ascii="Arial Narrow" w:hAnsi="Arial Narrow"/>
          <w:sz w:val="24"/>
          <w:szCs w:val="24"/>
        </w:rPr>
        <w:t>Meanwhile, S2 subjects, traders who sell various nuts, have a way of designing/arranging merchandise, namely simply separating the goods based on the type and separating them into containers or mats.</w:t>
      </w:r>
      <w:r>
        <w:rPr>
          <w:rFonts w:ascii="Arial Narrow" w:hAnsi="Arial Narrow"/>
          <w:noProof/>
        </w:rPr>
        <w:t xml:space="preserve"> </w:t>
      </w:r>
    </w:p>
    <w:p w:rsidR="00683604" w:rsidRDefault="00683604" w:rsidP="00F65747">
      <w:pPr>
        <w:autoSpaceDE w:val="0"/>
        <w:autoSpaceDN w:val="0"/>
        <w:adjustRightInd w:val="0"/>
        <w:spacing w:line="360" w:lineRule="auto"/>
        <w:jc w:val="center"/>
        <w:rPr>
          <w:rFonts w:ascii="Arial Narrow" w:hAnsi="Arial Narrow"/>
        </w:rPr>
      </w:pPr>
      <w:r>
        <w:rPr>
          <w:rFonts w:ascii="Arial Narrow" w:hAnsi="Arial Narrow"/>
          <w:noProof/>
        </w:rPr>
        <w:drawing>
          <wp:inline distT="0" distB="0" distL="0" distR="0" wp14:anchorId="3405F2C5" wp14:editId="633F43A2">
            <wp:extent cx="1789044" cy="1120833"/>
            <wp:effectExtent l="0" t="0" r="1905"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3318" cy="1129775"/>
                    </a:xfrm>
                    <a:prstGeom prst="rect">
                      <a:avLst/>
                    </a:prstGeom>
                    <a:noFill/>
                    <a:ln>
                      <a:noFill/>
                    </a:ln>
                  </pic:spPr>
                </pic:pic>
              </a:graphicData>
            </a:graphic>
          </wp:inline>
        </w:drawing>
      </w:r>
    </w:p>
    <w:p w:rsidR="00F65747" w:rsidRPr="00F65747" w:rsidRDefault="00F65747" w:rsidP="00F65747">
      <w:pPr>
        <w:autoSpaceDE w:val="0"/>
        <w:autoSpaceDN w:val="0"/>
        <w:adjustRightInd w:val="0"/>
        <w:spacing w:line="360" w:lineRule="auto"/>
        <w:ind w:firstLine="720"/>
        <w:jc w:val="both"/>
        <w:rPr>
          <w:rFonts w:ascii="Arial Narrow" w:hAnsi="Arial Narrow" w:cstheme="majorBidi"/>
          <w:sz w:val="24"/>
          <w:szCs w:val="36"/>
        </w:rPr>
      </w:pPr>
      <w:r w:rsidRPr="00F65747">
        <w:rPr>
          <w:rFonts w:ascii="Arial Narrow" w:hAnsi="Arial Narrow" w:cstheme="majorBidi"/>
          <w:sz w:val="24"/>
          <w:szCs w:val="36"/>
        </w:rPr>
        <w:t xml:space="preserve">Meanwhile, S3 (egg traders) have a way of presenting/displaying their merchandise by sorting the eggs first and grouping them based on size (large-medium-small), and then each one is arranged in a container and labeled. </w:t>
      </w:r>
      <w:proofErr w:type="gramStart"/>
      <w:r w:rsidRPr="00F65747">
        <w:rPr>
          <w:rFonts w:ascii="Arial Narrow" w:hAnsi="Arial Narrow" w:cstheme="majorBidi"/>
          <w:sz w:val="24"/>
          <w:szCs w:val="36"/>
        </w:rPr>
        <w:t>Price (by order).</w:t>
      </w:r>
      <w:proofErr w:type="gramEnd"/>
      <w:r w:rsidRPr="00F65747">
        <w:rPr>
          <w:rFonts w:ascii="Arial Narrow" w:hAnsi="Arial Narrow" w:cstheme="majorBidi"/>
          <w:sz w:val="24"/>
          <w:szCs w:val="36"/>
        </w:rPr>
        <w:t xml:space="preserve"> As shown in the following image:</w:t>
      </w:r>
    </w:p>
    <w:p w:rsidR="00683604" w:rsidRDefault="00F65747" w:rsidP="00F65747">
      <w:pPr>
        <w:autoSpaceDE w:val="0"/>
        <w:autoSpaceDN w:val="0"/>
        <w:adjustRightInd w:val="0"/>
        <w:spacing w:line="360" w:lineRule="auto"/>
        <w:jc w:val="center"/>
        <w:rPr>
          <w:rFonts w:ascii="Arial Narrow" w:hAnsi="Arial Narrow"/>
        </w:rPr>
      </w:pPr>
      <w:r>
        <w:rPr>
          <w:rFonts w:ascii="Arial Narrow" w:hAnsi="Arial Narrow"/>
          <w:noProof/>
        </w:rPr>
        <w:drawing>
          <wp:inline distT="0" distB="0" distL="0" distR="0">
            <wp:extent cx="2170706" cy="1176698"/>
            <wp:effectExtent l="0" t="0" r="127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7">
                      <a:extLst>
                        <a:ext uri="{28A0092B-C50C-407E-A947-70E740481C1C}">
                          <a14:useLocalDpi xmlns:a14="http://schemas.microsoft.com/office/drawing/2010/main" val="0"/>
                        </a:ext>
                      </a:extLst>
                    </a:blip>
                    <a:srcRect l="22681" r="23121" b="4093"/>
                    <a:stretch/>
                  </pic:blipFill>
                  <pic:spPr bwMode="auto">
                    <a:xfrm>
                      <a:off x="0" y="0"/>
                      <a:ext cx="2178866" cy="1181121"/>
                    </a:xfrm>
                    <a:prstGeom prst="rect">
                      <a:avLst/>
                    </a:prstGeom>
                    <a:noFill/>
                    <a:ln>
                      <a:noFill/>
                    </a:ln>
                    <a:extLst>
                      <a:ext uri="{53640926-AAD7-44D8-BBD7-CCE9431645EC}">
                        <a14:shadowObscured xmlns:a14="http://schemas.microsoft.com/office/drawing/2010/main"/>
                      </a:ext>
                    </a:extLst>
                  </pic:spPr>
                </pic:pic>
              </a:graphicData>
            </a:graphic>
          </wp:inline>
        </w:drawing>
      </w:r>
    </w:p>
    <w:p w:rsidR="00F65747" w:rsidRDefault="00F65747" w:rsidP="00F65747">
      <w:pPr>
        <w:autoSpaceDE w:val="0"/>
        <w:autoSpaceDN w:val="0"/>
        <w:adjustRightInd w:val="0"/>
        <w:spacing w:line="276" w:lineRule="auto"/>
        <w:ind w:firstLine="720"/>
        <w:jc w:val="both"/>
        <w:rPr>
          <w:rFonts w:ascii="Times New Roman" w:hAnsi="Times New Roman"/>
          <w:sz w:val="24"/>
          <w:szCs w:val="24"/>
        </w:rPr>
      </w:pPr>
      <w:r w:rsidRPr="007A125E">
        <w:rPr>
          <w:rFonts w:ascii="Times New Roman" w:hAnsi="Times New Roman"/>
          <w:sz w:val="24"/>
          <w:szCs w:val="24"/>
        </w:rPr>
        <w:t>Likewise, S4 (vegetable trader) presents his merchandise by grouping goods according to type.</w:t>
      </w:r>
    </w:p>
    <w:p w:rsidR="00347A64" w:rsidRPr="00795F9C" w:rsidRDefault="00347A64" w:rsidP="00F65747">
      <w:pPr>
        <w:autoSpaceDE w:val="0"/>
        <w:autoSpaceDN w:val="0"/>
        <w:adjustRightInd w:val="0"/>
        <w:spacing w:line="276" w:lineRule="auto"/>
        <w:ind w:firstLine="720"/>
        <w:jc w:val="both"/>
        <w:rPr>
          <w:rFonts w:asciiTheme="majorBidi" w:hAnsiTheme="majorBidi" w:cstheme="majorBidi"/>
        </w:rPr>
      </w:pPr>
      <w:r>
        <w:rPr>
          <w:rFonts w:asciiTheme="majorBidi" w:hAnsiTheme="majorBidi" w:cstheme="majorBidi"/>
          <w:noProof/>
        </w:rPr>
        <w:lastRenderedPageBreak/>
        <w:drawing>
          <wp:inline distT="0" distB="0" distL="0" distR="0">
            <wp:extent cx="1956021" cy="1359895"/>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28">
                      <a:extLst>
                        <a:ext uri="{28A0092B-C50C-407E-A947-70E740481C1C}">
                          <a14:useLocalDpi xmlns:a14="http://schemas.microsoft.com/office/drawing/2010/main" val="0"/>
                        </a:ext>
                      </a:extLst>
                    </a:blip>
                    <a:srcRect l="19117" r="19117"/>
                    <a:stretch/>
                  </pic:blipFill>
                  <pic:spPr bwMode="auto">
                    <a:xfrm>
                      <a:off x="0" y="0"/>
                      <a:ext cx="1955842" cy="1359770"/>
                    </a:xfrm>
                    <a:prstGeom prst="rect">
                      <a:avLst/>
                    </a:prstGeom>
                    <a:noFill/>
                    <a:ln>
                      <a:noFill/>
                    </a:ln>
                    <a:extLst>
                      <a:ext uri="{53640926-AAD7-44D8-BBD7-CCE9431645EC}">
                        <a14:shadowObscured xmlns:a14="http://schemas.microsoft.com/office/drawing/2010/main"/>
                      </a:ext>
                    </a:extLst>
                  </pic:spPr>
                </pic:pic>
              </a:graphicData>
            </a:graphic>
          </wp:inline>
        </w:drawing>
      </w:r>
    </w:p>
    <w:p w:rsidR="004E1891" w:rsidRDefault="004E1891" w:rsidP="004E1891">
      <w:pPr>
        <w:shd w:val="clear" w:color="auto" w:fill="FFFFFF"/>
        <w:spacing w:line="360" w:lineRule="auto"/>
        <w:ind w:firstLine="720"/>
        <w:jc w:val="both"/>
        <w:rPr>
          <w:rFonts w:ascii="Arial Narrow" w:hAnsi="Arial Narrow"/>
          <w:sz w:val="24"/>
          <w:szCs w:val="24"/>
        </w:rPr>
      </w:pPr>
      <w:r w:rsidRPr="004E1891">
        <w:rPr>
          <w:rFonts w:ascii="Arial Narrow" w:hAnsi="Arial Narrow"/>
          <w:sz w:val="24"/>
          <w:szCs w:val="24"/>
        </w:rPr>
        <w:t>Designing activities are also visible in the form of the trading room. Some are in the form of kiosks and stalls. A kiosk is a trading space in the form of a fixed building and is separated by a dividing wall equipped with a door. Meanwhile, a stall is a trading space that is permanent and open, with a roof without walls, whose use is divided into plots.</w:t>
      </w:r>
    </w:p>
    <w:p w:rsidR="004E1891" w:rsidRPr="004E1891" w:rsidRDefault="004E1891" w:rsidP="004E1891">
      <w:pPr>
        <w:shd w:val="clear" w:color="auto" w:fill="FFFFFF"/>
        <w:spacing w:line="360" w:lineRule="auto"/>
        <w:ind w:firstLine="720"/>
        <w:jc w:val="both"/>
        <w:rPr>
          <w:rFonts w:ascii="Arial Narrow" w:hAnsi="Arial Narrow"/>
          <w:sz w:val="24"/>
          <w:szCs w:val="24"/>
        </w:rPr>
      </w:pPr>
    </w:p>
    <w:p w:rsidR="004E1891" w:rsidRPr="004E1891" w:rsidRDefault="004E1891" w:rsidP="004E1891">
      <w:pPr>
        <w:pStyle w:val="ListParagraph"/>
        <w:numPr>
          <w:ilvl w:val="3"/>
          <w:numId w:val="1"/>
        </w:numPr>
        <w:autoSpaceDE w:val="0"/>
        <w:autoSpaceDN w:val="0"/>
        <w:adjustRightInd w:val="0"/>
        <w:spacing w:after="0" w:line="360" w:lineRule="auto"/>
        <w:ind w:left="426"/>
        <w:rPr>
          <w:rFonts w:ascii="Arial Narrow" w:hAnsi="Arial Narrow" w:cstheme="majorBidi"/>
          <w:b/>
          <w:bCs/>
          <w:sz w:val="24"/>
          <w:szCs w:val="24"/>
        </w:rPr>
      </w:pPr>
      <w:r w:rsidRPr="004E1891">
        <w:rPr>
          <w:rFonts w:ascii="Arial Narrow" w:hAnsi="Arial Narrow" w:cstheme="majorBidi"/>
          <w:b/>
          <w:bCs/>
          <w:sz w:val="24"/>
          <w:szCs w:val="24"/>
          <w:lang w:val="en-US"/>
        </w:rPr>
        <w:t>Playing</w:t>
      </w:r>
    </w:p>
    <w:p w:rsidR="004E1891" w:rsidRPr="004E1891" w:rsidRDefault="004E1891" w:rsidP="004E1891">
      <w:pPr>
        <w:pStyle w:val="ListParagraph"/>
        <w:autoSpaceDE w:val="0"/>
        <w:autoSpaceDN w:val="0"/>
        <w:adjustRightInd w:val="0"/>
        <w:spacing w:after="0" w:line="360" w:lineRule="auto"/>
        <w:ind w:left="72" w:firstLine="720"/>
        <w:jc w:val="both"/>
        <w:rPr>
          <w:rFonts w:ascii="Arial Narrow" w:hAnsi="Arial Narrow"/>
          <w:sz w:val="24"/>
          <w:szCs w:val="24"/>
          <w:lang w:val="en-US"/>
        </w:rPr>
      </w:pPr>
      <w:r w:rsidRPr="004E1891">
        <w:rPr>
          <w:rFonts w:ascii="Arial Narrow" w:hAnsi="Arial Narrow"/>
          <w:sz w:val="24"/>
          <w:szCs w:val="24"/>
        </w:rPr>
        <w:t>Playing activity occurs during the bargaining process between traders and buyers to reach an agreement on price. Based on the interviews with subjects S1, S2, S3, and S4, it is clear that the traders have given the right price, meaning that the traders only take a little profit, considering that the goods sold are basic household necessities. However, many buyers are still trying to haggle over the price. Goods so that you can get a discount to make them cheaper, by way of persuasion or the lure of "being a bestseller" or "will become a customer", but this has become a culture or habit that is accepted by the public, both from the side of traders and buyers.</w:t>
      </w:r>
    </w:p>
    <w:p w:rsidR="004E1891" w:rsidRPr="004E1891" w:rsidRDefault="004E1891" w:rsidP="004E1891">
      <w:pPr>
        <w:pStyle w:val="ListParagraph"/>
        <w:autoSpaceDE w:val="0"/>
        <w:autoSpaceDN w:val="0"/>
        <w:adjustRightInd w:val="0"/>
        <w:spacing w:after="0" w:line="360" w:lineRule="auto"/>
        <w:ind w:left="72" w:firstLine="720"/>
        <w:jc w:val="both"/>
        <w:rPr>
          <w:rFonts w:ascii="Arial Narrow" w:hAnsi="Arial Narrow" w:cstheme="majorBidi"/>
          <w:b/>
          <w:bCs/>
          <w:sz w:val="24"/>
          <w:szCs w:val="24"/>
        </w:rPr>
      </w:pPr>
      <w:r w:rsidRPr="004E1891">
        <w:rPr>
          <w:rFonts w:ascii="Arial Narrow" w:hAnsi="Arial Narrow"/>
          <w:sz w:val="24"/>
          <w:szCs w:val="24"/>
        </w:rPr>
        <w:lastRenderedPageBreak/>
        <w:t>Apart from that, playing activities can also be seen in the use of sales strategies by traders, such as providing polite and pleasant service, providing a "slight advantage" in measurements (scales, etc.), providing lower prices than competitors, and providing discounts if buyers buy goods in large quantities/parties. Apart from the above, subject S1 (rice seller) added a strategy: providing a guarantee for returning/exchanging goods if the rice purchased does not match what the seller described.</w:t>
      </w:r>
    </w:p>
    <w:p w:rsidR="004E1891" w:rsidRPr="004E1891" w:rsidRDefault="004E1891" w:rsidP="004E1891">
      <w:pPr>
        <w:spacing w:line="360" w:lineRule="auto"/>
        <w:ind w:firstLine="720"/>
        <w:jc w:val="both"/>
        <w:rPr>
          <w:rFonts w:ascii="Arial Narrow" w:hAnsi="Arial Narrow" w:cstheme="majorBidi"/>
          <w:bCs/>
          <w:sz w:val="24"/>
          <w:szCs w:val="24"/>
        </w:rPr>
      </w:pPr>
    </w:p>
    <w:p w:rsidR="004E1891" w:rsidRPr="004E1891" w:rsidRDefault="004E1891" w:rsidP="004E1891">
      <w:pPr>
        <w:pStyle w:val="ListParagraph"/>
        <w:numPr>
          <w:ilvl w:val="3"/>
          <w:numId w:val="1"/>
        </w:numPr>
        <w:autoSpaceDE w:val="0"/>
        <w:autoSpaceDN w:val="0"/>
        <w:adjustRightInd w:val="0"/>
        <w:spacing w:after="0" w:line="360" w:lineRule="auto"/>
        <w:ind w:left="426"/>
        <w:rPr>
          <w:rFonts w:ascii="Arial Narrow" w:hAnsi="Arial Narrow" w:cstheme="majorBidi"/>
          <w:b/>
          <w:bCs/>
          <w:sz w:val="24"/>
          <w:szCs w:val="24"/>
        </w:rPr>
      </w:pPr>
      <w:r w:rsidRPr="004E1891">
        <w:rPr>
          <w:rFonts w:ascii="Arial Narrow" w:hAnsi="Arial Narrow" w:cstheme="majorBidi"/>
          <w:b/>
          <w:bCs/>
          <w:sz w:val="24"/>
          <w:szCs w:val="24"/>
          <w:lang w:val="en-US"/>
        </w:rPr>
        <w:t xml:space="preserve">Explaining </w:t>
      </w:r>
    </w:p>
    <w:p w:rsidR="004E1891" w:rsidRPr="004E1891" w:rsidRDefault="004E1891" w:rsidP="004E1891">
      <w:pPr>
        <w:pStyle w:val="ListParagraph"/>
        <w:autoSpaceDE w:val="0"/>
        <w:autoSpaceDN w:val="0"/>
        <w:adjustRightInd w:val="0"/>
        <w:spacing w:after="0" w:line="360" w:lineRule="auto"/>
        <w:ind w:left="72" w:firstLine="720"/>
        <w:jc w:val="both"/>
        <w:rPr>
          <w:rFonts w:ascii="Arial Narrow" w:hAnsi="Arial Narrow" w:cstheme="majorBidi"/>
          <w:b/>
          <w:bCs/>
          <w:sz w:val="24"/>
          <w:szCs w:val="24"/>
        </w:rPr>
      </w:pPr>
      <w:r w:rsidRPr="004E1891">
        <w:rPr>
          <w:rFonts w:ascii="Arial Narrow" w:hAnsi="Arial Narrow"/>
          <w:sz w:val="24"/>
          <w:szCs w:val="24"/>
        </w:rPr>
        <w:t>In traditional markets, buyers are usually served directly by sellers/traders. Explaining activities appear when traders sell goods to buyers. The trader will provide a description/explanation of the goods he sells, relating to the price of the goods, quality/advantages of the goods, size/quantity of the goods, type of goods, characteristics of the goods, similarities/differences between type A and type B goods, as well as showing testimonials from buyers who have ever purchased (for example, there happens to be a customer who has previously purchased).</w:t>
      </w:r>
    </w:p>
    <w:p w:rsidR="004E1891" w:rsidRPr="004E1891" w:rsidRDefault="004E1891" w:rsidP="004E1891">
      <w:pPr>
        <w:pStyle w:val="ListParagraph"/>
        <w:spacing w:after="0" w:line="360" w:lineRule="auto"/>
        <w:ind w:left="72" w:firstLine="720"/>
        <w:jc w:val="both"/>
        <w:rPr>
          <w:rFonts w:ascii="Arial Narrow" w:hAnsi="Arial Narrow" w:cstheme="majorBidi"/>
          <w:bCs/>
          <w:sz w:val="24"/>
          <w:szCs w:val="24"/>
        </w:rPr>
      </w:pPr>
      <w:r w:rsidRPr="004E1891">
        <w:rPr>
          <w:rFonts w:ascii="Arial Narrow" w:hAnsi="Arial Narrow"/>
          <w:sz w:val="24"/>
          <w:szCs w:val="24"/>
        </w:rPr>
        <w:t xml:space="preserve">Based on the results of observations on subject S1, a buyer asked which type of rice produces fragrant and fluffier rice, then the seller explained in detail the quality, grain size </w:t>
      </w:r>
      <w:r w:rsidRPr="004E1891">
        <w:rPr>
          <w:rFonts w:ascii="Arial Narrow" w:hAnsi="Arial Narrow"/>
          <w:sz w:val="24"/>
          <w:szCs w:val="24"/>
        </w:rPr>
        <w:lastRenderedPageBreak/>
        <w:t>and characteristics of each type of rice. Traders recommend feeling the texture of the rice, if the rice feels 'pera' then the rice, when cooked, will produce pera textured rice (a slightly hard rice texture). Meanwhile, fluffier rice itself usually has a grain size that looks shorter and fatter.</w:t>
      </w:r>
    </w:p>
    <w:p w:rsidR="004E1891" w:rsidRPr="004E1891" w:rsidRDefault="004E1891" w:rsidP="004E1891">
      <w:pPr>
        <w:spacing w:line="360" w:lineRule="auto"/>
        <w:ind w:firstLine="720"/>
        <w:jc w:val="both"/>
        <w:rPr>
          <w:rFonts w:ascii="Arial Narrow" w:hAnsi="Arial Narrow" w:cstheme="majorBidi"/>
          <w:sz w:val="24"/>
          <w:szCs w:val="36"/>
          <w:lang w:val="en-GB"/>
        </w:rPr>
      </w:pPr>
      <w:r w:rsidRPr="004E1891">
        <w:rPr>
          <w:rFonts w:ascii="Arial Narrow" w:hAnsi="Arial Narrow" w:cstheme="majorBidi"/>
          <w:sz w:val="24"/>
          <w:szCs w:val="36"/>
          <w:lang w:val="en-GB"/>
        </w:rPr>
        <w:t xml:space="preserve">The mathematical activities found in this study may be influenced by local customs, beliefs, and traditions in Bengkulu City; for example, the methods used by traders when measuring can vary based on the commonly used measurement culture in Bengkulu. These findings indicate a connection between culture and mathematics that occurs in the market. </w:t>
      </w:r>
      <w:proofErr w:type="gramStart"/>
      <w:r w:rsidRPr="004E1891">
        <w:rPr>
          <w:rFonts w:ascii="Arial Narrow" w:hAnsi="Arial Narrow" w:cstheme="majorBidi"/>
          <w:sz w:val="24"/>
          <w:szCs w:val="36"/>
          <w:lang w:val="en-GB"/>
        </w:rPr>
        <w:t>Research</w:t>
      </w:r>
      <w:proofErr w:type="gramEnd"/>
      <w:r w:rsidRPr="004E1891">
        <w:rPr>
          <w:rFonts w:ascii="Arial Narrow" w:hAnsi="Arial Narrow" w:cstheme="majorBidi"/>
          <w:sz w:val="24"/>
          <w:szCs w:val="36"/>
          <w:lang w:val="en-GB"/>
        </w:rPr>
        <w:t xml:space="preserve"> conducted in markets that have different cultures are likely to find different </w:t>
      </w:r>
      <w:proofErr w:type="spellStart"/>
      <w:r w:rsidRPr="004E1891">
        <w:rPr>
          <w:rFonts w:ascii="Arial Narrow" w:hAnsi="Arial Narrow" w:cstheme="majorBidi"/>
          <w:sz w:val="24"/>
          <w:szCs w:val="36"/>
          <w:lang w:val="en-GB"/>
        </w:rPr>
        <w:t>ethnomathematics</w:t>
      </w:r>
      <w:proofErr w:type="spellEnd"/>
      <w:r w:rsidRPr="004E1891">
        <w:rPr>
          <w:rFonts w:ascii="Arial Narrow" w:hAnsi="Arial Narrow" w:cstheme="majorBidi"/>
          <w:sz w:val="24"/>
          <w:szCs w:val="36"/>
          <w:lang w:val="en-GB"/>
        </w:rPr>
        <w:t xml:space="preserve"> activities. It can be seen from previous studies that have explored the mathematical and cultural aspects of buying and selling transactions in traditional markets like </w:t>
      </w:r>
      <w:proofErr w:type="spellStart"/>
      <w:r w:rsidRPr="004E1891">
        <w:rPr>
          <w:rFonts w:ascii="Arial Narrow" w:hAnsi="Arial Narrow" w:cstheme="majorBidi"/>
          <w:sz w:val="24"/>
          <w:szCs w:val="36"/>
          <w:lang w:val="en-GB"/>
        </w:rPr>
        <w:t>Febriyanty</w:t>
      </w:r>
      <w:proofErr w:type="spellEnd"/>
      <w:r w:rsidRPr="004E1891">
        <w:rPr>
          <w:rFonts w:ascii="Arial Narrow" w:hAnsi="Arial Narrow" w:cstheme="majorBidi"/>
          <w:sz w:val="24"/>
          <w:szCs w:val="36"/>
          <w:lang w:val="en-GB"/>
        </w:rPr>
        <w:t xml:space="preserve"> and </w:t>
      </w:r>
      <w:proofErr w:type="spellStart"/>
      <w:r w:rsidRPr="004E1891">
        <w:rPr>
          <w:rFonts w:ascii="Arial Narrow" w:hAnsi="Arial Narrow" w:cstheme="majorBidi"/>
          <w:sz w:val="24"/>
          <w:szCs w:val="36"/>
          <w:lang w:val="en-GB"/>
        </w:rPr>
        <w:t>Nasution</w:t>
      </w:r>
      <w:proofErr w:type="spellEnd"/>
      <w:r w:rsidRPr="004E1891">
        <w:rPr>
          <w:rFonts w:ascii="Arial Narrow" w:hAnsi="Arial Narrow" w:cstheme="majorBidi"/>
          <w:sz w:val="24"/>
          <w:szCs w:val="36"/>
          <w:lang w:val="en-GB"/>
        </w:rPr>
        <w:t xml:space="preserve"> studied </w:t>
      </w:r>
      <w:proofErr w:type="spellStart"/>
      <w:r w:rsidRPr="004E1891">
        <w:rPr>
          <w:rFonts w:ascii="Arial Narrow" w:hAnsi="Arial Narrow" w:cstheme="majorBidi"/>
          <w:sz w:val="24"/>
          <w:szCs w:val="36"/>
          <w:lang w:val="en-GB"/>
        </w:rPr>
        <w:t>ethnomathematics</w:t>
      </w:r>
      <w:proofErr w:type="spellEnd"/>
      <w:r w:rsidRPr="004E1891">
        <w:rPr>
          <w:rFonts w:ascii="Arial Narrow" w:hAnsi="Arial Narrow" w:cstheme="majorBidi"/>
          <w:sz w:val="24"/>
          <w:szCs w:val="36"/>
          <w:lang w:val="en-GB"/>
        </w:rPr>
        <w:t xml:space="preserve"> at a Javanese market </w:t>
      </w:r>
      <w:r w:rsidRPr="004E1891">
        <w:rPr>
          <w:rFonts w:ascii="Arial Narrow" w:hAnsi="Arial Narrow" w:cstheme="majorBidi"/>
          <w:sz w:val="24"/>
          <w:szCs w:val="36"/>
          <w:lang w:val="en-GB"/>
        </w:rPr>
        <w:fldChar w:fldCharType="begin" w:fldLock="1"/>
      </w:r>
      <w:r w:rsidRPr="004E1891">
        <w:rPr>
          <w:rFonts w:ascii="Arial Narrow" w:hAnsi="Arial Narrow" w:cstheme="majorBidi"/>
          <w:sz w:val="24"/>
          <w:szCs w:val="36"/>
          <w:lang w:val="en-GB"/>
        </w:rPr>
        <w:instrText>ADDIN CSL_CITATION {"citationItems":[{"id":"ITEM-1","itemData":{"DOI":"10.29303/jpm.v17i2.3397","ISSN":"1907-1744","abstract":"This study aims to describe the ethnomathematics of traditional Javanese food or snack in terms of geometry topics. We also study the ethnomathematics profit price sales of typical Javanese snacks  for the linear equation systems topic. This research is a qualitative descriptive study. This research was conducted in Medan Sinembah village specified for market snacks. Data were obtained in interviews, observations, and documentation. The results showed that typical Javanese market snacks' mathematical concepts include two-dimensional geometry, three-dimensional geometry, and linear equations. Ethnomathematics activities in typical Javanese market snacks are counting activities, measuring activities, and geometric aspects.","author":[{"dropping-particle":"","family":"Febriyanty","given":"Lola","non-dropping-particle":"","parse-names":false,"suffix":""},{"dropping-particle":"","family":"Nasution","given":"Amanda Syahri","non-dropping-particle":"","parse-names":false,"suffix":""}],"container-title":"Jurnal Pijar Mipa","id":"ITEM-1","issue":"2","issued":{"date-parts":[["2022"]]},"title":"Ethnomathematics at javanese traditional food market","type":"article-journal","volume":"17"},"uris":["http://www.mendeley.com/documents/?uuid=cdbd7cb5-57cb-3219-a156-a6bca2f2b219"]}],"mendeley":{"formattedCitation":"(Febriyanty &amp; Nasution, 2022)","plainTextFormattedCitation":"(Febriyanty &amp; Nasution, 2022)","previouslyFormattedCitation":"(Febriyanty &amp; Nasution, 2022)"},"properties":{"noteIndex":0},"schema":"https://github.com/citation-style-language/schema/raw/master/csl-citation.json"}</w:instrText>
      </w:r>
      <w:r w:rsidRPr="004E1891">
        <w:rPr>
          <w:rFonts w:ascii="Arial Narrow" w:hAnsi="Arial Narrow" w:cstheme="majorBidi"/>
          <w:sz w:val="24"/>
          <w:szCs w:val="36"/>
          <w:lang w:val="en-GB"/>
        </w:rPr>
        <w:fldChar w:fldCharType="separate"/>
      </w:r>
      <w:r w:rsidRPr="004E1891">
        <w:rPr>
          <w:rFonts w:ascii="Arial Narrow" w:hAnsi="Arial Narrow" w:cstheme="majorBidi"/>
          <w:noProof/>
          <w:sz w:val="24"/>
          <w:szCs w:val="36"/>
          <w:lang w:val="en-GB"/>
        </w:rPr>
        <w:t>(Febriyanty &amp; Nasution, 2022)</w:t>
      </w:r>
      <w:r w:rsidRPr="004E1891">
        <w:rPr>
          <w:rFonts w:ascii="Arial Narrow" w:hAnsi="Arial Narrow" w:cstheme="majorBidi"/>
          <w:sz w:val="24"/>
          <w:szCs w:val="36"/>
          <w:lang w:val="en-GB"/>
        </w:rPr>
        <w:fldChar w:fldCharType="end"/>
      </w:r>
      <w:r w:rsidRPr="004E1891">
        <w:rPr>
          <w:rFonts w:ascii="Arial Narrow" w:hAnsi="Arial Narrow" w:cstheme="majorBidi"/>
          <w:sz w:val="24"/>
          <w:szCs w:val="36"/>
          <w:lang w:val="en-GB"/>
        </w:rPr>
        <w:t xml:space="preserve"> and </w:t>
      </w:r>
      <w:proofErr w:type="spellStart"/>
      <w:r w:rsidRPr="004E1891">
        <w:rPr>
          <w:rFonts w:ascii="Arial Narrow" w:hAnsi="Arial Narrow" w:cstheme="majorBidi"/>
          <w:sz w:val="24"/>
          <w:szCs w:val="36"/>
          <w:lang w:val="en-GB"/>
        </w:rPr>
        <w:t>Nurjanah</w:t>
      </w:r>
      <w:proofErr w:type="spellEnd"/>
      <w:r w:rsidRPr="004E1891">
        <w:rPr>
          <w:rFonts w:ascii="Arial Narrow" w:hAnsi="Arial Narrow" w:cstheme="majorBidi"/>
          <w:sz w:val="24"/>
          <w:szCs w:val="36"/>
          <w:lang w:val="en-GB"/>
        </w:rPr>
        <w:t xml:space="preserve">, </w:t>
      </w:r>
      <w:proofErr w:type="spellStart"/>
      <w:r w:rsidRPr="004E1891">
        <w:rPr>
          <w:rFonts w:ascii="Arial Narrow" w:hAnsi="Arial Narrow" w:cstheme="majorBidi"/>
          <w:sz w:val="24"/>
          <w:szCs w:val="36"/>
          <w:lang w:val="en-GB"/>
        </w:rPr>
        <w:t>Mardia</w:t>
      </w:r>
      <w:proofErr w:type="spellEnd"/>
      <w:r w:rsidRPr="004E1891">
        <w:rPr>
          <w:rFonts w:ascii="Arial Narrow" w:hAnsi="Arial Narrow" w:cstheme="majorBidi"/>
          <w:sz w:val="24"/>
          <w:szCs w:val="36"/>
          <w:lang w:val="en-GB"/>
        </w:rPr>
        <w:t xml:space="preserve">, and </w:t>
      </w:r>
      <w:proofErr w:type="spellStart"/>
      <w:r w:rsidRPr="004E1891">
        <w:rPr>
          <w:rFonts w:ascii="Arial Narrow" w:hAnsi="Arial Narrow" w:cstheme="majorBidi"/>
          <w:sz w:val="24"/>
          <w:szCs w:val="36"/>
          <w:lang w:val="en-GB"/>
        </w:rPr>
        <w:t>Turmudi</w:t>
      </w:r>
      <w:proofErr w:type="spellEnd"/>
      <w:r w:rsidRPr="004E1891">
        <w:rPr>
          <w:rFonts w:ascii="Arial Narrow" w:hAnsi="Arial Narrow" w:cstheme="majorBidi"/>
          <w:sz w:val="24"/>
          <w:szCs w:val="36"/>
          <w:lang w:val="en-GB"/>
        </w:rPr>
        <w:t xml:space="preserve"> studied a trading of </w:t>
      </w:r>
      <w:proofErr w:type="spellStart"/>
      <w:r w:rsidRPr="004E1891">
        <w:rPr>
          <w:rFonts w:ascii="Arial Narrow" w:hAnsi="Arial Narrow" w:cstheme="majorBidi"/>
          <w:sz w:val="24"/>
          <w:szCs w:val="36"/>
          <w:lang w:val="en-GB"/>
        </w:rPr>
        <w:t>Minangkabau</w:t>
      </w:r>
      <w:proofErr w:type="spellEnd"/>
      <w:r w:rsidRPr="004E1891">
        <w:rPr>
          <w:rFonts w:ascii="Arial Narrow" w:hAnsi="Arial Narrow" w:cstheme="majorBidi"/>
          <w:sz w:val="24"/>
          <w:szCs w:val="36"/>
          <w:lang w:val="en-GB"/>
        </w:rPr>
        <w:t xml:space="preserve"> tribe </w:t>
      </w:r>
      <w:r w:rsidRPr="004E1891">
        <w:rPr>
          <w:rFonts w:ascii="Arial Narrow" w:hAnsi="Arial Narrow" w:cstheme="majorBidi"/>
          <w:sz w:val="24"/>
          <w:szCs w:val="36"/>
          <w:lang w:val="en-GB"/>
        </w:rPr>
        <w:fldChar w:fldCharType="begin" w:fldLock="1"/>
      </w:r>
      <w:r w:rsidRPr="004E1891">
        <w:rPr>
          <w:rFonts w:ascii="Arial Narrow" w:hAnsi="Arial Narrow" w:cstheme="majorBidi"/>
          <w:sz w:val="24"/>
          <w:szCs w:val="36"/>
          <w:lang w:val="en-GB"/>
        </w:rPr>
        <w:instrText>ADDIN CSL_CITATION {"citationItems":[{"id":"ITEM-1","itemData":{"DOI":"10.1080/17457823.2021.1952636","ISSN":"17457831","abstract":"This research aims to explore the use of ethnomathematics in revealing mathematical representations and in the formulation of a calculation system used in the Marosok trading tradition by the Minangkabau tribe in West Sumatra. Ethnomathematics studies ideas in various cultural activities practiced by ethnic, social, or professional groups. The tradition involves nonverbal communication, such as shaking hands with ‘Marosok’ or touching covered fingers to obtain price agreements in trading livestock. Therefore, this study was conducted using qualitative approaches and the ethnographic method via field notes, unstructured interviews, and documentation studies. The findings showed that mathematical representations of finger symbols and gestures in the Marosok Tradition contain basic numbers. These include half, one, two, two and a half, three, four, five, etc. with functions, such as addition and subtraction, which are used to obtain other numbers needed in livestock trading transactions using specific formulas.","author":[{"dropping-particle":"","family":"Nurjanah","given":"Nurjanah","non-dropping-particle":"","parse-names":false,"suffix":""},{"dropping-particle":"","family":"Mardia","given":"Isra","non-dropping-particle":"","parse-names":false,"suffix":""},{"dropping-particle":"","family":"Turmudi","given":"Turmudi","non-dropping-particle":"","parse-names":false,"suffix":""}],"container-title":"Ethnography and Education","id":"ITEM-1","issue":"4","issued":{"date-parts":[["2021"]]},"title":"Ethnomathematics study of Minangkabau tribe: formulation of mathematical representation in the Marosok traditional trading","type":"article-journal","volume":"16"},"uris":["http://www.mendeley.com/documents/?uuid=738be86b-874c-3192-9111-29d59c9368cf"]}],"mendeley":{"formattedCitation":"(Nurjanah et al., 2021)","plainTextFormattedCitation":"(Nurjanah et al., 2021)","previouslyFormattedCitation":"(Nurjanah et al., 2021)"},"properties":{"noteIndex":0},"schema":"https://github.com/citation-style-language/schema/raw/master/csl-citation.json"}</w:instrText>
      </w:r>
      <w:r w:rsidRPr="004E1891">
        <w:rPr>
          <w:rFonts w:ascii="Arial Narrow" w:hAnsi="Arial Narrow" w:cstheme="majorBidi"/>
          <w:sz w:val="24"/>
          <w:szCs w:val="36"/>
          <w:lang w:val="en-GB"/>
        </w:rPr>
        <w:fldChar w:fldCharType="separate"/>
      </w:r>
      <w:r w:rsidRPr="004E1891">
        <w:rPr>
          <w:rFonts w:ascii="Arial Narrow" w:hAnsi="Arial Narrow" w:cstheme="majorBidi"/>
          <w:noProof/>
          <w:sz w:val="24"/>
          <w:szCs w:val="36"/>
          <w:lang w:val="en-GB"/>
        </w:rPr>
        <w:t>(Nurjanah et al., 2021)</w:t>
      </w:r>
      <w:r w:rsidRPr="004E1891">
        <w:rPr>
          <w:rFonts w:ascii="Arial Narrow" w:hAnsi="Arial Narrow" w:cstheme="majorBidi"/>
          <w:sz w:val="24"/>
          <w:szCs w:val="36"/>
          <w:lang w:val="en-GB"/>
        </w:rPr>
        <w:fldChar w:fldCharType="end"/>
      </w:r>
      <w:r w:rsidRPr="004E1891">
        <w:rPr>
          <w:rFonts w:ascii="Arial Narrow" w:hAnsi="Arial Narrow" w:cstheme="majorBidi"/>
          <w:sz w:val="24"/>
          <w:szCs w:val="36"/>
          <w:lang w:val="en-GB"/>
        </w:rPr>
        <w:t xml:space="preserve">.  Therefore, further research will be very useful to increase the finding of mathematical activities in societies’ daily activities. </w:t>
      </w:r>
    </w:p>
    <w:p w:rsidR="004E1891" w:rsidRDefault="004E1891" w:rsidP="004E1891">
      <w:pPr>
        <w:spacing w:line="360" w:lineRule="auto"/>
        <w:ind w:firstLine="720"/>
        <w:jc w:val="both"/>
        <w:rPr>
          <w:rFonts w:ascii="Arial Narrow" w:hAnsi="Arial Narrow" w:cstheme="majorBidi"/>
          <w:sz w:val="24"/>
          <w:szCs w:val="36"/>
          <w:lang w:val="en-GB"/>
        </w:rPr>
      </w:pPr>
      <w:r w:rsidRPr="004E1891">
        <w:rPr>
          <w:rFonts w:ascii="Arial Narrow" w:hAnsi="Arial Narrow" w:cstheme="majorBidi"/>
          <w:sz w:val="24"/>
          <w:szCs w:val="36"/>
          <w:lang w:val="en-GB"/>
        </w:rPr>
        <w:t xml:space="preserve">The understanding of </w:t>
      </w:r>
      <w:proofErr w:type="spellStart"/>
      <w:r w:rsidRPr="004E1891">
        <w:rPr>
          <w:rFonts w:ascii="Arial Narrow" w:hAnsi="Arial Narrow" w:cstheme="majorBidi"/>
          <w:sz w:val="24"/>
          <w:szCs w:val="36"/>
          <w:lang w:val="en-GB"/>
        </w:rPr>
        <w:t>ethnomathematics</w:t>
      </w:r>
      <w:proofErr w:type="spellEnd"/>
      <w:r w:rsidRPr="004E1891">
        <w:rPr>
          <w:rFonts w:ascii="Arial Narrow" w:hAnsi="Arial Narrow" w:cstheme="majorBidi"/>
          <w:sz w:val="24"/>
          <w:szCs w:val="36"/>
          <w:lang w:val="en-GB"/>
        </w:rPr>
        <w:t xml:space="preserve"> on buying and selling transaction could inform educational practices, potentially integrating </w:t>
      </w:r>
      <w:r w:rsidRPr="004E1891">
        <w:rPr>
          <w:rFonts w:ascii="Arial Narrow" w:hAnsi="Arial Narrow" w:cstheme="majorBidi"/>
          <w:sz w:val="24"/>
          <w:szCs w:val="36"/>
          <w:lang w:val="en-GB"/>
        </w:rPr>
        <w:lastRenderedPageBreak/>
        <w:t xml:space="preserve">these real-life mathematical applications into the teaching curriculum to make mathematics more relevant to students. As a result, the process to encourage students not only learn about mathematical concepts but also cultures will eliminate the distinction between mathematics and culture </w:t>
      </w:r>
      <w:r w:rsidRPr="004E1891">
        <w:rPr>
          <w:rFonts w:ascii="Arial Narrow" w:hAnsi="Arial Narrow" w:cstheme="majorBidi"/>
          <w:sz w:val="24"/>
          <w:szCs w:val="36"/>
          <w:lang w:val="en-GB"/>
        </w:rPr>
        <w:fldChar w:fldCharType="begin" w:fldLock="1"/>
      </w:r>
      <w:r w:rsidRPr="004E1891">
        <w:rPr>
          <w:rFonts w:ascii="Arial Narrow" w:hAnsi="Arial Narrow" w:cstheme="majorBidi"/>
          <w:sz w:val="24"/>
          <w:szCs w:val="36"/>
          <w:lang w:val="en-GB"/>
        </w:rPr>
        <w:instrText>ADDIN CSL_CITATION {"citationItems":[{"id":"ITEM-1","itemData":{"abstract":"This paper considers the field of enquiry called ethnomathematics and its role within mathematics education. We elaborate on the shifted meaning of 'ethnomathematics'. This \"enriched meaning\" impacts on the philosophy of math education. Currently, the concept is no longer reserved for 'nonliterate' people, but also includes diverse mathematical practices within western classrooms. Consequently, maths teachers are challenged to handle people's cultural diversity occurring within every classroom setting. Ethnomathematics has clearly gained a prominent role, within Western curricula, becoming meaningful in the exploration of various aspects of mathematical literacy. We discuss this enriched meaning of ethnomathematics as an alternative, implicit philosophy of school mathematical practices.","author":[{"dropping-particle":"","family":"François","given":"Karen","non-dropping-particle":"","parse-names":false,"suffix":""}],"container-title":"Proceedings of Cerme","id":"ITEM-1","issue":"December","issued":{"date-parts":[["2010"]]},"title":"The Role of Ethnomathematics Within Mathematics Education","type":"article-journal"},"uris":["http://www.mendeley.com/documents/?uuid=a36194c4-22b2-33f0-b88e-35aaebad5d9e"]}],"mendeley":{"formattedCitation":"(François, 2010)","plainTextFormattedCitation":"(François, 2010)","previouslyFormattedCitation":"(François, 2010)"},"properties":{"noteIndex":0},"schema":"https://github.com/citation-style-language/schema/raw/master/csl-citation.json"}</w:instrText>
      </w:r>
      <w:r w:rsidRPr="004E1891">
        <w:rPr>
          <w:rFonts w:ascii="Arial Narrow" w:hAnsi="Arial Narrow" w:cstheme="majorBidi"/>
          <w:sz w:val="24"/>
          <w:szCs w:val="36"/>
          <w:lang w:val="en-GB"/>
        </w:rPr>
        <w:fldChar w:fldCharType="separate"/>
      </w:r>
      <w:r w:rsidRPr="004E1891">
        <w:rPr>
          <w:rFonts w:ascii="Arial Narrow" w:hAnsi="Arial Narrow" w:cstheme="majorBidi"/>
          <w:noProof/>
          <w:sz w:val="24"/>
          <w:szCs w:val="36"/>
          <w:lang w:val="en-GB"/>
        </w:rPr>
        <w:t>(François, 2010)</w:t>
      </w:r>
      <w:r w:rsidRPr="004E1891">
        <w:rPr>
          <w:rFonts w:ascii="Arial Narrow" w:hAnsi="Arial Narrow" w:cstheme="majorBidi"/>
          <w:sz w:val="24"/>
          <w:szCs w:val="36"/>
          <w:lang w:val="en-GB"/>
        </w:rPr>
        <w:fldChar w:fldCharType="end"/>
      </w:r>
      <w:r w:rsidRPr="004E1891">
        <w:rPr>
          <w:rFonts w:ascii="Arial Narrow" w:hAnsi="Arial Narrow" w:cstheme="majorBidi"/>
          <w:sz w:val="24"/>
          <w:szCs w:val="36"/>
          <w:lang w:val="en-GB"/>
        </w:rPr>
        <w:t xml:space="preserve"> </w:t>
      </w:r>
      <w:r w:rsidRPr="004E1891">
        <w:rPr>
          <w:rFonts w:ascii="Arial Narrow" w:hAnsi="Arial Narrow" w:cstheme="majorBidi"/>
          <w:sz w:val="24"/>
          <w:szCs w:val="36"/>
          <w:lang w:val="en-GB"/>
        </w:rPr>
        <w:fldChar w:fldCharType="begin" w:fldLock="1"/>
      </w:r>
      <w:r w:rsidRPr="004E1891">
        <w:rPr>
          <w:rFonts w:ascii="Arial Narrow" w:hAnsi="Arial Narrow" w:cstheme="majorBidi"/>
          <w:sz w:val="24"/>
          <w:szCs w:val="36"/>
          <w:lang w:val="en-GB"/>
        </w:rPr>
        <w:instrText>ADDIN CSL_CITATION {"citationItems":[{"id":"ITEM-1","itemData":{"DOI":"10.6018/red.581221","ISSN":"15787680","abstract":"Creative thinking plays a crucial role in academic success in mathematics, influenced by various factors. However, the combined impact of parental education, ethnic identity, attitude towards mathematics, and creative style on mathematical creative thinkin g within the context of ethnomathematics has not been extensively examined. In this cross-sectional study, we explored these relationships among 896 secondary students randomly chosen from five public and private schools who completed MCT-ethnomathematics based test and questionnaires. The participants had an average age of 13.34 + 1.08 years, with males comprising more than half (53.7%). The results showed that a positive attitude towards mathematics was linked to higher levels of fluency, flexibility, and originality in creative thinking, while a strong ethnic identity was associated with increased flexibility. Although creative style and parental education had a negative correlation with overall creativity, this relationship turned positive when examined across various grade levels. Interestingly, attitude towards mathematics acted as a mediator, influencing the impact of parental educational background on students' creativity. This study contributes to our understanding of the multifaceted nature of mathematical creative thinking, offering insights into enhancing mathematics education in the digital age by recognizing the significance of parental support, ethnic identity, and attitudes in fostering creativity.","author":[{"dropping-particle":"","family":"Suherman","given":"Suherman","non-dropping-particle":"","parse-names":false,"suffix":""},{"dropping-particle":"","family":"Vidákovich","given":"Tibor","non-dropping-particle":"","parse-names":false,"suffix":""}],"container-title":"Revista de Educación a Distancia","id":"ITEM-1","issue":"77","issued":{"date-parts":[["2024"]]},"title":"MathematicalCreative Thinking-Ethnomathematics based Test: Role of Attitude toward Mathematics, Creative Style, Ethnic Identity, and Parents’ Educational Level","type":"article-journal","volume":"24"},"uris":["http://www.mendeley.com/documents/?uuid=577709b0-652b-3a8e-a6a6-cec55c7d9b86"]}],"mendeley":{"formattedCitation":"(Suherman &amp; Vidákovich, 2024)","plainTextFormattedCitation":"(Suherman &amp; Vidákovich, 2024)","previouslyFormattedCitation":"(Suherman &amp; Vidákovich, 2024)"},"properties":{"noteIndex":0},"schema":"https://github.com/citation-style-language/schema/raw/master/csl-citation.json"}</w:instrText>
      </w:r>
      <w:r w:rsidRPr="004E1891">
        <w:rPr>
          <w:rFonts w:ascii="Arial Narrow" w:hAnsi="Arial Narrow" w:cstheme="majorBidi"/>
          <w:sz w:val="24"/>
          <w:szCs w:val="36"/>
          <w:lang w:val="en-GB"/>
        </w:rPr>
        <w:fldChar w:fldCharType="separate"/>
      </w:r>
      <w:r w:rsidRPr="004E1891">
        <w:rPr>
          <w:rFonts w:ascii="Arial Narrow" w:hAnsi="Arial Narrow" w:cstheme="majorBidi"/>
          <w:noProof/>
          <w:sz w:val="24"/>
          <w:szCs w:val="36"/>
          <w:lang w:val="en-GB"/>
        </w:rPr>
        <w:t>(Suherman &amp; Vidákovich, 2024)</w:t>
      </w:r>
      <w:r w:rsidRPr="004E1891">
        <w:rPr>
          <w:rFonts w:ascii="Arial Narrow" w:hAnsi="Arial Narrow" w:cstheme="majorBidi"/>
          <w:sz w:val="24"/>
          <w:szCs w:val="36"/>
          <w:lang w:val="en-GB"/>
        </w:rPr>
        <w:fldChar w:fldCharType="end"/>
      </w:r>
      <w:r w:rsidRPr="004E1891">
        <w:rPr>
          <w:rFonts w:ascii="Arial Narrow" w:hAnsi="Arial Narrow" w:cstheme="majorBidi"/>
          <w:sz w:val="24"/>
          <w:szCs w:val="36"/>
          <w:lang w:val="en-GB"/>
        </w:rPr>
        <w:t xml:space="preserve">. Including </w:t>
      </w:r>
      <w:proofErr w:type="spellStart"/>
      <w:r w:rsidRPr="004E1891">
        <w:rPr>
          <w:rFonts w:ascii="Arial Narrow" w:hAnsi="Arial Narrow" w:cstheme="majorBidi"/>
          <w:sz w:val="24"/>
          <w:szCs w:val="36"/>
          <w:lang w:val="en-GB"/>
        </w:rPr>
        <w:t>Ethnomathematics</w:t>
      </w:r>
      <w:proofErr w:type="spellEnd"/>
      <w:r w:rsidRPr="004E1891">
        <w:rPr>
          <w:rFonts w:ascii="Arial Narrow" w:hAnsi="Arial Narrow" w:cstheme="majorBidi"/>
          <w:sz w:val="24"/>
          <w:szCs w:val="36"/>
          <w:lang w:val="en-GB"/>
        </w:rPr>
        <w:t xml:space="preserve"> into the curriculum can help restore cultural dignity and provide the necessary tools to construct a civilization that rejects inequity, arrogance, and prejudice </w:t>
      </w:r>
      <w:r w:rsidRPr="004E1891">
        <w:rPr>
          <w:rFonts w:ascii="Arial Narrow" w:hAnsi="Arial Narrow" w:cstheme="majorBidi"/>
          <w:sz w:val="24"/>
          <w:szCs w:val="36"/>
          <w:lang w:val="en-GB"/>
        </w:rPr>
        <w:fldChar w:fldCharType="begin" w:fldLock="1"/>
      </w:r>
      <w:r w:rsidRPr="004E1891">
        <w:rPr>
          <w:rFonts w:ascii="Arial Narrow" w:hAnsi="Arial Narrow" w:cstheme="majorBidi"/>
          <w:sz w:val="24"/>
          <w:szCs w:val="36"/>
          <w:lang w:val="en-GB"/>
        </w:rPr>
        <w:instrText>ADDIN CSL_CITATION {"citationItems":[{"id":"ITEM-1","itemData":{"author":[{"dropping-particle":"","family":"D’Ambrosio","given":"U","non-dropping-particle":"","parse-names":false,"suffix":""}],"id":"ITEM-1","issued":{"date-parts":[["2006"]]},"publisher":"University of Pisa","publisher-place":"Pisa","title":"Copenhagen, Preface : Ethnomathematics And Mathematics Education. International Congress of Mathematics Education","type":"book"},"uris":["http://www.mendeley.com/documents/?uuid=fa68afe7-6553-44b0-a951-e5a8e3835034"]}],"mendeley":{"formattedCitation":"(D’Ambrosio, 2006)","plainTextFormattedCitation":"(D’Ambrosio, 2006)","previouslyFormattedCitation":"(D’Ambrosio, 2006)"},"properties":{"noteIndex":0},"schema":"https://github.com/citation-style-language/schema/raw/master/csl-citation.json"}</w:instrText>
      </w:r>
      <w:r w:rsidRPr="004E1891">
        <w:rPr>
          <w:rFonts w:ascii="Arial Narrow" w:hAnsi="Arial Narrow" w:cstheme="majorBidi"/>
          <w:sz w:val="24"/>
          <w:szCs w:val="36"/>
          <w:lang w:val="en-GB"/>
        </w:rPr>
        <w:fldChar w:fldCharType="separate"/>
      </w:r>
      <w:r w:rsidRPr="004E1891">
        <w:rPr>
          <w:rFonts w:ascii="Arial Narrow" w:hAnsi="Arial Narrow" w:cstheme="majorBidi"/>
          <w:noProof/>
          <w:sz w:val="24"/>
          <w:szCs w:val="36"/>
          <w:lang w:val="en-GB"/>
        </w:rPr>
        <w:t>(D’Ambrosio, 2006)</w:t>
      </w:r>
      <w:r w:rsidRPr="004E1891">
        <w:rPr>
          <w:rFonts w:ascii="Arial Narrow" w:hAnsi="Arial Narrow" w:cstheme="majorBidi"/>
          <w:sz w:val="24"/>
          <w:szCs w:val="36"/>
          <w:lang w:val="en-GB"/>
        </w:rPr>
        <w:fldChar w:fldCharType="end"/>
      </w:r>
      <w:r w:rsidRPr="004E1891">
        <w:rPr>
          <w:rFonts w:ascii="Arial Narrow" w:hAnsi="Arial Narrow" w:cstheme="majorBidi"/>
          <w:sz w:val="24"/>
          <w:szCs w:val="36"/>
          <w:lang w:val="en-GB"/>
        </w:rPr>
        <w:t xml:space="preserve">.  </w:t>
      </w:r>
    </w:p>
    <w:p w:rsidR="004E1891" w:rsidRPr="004E1891" w:rsidRDefault="004E1891" w:rsidP="004E1891">
      <w:pPr>
        <w:spacing w:line="360" w:lineRule="auto"/>
        <w:ind w:firstLine="720"/>
        <w:jc w:val="both"/>
        <w:rPr>
          <w:rFonts w:ascii="Arial Narrow" w:hAnsi="Arial Narrow" w:cstheme="majorBidi"/>
          <w:sz w:val="24"/>
          <w:szCs w:val="36"/>
          <w:lang w:val="en-GB"/>
        </w:rPr>
      </w:pPr>
    </w:p>
    <w:p w:rsidR="004E1891" w:rsidRPr="004E1891" w:rsidRDefault="004E1891" w:rsidP="004E1891">
      <w:pPr>
        <w:spacing w:line="360" w:lineRule="auto"/>
        <w:rPr>
          <w:rFonts w:ascii="Arial Narrow" w:hAnsi="Arial Narrow" w:cstheme="majorBidi"/>
          <w:b/>
          <w:bCs/>
          <w:sz w:val="24"/>
          <w:szCs w:val="36"/>
        </w:rPr>
      </w:pPr>
      <w:r w:rsidRPr="004E1891">
        <w:rPr>
          <w:rFonts w:ascii="Arial Narrow" w:hAnsi="Arial Narrow" w:cstheme="majorBidi"/>
          <w:b/>
          <w:bCs/>
          <w:sz w:val="24"/>
          <w:szCs w:val="36"/>
        </w:rPr>
        <w:t>CONCLUSION</w:t>
      </w:r>
    </w:p>
    <w:p w:rsidR="004E1891" w:rsidRPr="004E1891" w:rsidRDefault="004E1891" w:rsidP="004E1891">
      <w:pPr>
        <w:pStyle w:val="E-JournalHeading1"/>
        <w:spacing w:after="0" w:line="360" w:lineRule="auto"/>
        <w:ind w:firstLine="720"/>
        <w:jc w:val="both"/>
        <w:rPr>
          <w:rFonts w:ascii="Arial Narrow" w:hAnsi="Arial Narrow"/>
          <w:b w:val="0"/>
          <w:bCs/>
          <w:lang w:val="id-ID"/>
        </w:rPr>
      </w:pPr>
      <w:r w:rsidRPr="004E1891">
        <w:rPr>
          <w:rFonts w:ascii="Arial Narrow" w:hAnsi="Arial Narrow"/>
          <w:b w:val="0"/>
          <w:bCs/>
          <w:sz w:val="24"/>
          <w:szCs w:val="24"/>
        </w:rPr>
        <w:t xml:space="preserve">The results of this research concluded that there were six mathematical activities, including: (1) Counting when pronouncing basic numbers using the local language (Bengkulu), while counting activities were found to involve arithmetic operations, namely, addition, subtraction, multiplication, and division; (2) Locating in the zoning system by dividing the market into two parts, namely the wet market and the dry market which are allocated separately; (3) Measuring the dosing system, measurement and accuracy, sorting, comparing and estimating based on the quality, type and size of goods; (4) Designing the patterns created by traders when designing/arranging/displaying their merchandise, and the shape of the trading room; (5) Playing in implementing sales </w:t>
      </w:r>
      <w:r w:rsidRPr="004E1891">
        <w:rPr>
          <w:rFonts w:ascii="Arial Narrow" w:hAnsi="Arial Narrow"/>
          <w:b w:val="0"/>
          <w:bCs/>
          <w:sz w:val="24"/>
          <w:szCs w:val="24"/>
        </w:rPr>
        <w:lastRenderedPageBreak/>
        <w:t>strategies; and (6) Explaining the trader's activities when providing a description/explanation of the goods he sells</w:t>
      </w:r>
    </w:p>
    <w:p w:rsidR="004E1891" w:rsidRPr="004E1891" w:rsidRDefault="004E1891" w:rsidP="004E1891">
      <w:pPr>
        <w:shd w:val="clear" w:color="auto" w:fill="FFFFFF"/>
        <w:spacing w:line="360" w:lineRule="auto"/>
        <w:jc w:val="both"/>
        <w:rPr>
          <w:rFonts w:ascii="Arial Narrow" w:hAnsi="Arial Narrow" w:cstheme="majorBidi"/>
          <w:bCs/>
          <w:sz w:val="24"/>
          <w:szCs w:val="24"/>
          <w:lang w:eastAsia="id-ID"/>
        </w:rPr>
      </w:pPr>
    </w:p>
    <w:p w:rsidR="0017751F" w:rsidRDefault="00B96E3E">
      <w:pPr>
        <w:pStyle w:val="Heading2"/>
        <w:spacing w:line="360" w:lineRule="auto"/>
        <w:ind w:left="0"/>
        <w:rPr>
          <w:rFonts w:ascii="Arial Narrow" w:eastAsia="Arial Narrow" w:hAnsi="Arial Narrow" w:cs="Arial Narrow"/>
        </w:rPr>
      </w:pPr>
      <w:r>
        <w:rPr>
          <w:rFonts w:ascii="Arial Narrow" w:eastAsia="Arial Narrow" w:hAnsi="Arial Narrow" w:cs="Arial Narrow"/>
        </w:rPr>
        <w:t>DAFTAR PUSTAKA</w:t>
      </w:r>
    </w:p>
    <w:p w:rsidR="004E1891" w:rsidRPr="004E1891" w:rsidRDefault="004E1891" w:rsidP="004E1891">
      <w:pPr>
        <w:pStyle w:val="E-JournalBody"/>
        <w:spacing w:line="360" w:lineRule="auto"/>
        <w:ind w:firstLine="709"/>
        <w:rPr>
          <w:rFonts w:ascii="Arial Narrow" w:hAnsi="Arial Narrow"/>
          <w:sz w:val="24"/>
        </w:rPr>
      </w:pPr>
    </w:p>
    <w:p w:rsidR="004E1891" w:rsidRPr="004E1891" w:rsidRDefault="004E1891" w:rsidP="004E1891">
      <w:pPr>
        <w:autoSpaceDE w:val="0"/>
        <w:autoSpaceDN w:val="0"/>
        <w:adjustRightInd w:val="0"/>
        <w:spacing w:line="360" w:lineRule="auto"/>
        <w:ind w:left="480" w:hanging="480"/>
        <w:jc w:val="both"/>
        <w:rPr>
          <w:rFonts w:ascii="Arial Narrow" w:hAnsi="Arial Narrow"/>
          <w:noProof/>
          <w:sz w:val="24"/>
          <w:szCs w:val="24"/>
        </w:rPr>
      </w:pPr>
      <w:r w:rsidRPr="004E1891">
        <w:rPr>
          <w:rFonts w:ascii="Arial Narrow" w:hAnsi="Arial Narrow"/>
          <w:sz w:val="24"/>
        </w:rPr>
        <w:fldChar w:fldCharType="begin" w:fldLock="1"/>
      </w:r>
      <w:r w:rsidRPr="004E1891">
        <w:rPr>
          <w:rFonts w:ascii="Arial Narrow" w:hAnsi="Arial Narrow"/>
          <w:sz w:val="24"/>
        </w:rPr>
        <w:instrText xml:space="preserve">ADDIN Mendeley Bibliography CSL_BIBLIOGRAPHY </w:instrText>
      </w:r>
      <w:r w:rsidRPr="004E1891">
        <w:rPr>
          <w:rFonts w:ascii="Arial Narrow" w:hAnsi="Arial Narrow"/>
          <w:sz w:val="24"/>
        </w:rPr>
        <w:fldChar w:fldCharType="separate"/>
      </w:r>
      <w:r w:rsidRPr="004E1891">
        <w:rPr>
          <w:rFonts w:ascii="Arial Narrow" w:hAnsi="Arial Narrow"/>
          <w:noProof/>
          <w:sz w:val="24"/>
          <w:szCs w:val="24"/>
        </w:rPr>
        <w:t>Amirul</w:t>
      </w:r>
      <w:r w:rsidR="00577D55">
        <w:rPr>
          <w:rFonts w:ascii="Arial Narrow" w:hAnsi="Arial Narrow"/>
          <w:noProof/>
          <w:sz w:val="24"/>
          <w:szCs w:val="24"/>
        </w:rPr>
        <w:t xml:space="preserve"> </w:t>
      </w:r>
      <w:r w:rsidRPr="004E1891">
        <w:rPr>
          <w:rFonts w:ascii="Arial Narrow" w:hAnsi="Arial Narrow"/>
          <w:noProof/>
          <w:sz w:val="24"/>
          <w:szCs w:val="24"/>
        </w:rPr>
        <w:t xml:space="preserve">mukminin, A., &amp; Aprianti, K. (2019). Pengembangan Perangkat Pembelajaran Untuk Meningkatkan Kemampuan Estimasi Matematika Ekonomi Melalui Permainan Tradisional Mpa’a Amba. </w:t>
      </w:r>
      <w:r w:rsidRPr="004E1891">
        <w:rPr>
          <w:rFonts w:ascii="Arial Narrow" w:hAnsi="Arial Narrow"/>
          <w:i/>
          <w:iCs/>
          <w:noProof/>
          <w:sz w:val="24"/>
          <w:szCs w:val="24"/>
        </w:rPr>
        <w:t>Kreano, Jurnal Matematika Kreatif-Inovatif</w:t>
      </w:r>
      <w:r w:rsidRPr="004E1891">
        <w:rPr>
          <w:rFonts w:ascii="Arial Narrow" w:hAnsi="Arial Narrow"/>
          <w:noProof/>
          <w:sz w:val="24"/>
          <w:szCs w:val="24"/>
        </w:rPr>
        <w:t xml:space="preserve">, </w:t>
      </w:r>
      <w:r w:rsidRPr="004E1891">
        <w:rPr>
          <w:rFonts w:ascii="Arial Narrow" w:hAnsi="Arial Narrow"/>
          <w:i/>
          <w:iCs/>
          <w:noProof/>
          <w:sz w:val="24"/>
          <w:szCs w:val="24"/>
        </w:rPr>
        <w:t>10</w:t>
      </w:r>
      <w:r w:rsidRPr="004E1891">
        <w:rPr>
          <w:rFonts w:ascii="Arial Narrow" w:hAnsi="Arial Narrow"/>
          <w:noProof/>
          <w:sz w:val="24"/>
          <w:szCs w:val="24"/>
        </w:rPr>
        <w:t>(2). https://doi.org/10.15294/kreano.v10i2.20642</w:t>
      </w:r>
    </w:p>
    <w:p w:rsidR="004E1891" w:rsidRPr="004E1891" w:rsidRDefault="004E1891" w:rsidP="004E1891">
      <w:pPr>
        <w:autoSpaceDE w:val="0"/>
        <w:autoSpaceDN w:val="0"/>
        <w:adjustRightInd w:val="0"/>
        <w:spacing w:line="360" w:lineRule="auto"/>
        <w:ind w:left="480" w:hanging="480"/>
        <w:jc w:val="both"/>
        <w:rPr>
          <w:rFonts w:ascii="Arial Narrow" w:hAnsi="Arial Narrow"/>
          <w:noProof/>
          <w:sz w:val="24"/>
          <w:szCs w:val="24"/>
        </w:rPr>
      </w:pPr>
      <w:r w:rsidRPr="004E1891">
        <w:rPr>
          <w:rFonts w:ascii="Arial Narrow" w:hAnsi="Arial Narrow"/>
          <w:noProof/>
          <w:sz w:val="24"/>
          <w:szCs w:val="24"/>
        </w:rPr>
        <w:t xml:space="preserve">Barrera-Mora, F., Reyes-Rodríguez, A., &amp; Mendoza-Hernández, J. G. (2018). Mental calculation strategies for addition and subtraction developed by middle school students [Estrategias de cálculo mental para sumas y restas desarrolladas por estudiantes de secundaria]. </w:t>
      </w:r>
      <w:r w:rsidRPr="004E1891">
        <w:rPr>
          <w:rFonts w:ascii="Arial Narrow" w:hAnsi="Arial Narrow"/>
          <w:i/>
          <w:iCs/>
          <w:noProof/>
          <w:sz w:val="24"/>
          <w:szCs w:val="24"/>
        </w:rPr>
        <w:t>Educacion Matematica</w:t>
      </w:r>
      <w:r w:rsidRPr="004E1891">
        <w:rPr>
          <w:rFonts w:ascii="Arial Narrow" w:hAnsi="Arial Narrow"/>
          <w:noProof/>
          <w:sz w:val="24"/>
          <w:szCs w:val="24"/>
        </w:rPr>
        <w:t xml:space="preserve">, </w:t>
      </w:r>
      <w:r w:rsidRPr="004E1891">
        <w:rPr>
          <w:rFonts w:ascii="Arial Narrow" w:hAnsi="Arial Narrow"/>
          <w:i/>
          <w:iCs/>
          <w:noProof/>
          <w:sz w:val="24"/>
          <w:szCs w:val="24"/>
        </w:rPr>
        <w:t>30</w:t>
      </w:r>
      <w:r w:rsidRPr="004E1891">
        <w:rPr>
          <w:rFonts w:ascii="Arial Narrow" w:hAnsi="Arial Narrow"/>
          <w:noProof/>
          <w:sz w:val="24"/>
          <w:szCs w:val="24"/>
        </w:rPr>
        <w:t>(3).</w:t>
      </w:r>
    </w:p>
    <w:p w:rsidR="004E1891" w:rsidRPr="004E1891" w:rsidRDefault="004E1891" w:rsidP="004E1891">
      <w:pPr>
        <w:autoSpaceDE w:val="0"/>
        <w:autoSpaceDN w:val="0"/>
        <w:adjustRightInd w:val="0"/>
        <w:spacing w:line="360" w:lineRule="auto"/>
        <w:ind w:left="480" w:hanging="480"/>
        <w:jc w:val="both"/>
        <w:rPr>
          <w:rFonts w:ascii="Arial Narrow" w:hAnsi="Arial Narrow"/>
          <w:noProof/>
          <w:sz w:val="24"/>
          <w:szCs w:val="24"/>
        </w:rPr>
      </w:pPr>
      <w:r w:rsidRPr="004E1891">
        <w:rPr>
          <w:rFonts w:ascii="Arial Narrow" w:hAnsi="Arial Narrow"/>
          <w:noProof/>
          <w:sz w:val="24"/>
          <w:szCs w:val="24"/>
        </w:rPr>
        <w:t xml:space="preserve">Bishop, A. (1994). Cultural Conflicts in Mathematics Education: Developing a Research Agenda. </w:t>
      </w:r>
      <w:r w:rsidRPr="004E1891">
        <w:rPr>
          <w:rFonts w:ascii="Arial Narrow" w:hAnsi="Arial Narrow"/>
          <w:i/>
          <w:iCs/>
          <w:noProof/>
          <w:sz w:val="24"/>
          <w:szCs w:val="24"/>
        </w:rPr>
        <w:t>Learning of Mathematics</w:t>
      </w:r>
      <w:r w:rsidRPr="004E1891">
        <w:rPr>
          <w:rFonts w:ascii="Arial Narrow" w:hAnsi="Arial Narrow"/>
          <w:noProof/>
          <w:sz w:val="24"/>
          <w:szCs w:val="24"/>
        </w:rPr>
        <w:t xml:space="preserve">, </w:t>
      </w:r>
      <w:r w:rsidRPr="004E1891">
        <w:rPr>
          <w:rFonts w:ascii="Arial Narrow" w:hAnsi="Arial Narrow"/>
          <w:i/>
          <w:iCs/>
          <w:noProof/>
          <w:sz w:val="24"/>
          <w:szCs w:val="24"/>
        </w:rPr>
        <w:t>14</w:t>
      </w:r>
      <w:r w:rsidRPr="004E1891">
        <w:rPr>
          <w:rFonts w:ascii="Arial Narrow" w:hAnsi="Arial Narrow"/>
          <w:noProof/>
          <w:sz w:val="24"/>
          <w:szCs w:val="24"/>
        </w:rPr>
        <w:t>(2).</w:t>
      </w:r>
    </w:p>
    <w:p w:rsidR="004E1891" w:rsidRPr="004E1891" w:rsidRDefault="004E1891" w:rsidP="004E1891">
      <w:pPr>
        <w:autoSpaceDE w:val="0"/>
        <w:autoSpaceDN w:val="0"/>
        <w:adjustRightInd w:val="0"/>
        <w:spacing w:line="360" w:lineRule="auto"/>
        <w:ind w:left="480" w:hanging="480"/>
        <w:jc w:val="both"/>
        <w:rPr>
          <w:rFonts w:ascii="Arial Narrow" w:hAnsi="Arial Narrow"/>
          <w:noProof/>
          <w:sz w:val="24"/>
          <w:szCs w:val="24"/>
        </w:rPr>
      </w:pPr>
      <w:r w:rsidRPr="004E1891">
        <w:rPr>
          <w:rFonts w:ascii="Arial Narrow" w:hAnsi="Arial Narrow"/>
          <w:noProof/>
          <w:sz w:val="24"/>
          <w:szCs w:val="24"/>
        </w:rPr>
        <w:t xml:space="preserve">Bishop, A. J. (1988). The Interactions of Mathematics Education with Culture. </w:t>
      </w:r>
      <w:r w:rsidRPr="004E1891">
        <w:rPr>
          <w:rFonts w:ascii="Arial Narrow" w:hAnsi="Arial Narrow"/>
          <w:i/>
          <w:iCs/>
          <w:noProof/>
          <w:sz w:val="24"/>
          <w:szCs w:val="24"/>
        </w:rPr>
        <w:t>Cultural Dynamics</w:t>
      </w:r>
      <w:r w:rsidRPr="004E1891">
        <w:rPr>
          <w:rFonts w:ascii="Arial Narrow" w:hAnsi="Arial Narrow"/>
          <w:noProof/>
          <w:sz w:val="24"/>
          <w:szCs w:val="24"/>
        </w:rPr>
        <w:t xml:space="preserve">, </w:t>
      </w:r>
      <w:r w:rsidRPr="004E1891">
        <w:rPr>
          <w:rFonts w:ascii="Arial Narrow" w:hAnsi="Arial Narrow"/>
          <w:i/>
          <w:iCs/>
          <w:noProof/>
          <w:sz w:val="24"/>
          <w:szCs w:val="24"/>
        </w:rPr>
        <w:t>1</w:t>
      </w:r>
      <w:r w:rsidRPr="004E1891">
        <w:rPr>
          <w:rFonts w:ascii="Arial Narrow" w:hAnsi="Arial Narrow"/>
          <w:noProof/>
          <w:sz w:val="24"/>
          <w:szCs w:val="24"/>
        </w:rPr>
        <w:t>(2). https://doi.org/10.1177/092137408800100202</w:t>
      </w:r>
    </w:p>
    <w:p w:rsidR="004E1891" w:rsidRPr="004E1891" w:rsidRDefault="004E1891" w:rsidP="004E1891">
      <w:pPr>
        <w:autoSpaceDE w:val="0"/>
        <w:autoSpaceDN w:val="0"/>
        <w:adjustRightInd w:val="0"/>
        <w:spacing w:line="360" w:lineRule="auto"/>
        <w:ind w:left="480" w:hanging="480"/>
        <w:jc w:val="both"/>
        <w:rPr>
          <w:rFonts w:ascii="Arial Narrow" w:hAnsi="Arial Narrow"/>
          <w:noProof/>
          <w:sz w:val="24"/>
          <w:szCs w:val="24"/>
        </w:rPr>
      </w:pPr>
      <w:r w:rsidRPr="004E1891">
        <w:rPr>
          <w:rFonts w:ascii="Arial Narrow" w:hAnsi="Arial Narrow"/>
          <w:noProof/>
          <w:sz w:val="24"/>
          <w:szCs w:val="24"/>
        </w:rPr>
        <w:lastRenderedPageBreak/>
        <w:t xml:space="preserve">D’Ambrosio, U. (2006). </w:t>
      </w:r>
      <w:r w:rsidRPr="004E1891">
        <w:rPr>
          <w:rFonts w:ascii="Arial Narrow" w:hAnsi="Arial Narrow"/>
          <w:i/>
          <w:iCs/>
          <w:noProof/>
          <w:sz w:val="24"/>
          <w:szCs w:val="24"/>
        </w:rPr>
        <w:t>Copenhagen, Preface</w:t>
      </w:r>
      <w:r w:rsidRPr="004E1891">
        <w:rPr>
          <w:rFonts w:ascii="Arial" w:hAnsi="Arial" w:cs="Arial"/>
          <w:i/>
          <w:iCs/>
          <w:noProof/>
          <w:sz w:val="24"/>
          <w:szCs w:val="24"/>
        </w:rPr>
        <w:t> </w:t>
      </w:r>
      <w:r w:rsidRPr="004E1891">
        <w:rPr>
          <w:rFonts w:ascii="Arial Narrow" w:hAnsi="Arial Narrow"/>
          <w:i/>
          <w:iCs/>
          <w:noProof/>
          <w:sz w:val="24"/>
          <w:szCs w:val="24"/>
        </w:rPr>
        <w:t>: Ethnomathematics And Mathematics Education. International Congress of Mathematics Education</w:t>
      </w:r>
      <w:r w:rsidRPr="004E1891">
        <w:rPr>
          <w:rFonts w:ascii="Arial Narrow" w:hAnsi="Arial Narrow"/>
          <w:noProof/>
          <w:sz w:val="24"/>
          <w:szCs w:val="24"/>
        </w:rPr>
        <w:t>. University of Pisa.</w:t>
      </w:r>
    </w:p>
    <w:p w:rsidR="004E1891" w:rsidRPr="004E1891" w:rsidRDefault="004E1891" w:rsidP="004E1891">
      <w:pPr>
        <w:autoSpaceDE w:val="0"/>
        <w:autoSpaceDN w:val="0"/>
        <w:adjustRightInd w:val="0"/>
        <w:spacing w:line="360" w:lineRule="auto"/>
        <w:ind w:left="480" w:hanging="480"/>
        <w:jc w:val="both"/>
        <w:rPr>
          <w:rFonts w:ascii="Arial Narrow" w:hAnsi="Arial Narrow"/>
          <w:noProof/>
          <w:sz w:val="24"/>
          <w:szCs w:val="24"/>
        </w:rPr>
      </w:pPr>
      <w:r w:rsidRPr="004E1891">
        <w:rPr>
          <w:rFonts w:ascii="Arial Narrow" w:hAnsi="Arial Narrow"/>
          <w:noProof/>
          <w:sz w:val="24"/>
          <w:szCs w:val="24"/>
        </w:rPr>
        <w:t xml:space="preserve">D’Ambrosio, U. (2020). In My Opinion: What Is Ethnomathematics, and How Can It Help Children in Schools? </w:t>
      </w:r>
      <w:r w:rsidRPr="004E1891">
        <w:rPr>
          <w:rFonts w:ascii="Arial Narrow" w:hAnsi="Arial Narrow"/>
          <w:i/>
          <w:iCs/>
          <w:noProof/>
          <w:sz w:val="24"/>
          <w:szCs w:val="24"/>
        </w:rPr>
        <w:t>Teaching Children Mathematics</w:t>
      </w:r>
      <w:r w:rsidRPr="004E1891">
        <w:rPr>
          <w:rFonts w:ascii="Arial Narrow" w:hAnsi="Arial Narrow"/>
          <w:noProof/>
          <w:sz w:val="24"/>
          <w:szCs w:val="24"/>
        </w:rPr>
        <w:t xml:space="preserve">, </w:t>
      </w:r>
      <w:r w:rsidRPr="004E1891">
        <w:rPr>
          <w:rFonts w:ascii="Arial Narrow" w:hAnsi="Arial Narrow"/>
          <w:i/>
          <w:iCs/>
          <w:noProof/>
          <w:sz w:val="24"/>
          <w:szCs w:val="24"/>
        </w:rPr>
        <w:t>7</w:t>
      </w:r>
      <w:r w:rsidRPr="004E1891">
        <w:rPr>
          <w:rFonts w:ascii="Arial Narrow" w:hAnsi="Arial Narrow"/>
          <w:noProof/>
          <w:sz w:val="24"/>
          <w:szCs w:val="24"/>
        </w:rPr>
        <w:t>(6). https://doi.org/10.5951/tcm.7.6.0308</w:t>
      </w:r>
    </w:p>
    <w:p w:rsidR="004E1891" w:rsidRPr="004E1891" w:rsidRDefault="004E1891" w:rsidP="004E1891">
      <w:pPr>
        <w:autoSpaceDE w:val="0"/>
        <w:autoSpaceDN w:val="0"/>
        <w:adjustRightInd w:val="0"/>
        <w:spacing w:line="360" w:lineRule="auto"/>
        <w:ind w:left="480" w:hanging="480"/>
        <w:jc w:val="both"/>
        <w:rPr>
          <w:rFonts w:ascii="Arial Narrow" w:hAnsi="Arial Narrow"/>
          <w:noProof/>
          <w:sz w:val="24"/>
          <w:szCs w:val="24"/>
        </w:rPr>
      </w:pPr>
      <w:r w:rsidRPr="004E1891">
        <w:rPr>
          <w:rFonts w:ascii="Arial Narrow" w:hAnsi="Arial Narrow"/>
          <w:noProof/>
          <w:sz w:val="24"/>
          <w:szCs w:val="24"/>
        </w:rPr>
        <w:t xml:space="preserve">Febriyanty, L., &amp; Nasution, A. S. (2022). Ethnomathematics at javanese traditional food market. </w:t>
      </w:r>
      <w:r w:rsidRPr="004E1891">
        <w:rPr>
          <w:rFonts w:ascii="Arial Narrow" w:hAnsi="Arial Narrow"/>
          <w:i/>
          <w:iCs/>
          <w:noProof/>
          <w:sz w:val="24"/>
          <w:szCs w:val="24"/>
        </w:rPr>
        <w:t>Jurnal Pijar Mipa</w:t>
      </w:r>
      <w:r w:rsidRPr="004E1891">
        <w:rPr>
          <w:rFonts w:ascii="Arial Narrow" w:hAnsi="Arial Narrow"/>
          <w:noProof/>
          <w:sz w:val="24"/>
          <w:szCs w:val="24"/>
        </w:rPr>
        <w:t xml:space="preserve">, </w:t>
      </w:r>
      <w:r w:rsidRPr="004E1891">
        <w:rPr>
          <w:rFonts w:ascii="Arial Narrow" w:hAnsi="Arial Narrow"/>
          <w:i/>
          <w:iCs/>
          <w:noProof/>
          <w:sz w:val="24"/>
          <w:szCs w:val="24"/>
        </w:rPr>
        <w:t>17</w:t>
      </w:r>
      <w:r w:rsidRPr="004E1891">
        <w:rPr>
          <w:rFonts w:ascii="Arial Narrow" w:hAnsi="Arial Narrow"/>
          <w:noProof/>
          <w:sz w:val="24"/>
          <w:szCs w:val="24"/>
        </w:rPr>
        <w:t>(2). https://doi.org/10.29303/jpm.v17i2.3397</w:t>
      </w:r>
    </w:p>
    <w:p w:rsidR="004E1891" w:rsidRPr="004E1891" w:rsidRDefault="004E1891" w:rsidP="004E1891">
      <w:pPr>
        <w:autoSpaceDE w:val="0"/>
        <w:autoSpaceDN w:val="0"/>
        <w:adjustRightInd w:val="0"/>
        <w:spacing w:line="360" w:lineRule="auto"/>
        <w:ind w:left="480" w:hanging="480"/>
        <w:jc w:val="both"/>
        <w:rPr>
          <w:rFonts w:ascii="Arial Narrow" w:hAnsi="Arial Narrow"/>
          <w:noProof/>
          <w:sz w:val="24"/>
          <w:szCs w:val="24"/>
        </w:rPr>
      </w:pPr>
      <w:r w:rsidRPr="004E1891">
        <w:rPr>
          <w:rFonts w:ascii="Arial Narrow" w:hAnsi="Arial Narrow"/>
          <w:noProof/>
          <w:sz w:val="24"/>
          <w:szCs w:val="24"/>
        </w:rPr>
        <w:t xml:space="preserve">François, K. (2010). The Role of Ethnomathematics Within Mathematics Education. </w:t>
      </w:r>
      <w:r w:rsidRPr="004E1891">
        <w:rPr>
          <w:rFonts w:ascii="Arial Narrow" w:hAnsi="Arial Narrow"/>
          <w:i/>
          <w:iCs/>
          <w:noProof/>
          <w:sz w:val="24"/>
          <w:szCs w:val="24"/>
        </w:rPr>
        <w:t>Proceedings of Cerme</w:t>
      </w:r>
      <w:r w:rsidRPr="004E1891">
        <w:rPr>
          <w:rFonts w:ascii="Arial Narrow" w:hAnsi="Arial Narrow"/>
          <w:noProof/>
          <w:sz w:val="24"/>
          <w:szCs w:val="24"/>
        </w:rPr>
        <w:t xml:space="preserve">, </w:t>
      </w:r>
      <w:r w:rsidRPr="004E1891">
        <w:rPr>
          <w:rFonts w:ascii="Arial Narrow" w:hAnsi="Arial Narrow"/>
          <w:i/>
          <w:iCs/>
          <w:noProof/>
          <w:sz w:val="24"/>
          <w:szCs w:val="24"/>
        </w:rPr>
        <w:t>December</w:t>
      </w:r>
      <w:r w:rsidRPr="004E1891">
        <w:rPr>
          <w:rFonts w:ascii="Arial Narrow" w:hAnsi="Arial Narrow"/>
          <w:noProof/>
          <w:sz w:val="24"/>
          <w:szCs w:val="24"/>
        </w:rPr>
        <w:t>.</w:t>
      </w:r>
    </w:p>
    <w:p w:rsidR="004E1891" w:rsidRPr="004E1891" w:rsidRDefault="004E1891" w:rsidP="004E1891">
      <w:pPr>
        <w:autoSpaceDE w:val="0"/>
        <w:autoSpaceDN w:val="0"/>
        <w:adjustRightInd w:val="0"/>
        <w:spacing w:line="360" w:lineRule="auto"/>
        <w:ind w:left="480" w:hanging="480"/>
        <w:jc w:val="both"/>
        <w:rPr>
          <w:rFonts w:ascii="Arial Narrow" w:hAnsi="Arial Narrow"/>
          <w:noProof/>
          <w:sz w:val="24"/>
          <w:szCs w:val="24"/>
        </w:rPr>
      </w:pPr>
      <w:r w:rsidRPr="004E1891">
        <w:rPr>
          <w:rFonts w:ascii="Arial Narrow" w:hAnsi="Arial Narrow"/>
          <w:noProof/>
          <w:sz w:val="24"/>
          <w:szCs w:val="24"/>
        </w:rPr>
        <w:t xml:space="preserve">Freudenthal, H. (2002). </w:t>
      </w:r>
      <w:r w:rsidRPr="004E1891">
        <w:rPr>
          <w:rFonts w:ascii="Arial Narrow" w:hAnsi="Arial Narrow"/>
          <w:i/>
          <w:iCs/>
          <w:noProof/>
          <w:sz w:val="24"/>
          <w:szCs w:val="24"/>
        </w:rPr>
        <w:t>Revisiting Mathematics Education: China Lectures</w:t>
      </w:r>
      <w:r w:rsidRPr="004E1891">
        <w:rPr>
          <w:rFonts w:ascii="Arial Narrow" w:hAnsi="Arial Narrow"/>
          <w:noProof/>
          <w:sz w:val="24"/>
          <w:szCs w:val="24"/>
        </w:rPr>
        <w:t>. Springer.</w:t>
      </w:r>
    </w:p>
    <w:p w:rsidR="004E1891" w:rsidRPr="004E1891" w:rsidRDefault="004E1891" w:rsidP="004E1891">
      <w:pPr>
        <w:autoSpaceDE w:val="0"/>
        <w:autoSpaceDN w:val="0"/>
        <w:adjustRightInd w:val="0"/>
        <w:spacing w:line="360" w:lineRule="auto"/>
        <w:ind w:left="480" w:hanging="480"/>
        <w:jc w:val="both"/>
        <w:rPr>
          <w:rFonts w:ascii="Arial Narrow" w:hAnsi="Arial Narrow"/>
          <w:noProof/>
          <w:sz w:val="24"/>
          <w:szCs w:val="24"/>
        </w:rPr>
      </w:pPr>
      <w:r w:rsidRPr="004E1891">
        <w:rPr>
          <w:rFonts w:ascii="Arial Narrow" w:hAnsi="Arial Narrow"/>
          <w:noProof/>
          <w:sz w:val="24"/>
          <w:szCs w:val="24"/>
        </w:rPr>
        <w:t xml:space="preserve">Gerdes, P. (1998). On Culture and Mathematics Teacher Education. </w:t>
      </w:r>
      <w:r w:rsidRPr="004E1891">
        <w:rPr>
          <w:rFonts w:ascii="Arial Narrow" w:hAnsi="Arial Narrow"/>
          <w:i/>
          <w:iCs/>
          <w:noProof/>
          <w:sz w:val="24"/>
          <w:szCs w:val="24"/>
        </w:rPr>
        <w:t>Journal of Mathematics Teacher Education</w:t>
      </w:r>
      <w:r w:rsidRPr="004E1891">
        <w:rPr>
          <w:rFonts w:ascii="Arial Narrow" w:hAnsi="Arial Narrow"/>
          <w:noProof/>
          <w:sz w:val="24"/>
          <w:szCs w:val="24"/>
        </w:rPr>
        <w:t xml:space="preserve">, </w:t>
      </w:r>
      <w:r w:rsidRPr="004E1891">
        <w:rPr>
          <w:rFonts w:ascii="Arial Narrow" w:hAnsi="Arial Narrow"/>
          <w:i/>
          <w:iCs/>
          <w:noProof/>
          <w:sz w:val="24"/>
          <w:szCs w:val="24"/>
        </w:rPr>
        <w:t>1</w:t>
      </w:r>
      <w:r w:rsidRPr="004E1891">
        <w:rPr>
          <w:rFonts w:ascii="Arial Narrow" w:hAnsi="Arial Narrow"/>
          <w:noProof/>
          <w:sz w:val="24"/>
          <w:szCs w:val="24"/>
        </w:rPr>
        <w:t>(1).</w:t>
      </w:r>
    </w:p>
    <w:p w:rsidR="004E1891" w:rsidRPr="004E1891" w:rsidRDefault="004E1891" w:rsidP="004E1891">
      <w:pPr>
        <w:autoSpaceDE w:val="0"/>
        <w:autoSpaceDN w:val="0"/>
        <w:adjustRightInd w:val="0"/>
        <w:spacing w:line="360" w:lineRule="auto"/>
        <w:ind w:left="480" w:hanging="480"/>
        <w:jc w:val="both"/>
        <w:rPr>
          <w:rFonts w:ascii="Arial Narrow" w:hAnsi="Arial Narrow"/>
          <w:noProof/>
          <w:sz w:val="24"/>
          <w:szCs w:val="24"/>
        </w:rPr>
      </w:pPr>
      <w:r w:rsidRPr="004E1891">
        <w:rPr>
          <w:rFonts w:ascii="Arial Narrow" w:hAnsi="Arial Narrow"/>
          <w:noProof/>
          <w:sz w:val="24"/>
          <w:szCs w:val="24"/>
        </w:rPr>
        <w:t xml:space="preserve">Harris, M. (1987). An Example of Traditional Women’s Work as a Mathematics Resource. </w:t>
      </w:r>
      <w:r w:rsidRPr="004E1891">
        <w:rPr>
          <w:rFonts w:ascii="Arial Narrow" w:hAnsi="Arial Narrow"/>
          <w:i/>
          <w:iCs/>
          <w:noProof/>
          <w:sz w:val="24"/>
          <w:szCs w:val="24"/>
        </w:rPr>
        <w:t>For the Learning of Mathematics</w:t>
      </w:r>
      <w:r w:rsidRPr="004E1891">
        <w:rPr>
          <w:rFonts w:ascii="Arial Narrow" w:hAnsi="Arial Narrow"/>
          <w:noProof/>
          <w:sz w:val="24"/>
          <w:szCs w:val="24"/>
        </w:rPr>
        <w:t xml:space="preserve">, </w:t>
      </w:r>
      <w:r w:rsidRPr="004E1891">
        <w:rPr>
          <w:rFonts w:ascii="Arial Narrow" w:hAnsi="Arial Narrow"/>
          <w:i/>
          <w:iCs/>
          <w:noProof/>
          <w:sz w:val="24"/>
          <w:szCs w:val="24"/>
        </w:rPr>
        <w:t>7</w:t>
      </w:r>
      <w:r w:rsidRPr="004E1891">
        <w:rPr>
          <w:rFonts w:ascii="Arial Narrow" w:hAnsi="Arial Narrow"/>
          <w:noProof/>
          <w:sz w:val="24"/>
          <w:szCs w:val="24"/>
        </w:rPr>
        <w:t>(3).</w:t>
      </w:r>
    </w:p>
    <w:p w:rsidR="004E1891" w:rsidRPr="004E1891" w:rsidRDefault="004E1891" w:rsidP="004E1891">
      <w:pPr>
        <w:autoSpaceDE w:val="0"/>
        <w:autoSpaceDN w:val="0"/>
        <w:adjustRightInd w:val="0"/>
        <w:spacing w:line="360" w:lineRule="auto"/>
        <w:ind w:left="480" w:hanging="480"/>
        <w:jc w:val="both"/>
        <w:rPr>
          <w:rFonts w:ascii="Arial Narrow" w:hAnsi="Arial Narrow"/>
          <w:noProof/>
          <w:sz w:val="24"/>
          <w:szCs w:val="24"/>
        </w:rPr>
      </w:pPr>
      <w:r w:rsidRPr="004E1891">
        <w:rPr>
          <w:rFonts w:ascii="Arial Narrow" w:hAnsi="Arial Narrow"/>
          <w:noProof/>
          <w:sz w:val="24"/>
          <w:szCs w:val="24"/>
        </w:rPr>
        <w:t xml:space="preserve">Hidayah, R. W., &amp; Sholihah, U. (2023). Analisis Kemampuan Number Sense Siswa Berdasarkan Kemampuan Matematika pada Materi Bilangan. </w:t>
      </w:r>
      <w:r w:rsidRPr="004E1891">
        <w:rPr>
          <w:rFonts w:ascii="Arial Narrow" w:hAnsi="Arial Narrow"/>
          <w:i/>
          <w:iCs/>
          <w:noProof/>
          <w:sz w:val="24"/>
          <w:szCs w:val="24"/>
        </w:rPr>
        <w:t>JNPM (Jurnal Nasional Pendidikan Matematika)</w:t>
      </w:r>
      <w:r w:rsidRPr="004E1891">
        <w:rPr>
          <w:rFonts w:ascii="Arial Narrow" w:hAnsi="Arial Narrow"/>
          <w:noProof/>
          <w:sz w:val="24"/>
          <w:szCs w:val="24"/>
        </w:rPr>
        <w:t xml:space="preserve">, </w:t>
      </w:r>
      <w:r w:rsidRPr="004E1891">
        <w:rPr>
          <w:rFonts w:ascii="Arial Narrow" w:hAnsi="Arial Narrow"/>
          <w:i/>
          <w:iCs/>
          <w:noProof/>
          <w:sz w:val="24"/>
          <w:szCs w:val="24"/>
        </w:rPr>
        <w:t>7</w:t>
      </w:r>
      <w:r w:rsidRPr="004E1891">
        <w:rPr>
          <w:rFonts w:ascii="Arial Narrow" w:hAnsi="Arial Narrow"/>
          <w:noProof/>
          <w:sz w:val="24"/>
          <w:szCs w:val="24"/>
        </w:rPr>
        <w:t xml:space="preserve">(1). </w:t>
      </w:r>
      <w:r w:rsidRPr="004E1891">
        <w:rPr>
          <w:rFonts w:ascii="Arial Narrow" w:hAnsi="Arial Narrow"/>
          <w:noProof/>
          <w:sz w:val="24"/>
          <w:szCs w:val="24"/>
        </w:rPr>
        <w:lastRenderedPageBreak/>
        <w:t>https://doi.org/10.33603/jnpm.v7i1.7417</w:t>
      </w:r>
    </w:p>
    <w:p w:rsidR="004E1891" w:rsidRPr="004E1891" w:rsidRDefault="004E1891" w:rsidP="004E1891">
      <w:pPr>
        <w:autoSpaceDE w:val="0"/>
        <w:autoSpaceDN w:val="0"/>
        <w:adjustRightInd w:val="0"/>
        <w:spacing w:line="360" w:lineRule="auto"/>
        <w:ind w:left="480" w:hanging="480"/>
        <w:jc w:val="both"/>
        <w:rPr>
          <w:rFonts w:ascii="Arial Narrow" w:hAnsi="Arial Narrow"/>
          <w:noProof/>
          <w:sz w:val="24"/>
          <w:szCs w:val="24"/>
        </w:rPr>
      </w:pPr>
      <w:r w:rsidRPr="004E1891">
        <w:rPr>
          <w:rFonts w:ascii="Arial Narrow" w:hAnsi="Arial Narrow"/>
          <w:noProof/>
          <w:sz w:val="24"/>
          <w:szCs w:val="24"/>
        </w:rPr>
        <w:t>Hiebert, J</w:t>
      </w:r>
      <w:r w:rsidRPr="004E1891">
        <w:rPr>
          <w:rFonts w:ascii="Arial" w:hAnsi="Arial" w:cs="Arial"/>
          <w:noProof/>
          <w:sz w:val="24"/>
          <w:szCs w:val="24"/>
        </w:rPr>
        <w:t> </w:t>
      </w:r>
      <w:r w:rsidRPr="004E1891">
        <w:rPr>
          <w:rFonts w:ascii="Arial Narrow" w:hAnsi="Arial Narrow"/>
          <w:noProof/>
          <w:sz w:val="24"/>
          <w:szCs w:val="24"/>
        </w:rPr>
        <w:t xml:space="preserve">; Carpenter, T. (1992). </w:t>
      </w:r>
      <w:r w:rsidRPr="004E1891">
        <w:rPr>
          <w:rFonts w:ascii="Arial Narrow" w:hAnsi="Arial Narrow"/>
          <w:i/>
          <w:iCs/>
          <w:noProof/>
          <w:sz w:val="24"/>
          <w:szCs w:val="24"/>
        </w:rPr>
        <w:t>Learning with understading. In D.G. Grouws (Ed), Handbook of Research on Mathematics Reaching and Learning</w:t>
      </w:r>
      <w:r w:rsidRPr="004E1891">
        <w:rPr>
          <w:rFonts w:ascii="Arial Narrow" w:hAnsi="Arial Narrow"/>
          <w:noProof/>
          <w:sz w:val="24"/>
          <w:szCs w:val="24"/>
        </w:rPr>
        <w:t>. Macmillan.</w:t>
      </w:r>
    </w:p>
    <w:p w:rsidR="004E1891" w:rsidRPr="004E1891" w:rsidRDefault="004E1891" w:rsidP="004E1891">
      <w:pPr>
        <w:autoSpaceDE w:val="0"/>
        <w:autoSpaceDN w:val="0"/>
        <w:adjustRightInd w:val="0"/>
        <w:spacing w:line="360" w:lineRule="auto"/>
        <w:ind w:left="480" w:hanging="480"/>
        <w:jc w:val="both"/>
        <w:rPr>
          <w:rFonts w:ascii="Arial Narrow" w:hAnsi="Arial Narrow"/>
          <w:noProof/>
          <w:sz w:val="24"/>
          <w:szCs w:val="24"/>
        </w:rPr>
      </w:pPr>
      <w:r w:rsidRPr="004E1891">
        <w:rPr>
          <w:rFonts w:ascii="Arial Narrow" w:hAnsi="Arial Narrow"/>
          <w:noProof/>
          <w:sz w:val="24"/>
          <w:szCs w:val="24"/>
        </w:rPr>
        <w:t xml:space="preserve">Kamid, Rohati, Kurniawan, D. A., Perdana, R., Chen, D., &amp; Wulandari, M. (2021). Impact of the Integration of Ethno-mathematics with TPACK framework as a problem-based learning (PBL) model. </w:t>
      </w:r>
      <w:r w:rsidRPr="004E1891">
        <w:rPr>
          <w:rFonts w:ascii="Arial Narrow" w:hAnsi="Arial Narrow"/>
          <w:i/>
          <w:iCs/>
          <w:noProof/>
          <w:sz w:val="24"/>
          <w:szCs w:val="24"/>
        </w:rPr>
        <w:t>Eurasian Journal of Educational Research</w:t>
      </w:r>
      <w:r w:rsidRPr="004E1891">
        <w:rPr>
          <w:rFonts w:ascii="Arial Narrow" w:hAnsi="Arial Narrow"/>
          <w:noProof/>
          <w:sz w:val="24"/>
          <w:szCs w:val="24"/>
        </w:rPr>
        <w:t xml:space="preserve">, </w:t>
      </w:r>
      <w:r w:rsidRPr="004E1891">
        <w:rPr>
          <w:rFonts w:ascii="Arial Narrow" w:hAnsi="Arial Narrow"/>
          <w:i/>
          <w:iCs/>
          <w:noProof/>
          <w:sz w:val="24"/>
          <w:szCs w:val="24"/>
        </w:rPr>
        <w:t>2021</w:t>
      </w:r>
      <w:r w:rsidRPr="004E1891">
        <w:rPr>
          <w:rFonts w:ascii="Arial Narrow" w:hAnsi="Arial Narrow"/>
          <w:noProof/>
          <w:sz w:val="24"/>
          <w:szCs w:val="24"/>
        </w:rPr>
        <w:t>(96). https://doi.org/10.14689/ejer.2021.96.14</w:t>
      </w:r>
    </w:p>
    <w:p w:rsidR="004E1891" w:rsidRPr="004E1891" w:rsidRDefault="004E1891" w:rsidP="004E1891">
      <w:pPr>
        <w:autoSpaceDE w:val="0"/>
        <w:autoSpaceDN w:val="0"/>
        <w:adjustRightInd w:val="0"/>
        <w:spacing w:line="360" w:lineRule="auto"/>
        <w:ind w:left="480" w:hanging="480"/>
        <w:jc w:val="both"/>
        <w:rPr>
          <w:rFonts w:ascii="Arial Narrow" w:hAnsi="Arial Narrow"/>
          <w:noProof/>
          <w:sz w:val="24"/>
          <w:szCs w:val="24"/>
        </w:rPr>
      </w:pPr>
      <w:r w:rsidRPr="004E1891">
        <w:rPr>
          <w:rFonts w:ascii="Arial Narrow" w:hAnsi="Arial Narrow"/>
          <w:noProof/>
          <w:sz w:val="24"/>
          <w:szCs w:val="24"/>
        </w:rPr>
        <w:t xml:space="preserve">Kemendikbud. (2011). </w:t>
      </w:r>
      <w:r w:rsidRPr="004E1891">
        <w:rPr>
          <w:rFonts w:ascii="Arial Narrow" w:hAnsi="Arial Narrow"/>
          <w:i/>
          <w:iCs/>
          <w:noProof/>
          <w:sz w:val="24"/>
          <w:szCs w:val="24"/>
        </w:rPr>
        <w:t>Peran Lembaga Adat</w:t>
      </w:r>
      <w:r w:rsidRPr="004E1891">
        <w:rPr>
          <w:rFonts w:ascii="Arial Narrow" w:hAnsi="Arial Narrow"/>
          <w:noProof/>
          <w:sz w:val="24"/>
          <w:szCs w:val="24"/>
        </w:rPr>
        <w:t>.</w:t>
      </w:r>
    </w:p>
    <w:p w:rsidR="004E1891" w:rsidRPr="004E1891" w:rsidRDefault="004E1891" w:rsidP="004E1891">
      <w:pPr>
        <w:autoSpaceDE w:val="0"/>
        <w:autoSpaceDN w:val="0"/>
        <w:adjustRightInd w:val="0"/>
        <w:spacing w:line="360" w:lineRule="auto"/>
        <w:ind w:left="480" w:hanging="480"/>
        <w:jc w:val="both"/>
        <w:rPr>
          <w:rFonts w:ascii="Arial Narrow" w:hAnsi="Arial Narrow"/>
          <w:noProof/>
          <w:sz w:val="24"/>
          <w:szCs w:val="24"/>
        </w:rPr>
      </w:pPr>
      <w:r w:rsidRPr="004E1891">
        <w:rPr>
          <w:rFonts w:ascii="Arial Narrow" w:hAnsi="Arial Narrow"/>
          <w:noProof/>
          <w:sz w:val="24"/>
          <w:szCs w:val="24"/>
        </w:rPr>
        <w:t xml:space="preserve">Koentjaraningrat. (2015). </w:t>
      </w:r>
      <w:r w:rsidRPr="004E1891">
        <w:rPr>
          <w:rFonts w:ascii="Arial Narrow" w:hAnsi="Arial Narrow"/>
          <w:i/>
          <w:iCs/>
          <w:noProof/>
          <w:sz w:val="24"/>
          <w:szCs w:val="24"/>
        </w:rPr>
        <w:t>Pengantar Ilmu Antropologi</w:t>
      </w:r>
      <w:r w:rsidRPr="004E1891">
        <w:rPr>
          <w:rFonts w:ascii="Arial Narrow" w:hAnsi="Arial Narrow"/>
          <w:noProof/>
          <w:sz w:val="24"/>
          <w:szCs w:val="24"/>
        </w:rPr>
        <w:t>. Rineka Cipta.</w:t>
      </w:r>
    </w:p>
    <w:p w:rsidR="004E1891" w:rsidRPr="004E1891" w:rsidRDefault="004E1891" w:rsidP="004E1891">
      <w:pPr>
        <w:autoSpaceDE w:val="0"/>
        <w:autoSpaceDN w:val="0"/>
        <w:adjustRightInd w:val="0"/>
        <w:spacing w:line="360" w:lineRule="auto"/>
        <w:ind w:left="480" w:hanging="480"/>
        <w:jc w:val="both"/>
        <w:rPr>
          <w:rFonts w:ascii="Arial Narrow" w:hAnsi="Arial Narrow"/>
          <w:noProof/>
          <w:sz w:val="24"/>
          <w:szCs w:val="24"/>
        </w:rPr>
      </w:pPr>
      <w:r w:rsidRPr="004E1891">
        <w:rPr>
          <w:rFonts w:ascii="Arial Narrow" w:hAnsi="Arial Narrow"/>
          <w:noProof/>
          <w:sz w:val="24"/>
          <w:szCs w:val="24"/>
        </w:rPr>
        <w:t xml:space="preserve">Koto, E. A., Samudra, A. A., Zainal, V. R., Sumrahadi, A., Hakim, A., Hariyadi, A. R., &amp; Subagja, I. K. (2021). Relationship of work Motivation and participative Leadership with Functional Employment Behavior of Education and Culture of Bengkulu Province, Indonesia. </w:t>
      </w:r>
      <w:r w:rsidRPr="004E1891">
        <w:rPr>
          <w:rFonts w:ascii="Arial Narrow" w:hAnsi="Arial Narrow"/>
          <w:i/>
          <w:iCs/>
          <w:noProof/>
          <w:sz w:val="24"/>
          <w:szCs w:val="24"/>
        </w:rPr>
        <w:t>International Journal of Business</w:t>
      </w:r>
      <w:r w:rsidRPr="004E1891">
        <w:rPr>
          <w:rFonts w:ascii="Arial Narrow" w:hAnsi="Arial Narrow"/>
          <w:noProof/>
          <w:sz w:val="24"/>
          <w:szCs w:val="24"/>
        </w:rPr>
        <w:t xml:space="preserve">, </w:t>
      </w:r>
      <w:r w:rsidRPr="004E1891">
        <w:rPr>
          <w:rFonts w:ascii="Arial Narrow" w:hAnsi="Arial Narrow"/>
          <w:i/>
          <w:iCs/>
          <w:noProof/>
          <w:sz w:val="24"/>
          <w:szCs w:val="24"/>
        </w:rPr>
        <w:t>5</w:t>
      </w:r>
      <w:r w:rsidRPr="004E1891">
        <w:rPr>
          <w:rFonts w:ascii="Arial Narrow" w:hAnsi="Arial Narrow"/>
          <w:noProof/>
          <w:sz w:val="24"/>
          <w:szCs w:val="24"/>
        </w:rPr>
        <w:t>(9). https://doi.org/10.33642/ijbass.v5n9p1</w:t>
      </w:r>
    </w:p>
    <w:p w:rsidR="004E1891" w:rsidRPr="004E1891" w:rsidRDefault="004E1891" w:rsidP="004E1891">
      <w:pPr>
        <w:autoSpaceDE w:val="0"/>
        <w:autoSpaceDN w:val="0"/>
        <w:adjustRightInd w:val="0"/>
        <w:spacing w:line="360" w:lineRule="auto"/>
        <w:ind w:left="480" w:hanging="480"/>
        <w:jc w:val="both"/>
        <w:rPr>
          <w:rFonts w:ascii="Arial Narrow" w:hAnsi="Arial Narrow"/>
          <w:noProof/>
          <w:sz w:val="24"/>
          <w:szCs w:val="24"/>
        </w:rPr>
      </w:pPr>
      <w:r w:rsidRPr="004E1891">
        <w:rPr>
          <w:rFonts w:ascii="Arial Narrow" w:hAnsi="Arial Narrow"/>
          <w:noProof/>
          <w:sz w:val="24"/>
          <w:szCs w:val="24"/>
        </w:rPr>
        <w:t xml:space="preserve">Kuznetsova, E., Zhbanova, N., &amp; Golovaneva, F. (2021). </w:t>
      </w:r>
      <w:r w:rsidRPr="004E1891">
        <w:rPr>
          <w:rFonts w:ascii="Arial Narrow" w:hAnsi="Arial Narrow"/>
          <w:i/>
          <w:iCs/>
          <w:noProof/>
          <w:sz w:val="24"/>
          <w:szCs w:val="24"/>
        </w:rPr>
        <w:t>The Role Of Mathematics And Its Teaching For Sustainable Development</w:t>
      </w:r>
      <w:r w:rsidRPr="004E1891">
        <w:rPr>
          <w:rFonts w:ascii="Arial Narrow" w:hAnsi="Arial Narrow"/>
          <w:noProof/>
          <w:sz w:val="24"/>
          <w:szCs w:val="24"/>
        </w:rPr>
        <w:t>. https://doi.org/10.15405/epsbs.2021.09.02.24</w:t>
      </w:r>
    </w:p>
    <w:p w:rsidR="004E1891" w:rsidRPr="004E1891" w:rsidRDefault="004E1891" w:rsidP="004E1891">
      <w:pPr>
        <w:autoSpaceDE w:val="0"/>
        <w:autoSpaceDN w:val="0"/>
        <w:adjustRightInd w:val="0"/>
        <w:spacing w:line="360" w:lineRule="auto"/>
        <w:ind w:left="480" w:hanging="480"/>
        <w:jc w:val="both"/>
        <w:rPr>
          <w:rFonts w:ascii="Arial Narrow" w:hAnsi="Arial Narrow"/>
          <w:noProof/>
          <w:sz w:val="24"/>
          <w:szCs w:val="24"/>
        </w:rPr>
      </w:pPr>
      <w:r w:rsidRPr="004E1891">
        <w:rPr>
          <w:rFonts w:ascii="Arial Narrow" w:hAnsi="Arial Narrow"/>
          <w:noProof/>
          <w:sz w:val="24"/>
          <w:szCs w:val="24"/>
        </w:rPr>
        <w:t xml:space="preserve">Nur, A. S., Marlissa, I., Kamariah, K., Palobo, </w:t>
      </w:r>
      <w:r w:rsidRPr="004E1891">
        <w:rPr>
          <w:rFonts w:ascii="Arial Narrow" w:hAnsi="Arial Narrow"/>
          <w:noProof/>
          <w:sz w:val="24"/>
          <w:szCs w:val="24"/>
        </w:rPr>
        <w:lastRenderedPageBreak/>
        <w:t xml:space="preserve">M., &amp; Ramadhani, W. P. (2021). Mathematics education research in Indonesia: A scoping review. </w:t>
      </w:r>
      <w:r w:rsidRPr="004E1891">
        <w:rPr>
          <w:rFonts w:ascii="Arial Narrow" w:hAnsi="Arial Narrow"/>
          <w:i/>
          <w:iCs/>
          <w:noProof/>
          <w:sz w:val="24"/>
          <w:szCs w:val="24"/>
        </w:rPr>
        <w:t>Beta: Jurnal Tadris Matematika</w:t>
      </w:r>
      <w:r w:rsidRPr="004E1891">
        <w:rPr>
          <w:rFonts w:ascii="Arial Narrow" w:hAnsi="Arial Narrow"/>
          <w:noProof/>
          <w:sz w:val="24"/>
          <w:szCs w:val="24"/>
        </w:rPr>
        <w:t xml:space="preserve">, </w:t>
      </w:r>
      <w:r w:rsidRPr="004E1891">
        <w:rPr>
          <w:rFonts w:ascii="Arial Narrow" w:hAnsi="Arial Narrow"/>
          <w:i/>
          <w:iCs/>
          <w:noProof/>
          <w:sz w:val="24"/>
          <w:szCs w:val="24"/>
        </w:rPr>
        <w:t>14</w:t>
      </w:r>
      <w:r w:rsidRPr="004E1891">
        <w:rPr>
          <w:rFonts w:ascii="Arial Narrow" w:hAnsi="Arial Narrow"/>
          <w:noProof/>
          <w:sz w:val="24"/>
          <w:szCs w:val="24"/>
        </w:rPr>
        <w:t>(2). https://doi.org/10.20414/betajtm.v14i2.464</w:t>
      </w:r>
    </w:p>
    <w:p w:rsidR="004E1891" w:rsidRPr="004E1891" w:rsidRDefault="004E1891" w:rsidP="004E1891">
      <w:pPr>
        <w:autoSpaceDE w:val="0"/>
        <w:autoSpaceDN w:val="0"/>
        <w:adjustRightInd w:val="0"/>
        <w:spacing w:line="360" w:lineRule="auto"/>
        <w:ind w:left="480" w:hanging="480"/>
        <w:jc w:val="both"/>
        <w:rPr>
          <w:rFonts w:ascii="Arial Narrow" w:hAnsi="Arial Narrow"/>
          <w:noProof/>
          <w:sz w:val="24"/>
          <w:szCs w:val="24"/>
        </w:rPr>
      </w:pPr>
      <w:r w:rsidRPr="004E1891">
        <w:rPr>
          <w:rFonts w:ascii="Arial Narrow" w:hAnsi="Arial Narrow"/>
          <w:noProof/>
          <w:sz w:val="24"/>
          <w:szCs w:val="24"/>
        </w:rPr>
        <w:t xml:space="preserve">Nurjanah, N., Mardia, I., &amp; Turmudi, T. (2021). Ethnomathematics study of Minangkabau tribe: formulation of mathematical representation in the Marosok traditional trading. </w:t>
      </w:r>
      <w:r w:rsidRPr="004E1891">
        <w:rPr>
          <w:rFonts w:ascii="Arial Narrow" w:hAnsi="Arial Narrow"/>
          <w:i/>
          <w:iCs/>
          <w:noProof/>
          <w:sz w:val="24"/>
          <w:szCs w:val="24"/>
        </w:rPr>
        <w:t>Ethnography and Education</w:t>
      </w:r>
      <w:r w:rsidRPr="004E1891">
        <w:rPr>
          <w:rFonts w:ascii="Arial Narrow" w:hAnsi="Arial Narrow"/>
          <w:noProof/>
          <w:sz w:val="24"/>
          <w:szCs w:val="24"/>
        </w:rPr>
        <w:t xml:space="preserve">, </w:t>
      </w:r>
      <w:r w:rsidRPr="004E1891">
        <w:rPr>
          <w:rFonts w:ascii="Arial Narrow" w:hAnsi="Arial Narrow"/>
          <w:i/>
          <w:iCs/>
          <w:noProof/>
          <w:sz w:val="24"/>
          <w:szCs w:val="24"/>
        </w:rPr>
        <w:t>16</w:t>
      </w:r>
      <w:r w:rsidRPr="004E1891">
        <w:rPr>
          <w:rFonts w:ascii="Arial Narrow" w:hAnsi="Arial Narrow"/>
          <w:noProof/>
          <w:sz w:val="24"/>
          <w:szCs w:val="24"/>
        </w:rPr>
        <w:t>(4). https://doi.org/10.1080/17457823.2021.1952636</w:t>
      </w:r>
    </w:p>
    <w:p w:rsidR="004E1891" w:rsidRPr="004E1891" w:rsidRDefault="004E1891" w:rsidP="004E1891">
      <w:pPr>
        <w:autoSpaceDE w:val="0"/>
        <w:autoSpaceDN w:val="0"/>
        <w:adjustRightInd w:val="0"/>
        <w:spacing w:line="360" w:lineRule="auto"/>
        <w:ind w:left="480" w:hanging="480"/>
        <w:jc w:val="both"/>
        <w:rPr>
          <w:rFonts w:ascii="Arial Narrow" w:hAnsi="Arial Narrow"/>
          <w:noProof/>
          <w:sz w:val="24"/>
          <w:szCs w:val="24"/>
        </w:rPr>
      </w:pPr>
      <w:r w:rsidRPr="004E1891">
        <w:rPr>
          <w:rFonts w:ascii="Arial Narrow" w:hAnsi="Arial Narrow"/>
          <w:noProof/>
          <w:sz w:val="24"/>
          <w:szCs w:val="24"/>
        </w:rPr>
        <w:t xml:space="preserve">Prediger, S. (2004). Intercultural perspectives on mathematics learning - Developing a theoretical framework. </w:t>
      </w:r>
      <w:r w:rsidRPr="004E1891">
        <w:rPr>
          <w:rFonts w:ascii="Arial Narrow" w:hAnsi="Arial Narrow"/>
          <w:i/>
          <w:iCs/>
          <w:noProof/>
          <w:sz w:val="24"/>
          <w:szCs w:val="24"/>
        </w:rPr>
        <w:t>International Journal of Science and Mathematics Education</w:t>
      </w:r>
      <w:r w:rsidRPr="004E1891">
        <w:rPr>
          <w:rFonts w:ascii="Arial Narrow" w:hAnsi="Arial Narrow"/>
          <w:noProof/>
          <w:sz w:val="24"/>
          <w:szCs w:val="24"/>
        </w:rPr>
        <w:t xml:space="preserve">, </w:t>
      </w:r>
      <w:r w:rsidRPr="004E1891">
        <w:rPr>
          <w:rFonts w:ascii="Arial Narrow" w:hAnsi="Arial Narrow"/>
          <w:i/>
          <w:iCs/>
          <w:noProof/>
          <w:sz w:val="24"/>
          <w:szCs w:val="24"/>
        </w:rPr>
        <w:t>2</w:t>
      </w:r>
      <w:r w:rsidRPr="004E1891">
        <w:rPr>
          <w:rFonts w:ascii="Arial Narrow" w:hAnsi="Arial Narrow"/>
          <w:noProof/>
          <w:sz w:val="24"/>
          <w:szCs w:val="24"/>
        </w:rPr>
        <w:t>(3). https://doi.org/10.1007/s10763-004-2685-7</w:t>
      </w:r>
    </w:p>
    <w:p w:rsidR="004E1891" w:rsidRPr="004E1891" w:rsidRDefault="004E1891" w:rsidP="004E1891">
      <w:pPr>
        <w:autoSpaceDE w:val="0"/>
        <w:autoSpaceDN w:val="0"/>
        <w:adjustRightInd w:val="0"/>
        <w:spacing w:line="360" w:lineRule="auto"/>
        <w:ind w:left="480" w:hanging="480"/>
        <w:jc w:val="both"/>
        <w:rPr>
          <w:rFonts w:ascii="Arial Narrow" w:hAnsi="Arial Narrow"/>
          <w:noProof/>
          <w:sz w:val="24"/>
          <w:szCs w:val="24"/>
        </w:rPr>
      </w:pPr>
      <w:r w:rsidRPr="004E1891">
        <w:rPr>
          <w:rFonts w:ascii="Arial Narrow" w:hAnsi="Arial Narrow"/>
          <w:noProof/>
          <w:sz w:val="24"/>
          <w:szCs w:val="24"/>
        </w:rPr>
        <w:t xml:space="preserve">Suherman, S., &amp; Vidákovich, T. (2024). MathematicalCreative Thinking-Ethnomathematics based Test: Role of Attitude toward Mathematics, Creative Style, Ethnic Identity, and Parents’ Educational Level. </w:t>
      </w:r>
      <w:r w:rsidRPr="004E1891">
        <w:rPr>
          <w:rFonts w:ascii="Arial Narrow" w:hAnsi="Arial Narrow"/>
          <w:i/>
          <w:iCs/>
          <w:noProof/>
          <w:sz w:val="24"/>
          <w:szCs w:val="24"/>
        </w:rPr>
        <w:t xml:space="preserve">Revista de Educación a </w:t>
      </w:r>
      <w:r w:rsidRPr="004E1891">
        <w:rPr>
          <w:rFonts w:ascii="Arial Narrow" w:hAnsi="Arial Narrow"/>
          <w:i/>
          <w:iCs/>
          <w:noProof/>
          <w:sz w:val="24"/>
          <w:szCs w:val="24"/>
        </w:rPr>
        <w:lastRenderedPageBreak/>
        <w:t>Distancia</w:t>
      </w:r>
      <w:r w:rsidRPr="004E1891">
        <w:rPr>
          <w:rFonts w:ascii="Arial Narrow" w:hAnsi="Arial Narrow"/>
          <w:noProof/>
          <w:sz w:val="24"/>
          <w:szCs w:val="24"/>
        </w:rPr>
        <w:t xml:space="preserve">, </w:t>
      </w:r>
      <w:r w:rsidRPr="004E1891">
        <w:rPr>
          <w:rFonts w:ascii="Arial Narrow" w:hAnsi="Arial Narrow"/>
          <w:i/>
          <w:iCs/>
          <w:noProof/>
          <w:sz w:val="24"/>
          <w:szCs w:val="24"/>
        </w:rPr>
        <w:t>24</w:t>
      </w:r>
      <w:r w:rsidRPr="004E1891">
        <w:rPr>
          <w:rFonts w:ascii="Arial Narrow" w:hAnsi="Arial Narrow"/>
          <w:noProof/>
          <w:sz w:val="24"/>
          <w:szCs w:val="24"/>
        </w:rPr>
        <w:t>(77). https://doi.org/10.6018/red.581221</w:t>
      </w:r>
    </w:p>
    <w:p w:rsidR="004E1891" w:rsidRPr="004E1891" w:rsidRDefault="004E1891" w:rsidP="004E1891">
      <w:pPr>
        <w:autoSpaceDE w:val="0"/>
        <w:autoSpaceDN w:val="0"/>
        <w:adjustRightInd w:val="0"/>
        <w:spacing w:line="360" w:lineRule="auto"/>
        <w:ind w:left="480" w:hanging="480"/>
        <w:jc w:val="both"/>
        <w:rPr>
          <w:rFonts w:ascii="Arial Narrow" w:hAnsi="Arial Narrow"/>
          <w:noProof/>
          <w:sz w:val="24"/>
          <w:szCs w:val="24"/>
        </w:rPr>
      </w:pPr>
      <w:r w:rsidRPr="004E1891">
        <w:rPr>
          <w:rFonts w:ascii="Arial Narrow" w:hAnsi="Arial Narrow"/>
          <w:noProof/>
          <w:sz w:val="24"/>
          <w:szCs w:val="24"/>
        </w:rPr>
        <w:t xml:space="preserve">Sulasman, &amp; Gumilar, S. (2013). </w:t>
      </w:r>
      <w:r w:rsidRPr="004E1891">
        <w:rPr>
          <w:rFonts w:ascii="Arial Narrow" w:hAnsi="Arial Narrow"/>
          <w:i/>
          <w:iCs/>
          <w:noProof/>
          <w:sz w:val="24"/>
          <w:szCs w:val="24"/>
        </w:rPr>
        <w:t>Teori-teori Kebudayaan: Dari Teori Hingga Aplikasi</w:t>
      </w:r>
      <w:r w:rsidRPr="004E1891">
        <w:rPr>
          <w:rFonts w:ascii="Arial Narrow" w:hAnsi="Arial Narrow"/>
          <w:noProof/>
          <w:sz w:val="24"/>
          <w:szCs w:val="24"/>
        </w:rPr>
        <w:t>. Pustaka Setia.</w:t>
      </w:r>
    </w:p>
    <w:p w:rsidR="004E1891" w:rsidRPr="004E1891" w:rsidRDefault="004E1891" w:rsidP="004E1891">
      <w:pPr>
        <w:autoSpaceDE w:val="0"/>
        <w:autoSpaceDN w:val="0"/>
        <w:adjustRightInd w:val="0"/>
        <w:spacing w:line="360" w:lineRule="auto"/>
        <w:ind w:left="480" w:hanging="480"/>
        <w:jc w:val="both"/>
        <w:rPr>
          <w:rFonts w:ascii="Arial Narrow" w:hAnsi="Arial Narrow"/>
          <w:noProof/>
          <w:sz w:val="24"/>
          <w:szCs w:val="24"/>
        </w:rPr>
      </w:pPr>
      <w:r w:rsidRPr="004E1891">
        <w:rPr>
          <w:rFonts w:ascii="Arial Narrow" w:hAnsi="Arial Narrow"/>
          <w:noProof/>
          <w:sz w:val="24"/>
          <w:szCs w:val="24"/>
        </w:rPr>
        <w:t xml:space="preserve">Sulistio, W., &amp; Qohar, A. (2020). Development of Instructional Media “Game Math Comic Story” Based Android on Number. </w:t>
      </w:r>
      <w:r w:rsidRPr="004E1891">
        <w:rPr>
          <w:rFonts w:ascii="Arial Narrow" w:hAnsi="Arial Narrow"/>
          <w:i/>
          <w:iCs/>
          <w:noProof/>
          <w:sz w:val="24"/>
          <w:szCs w:val="24"/>
        </w:rPr>
        <w:t>Journal of Education Research and Evaluation</w:t>
      </w:r>
      <w:r w:rsidRPr="004E1891">
        <w:rPr>
          <w:rFonts w:ascii="Arial Narrow" w:hAnsi="Arial Narrow"/>
          <w:noProof/>
          <w:sz w:val="24"/>
          <w:szCs w:val="24"/>
        </w:rPr>
        <w:t xml:space="preserve">, </w:t>
      </w:r>
      <w:r w:rsidRPr="004E1891">
        <w:rPr>
          <w:rFonts w:ascii="Arial Narrow" w:hAnsi="Arial Narrow"/>
          <w:i/>
          <w:iCs/>
          <w:noProof/>
          <w:sz w:val="24"/>
          <w:szCs w:val="24"/>
        </w:rPr>
        <w:t>4</w:t>
      </w:r>
      <w:r w:rsidRPr="004E1891">
        <w:rPr>
          <w:rFonts w:ascii="Arial Narrow" w:hAnsi="Arial Narrow"/>
          <w:noProof/>
          <w:sz w:val="24"/>
          <w:szCs w:val="24"/>
        </w:rPr>
        <w:t>(2). https://doi.org/10.23887/jere.v4i2.22370</w:t>
      </w:r>
    </w:p>
    <w:p w:rsidR="004E1891" w:rsidRPr="004E1891" w:rsidRDefault="004E1891" w:rsidP="004E1891">
      <w:pPr>
        <w:autoSpaceDE w:val="0"/>
        <w:autoSpaceDN w:val="0"/>
        <w:adjustRightInd w:val="0"/>
        <w:spacing w:line="360" w:lineRule="auto"/>
        <w:ind w:left="480" w:hanging="480"/>
        <w:jc w:val="both"/>
        <w:rPr>
          <w:rFonts w:ascii="Arial Narrow" w:hAnsi="Arial Narrow"/>
          <w:noProof/>
          <w:sz w:val="24"/>
          <w:szCs w:val="24"/>
        </w:rPr>
      </w:pPr>
      <w:r w:rsidRPr="004E1891">
        <w:rPr>
          <w:rFonts w:ascii="Arial Narrow" w:hAnsi="Arial Narrow"/>
          <w:noProof/>
          <w:sz w:val="24"/>
          <w:szCs w:val="24"/>
        </w:rPr>
        <w:t xml:space="preserve">Supriadi, S. (2020). Pre-service elementary teachers: Analysis of the disposition of mathematical modeling in ethno mathematics learning. </w:t>
      </w:r>
      <w:r w:rsidRPr="004E1891">
        <w:rPr>
          <w:rFonts w:ascii="Arial Narrow" w:hAnsi="Arial Narrow"/>
          <w:i/>
          <w:iCs/>
          <w:noProof/>
          <w:sz w:val="24"/>
          <w:szCs w:val="24"/>
        </w:rPr>
        <w:t>Elementary Education Online</w:t>
      </w:r>
      <w:r w:rsidRPr="004E1891">
        <w:rPr>
          <w:rFonts w:ascii="Arial Narrow" w:hAnsi="Arial Narrow"/>
          <w:noProof/>
          <w:sz w:val="24"/>
          <w:szCs w:val="24"/>
        </w:rPr>
        <w:t xml:space="preserve">, </w:t>
      </w:r>
      <w:r w:rsidRPr="004E1891">
        <w:rPr>
          <w:rFonts w:ascii="Arial Narrow" w:hAnsi="Arial Narrow"/>
          <w:i/>
          <w:iCs/>
          <w:noProof/>
          <w:sz w:val="24"/>
          <w:szCs w:val="24"/>
        </w:rPr>
        <w:t>19</w:t>
      </w:r>
      <w:r w:rsidRPr="004E1891">
        <w:rPr>
          <w:rFonts w:ascii="Arial Narrow" w:hAnsi="Arial Narrow"/>
          <w:noProof/>
          <w:sz w:val="24"/>
          <w:szCs w:val="24"/>
        </w:rPr>
        <w:t>(3). https://doi.org/10.17051/ilkonline.2020.730747</w:t>
      </w:r>
    </w:p>
    <w:p w:rsidR="004E1891" w:rsidRPr="004E1891" w:rsidRDefault="004E1891" w:rsidP="004E1891">
      <w:pPr>
        <w:autoSpaceDE w:val="0"/>
        <w:autoSpaceDN w:val="0"/>
        <w:adjustRightInd w:val="0"/>
        <w:spacing w:line="360" w:lineRule="auto"/>
        <w:ind w:left="480" w:hanging="480"/>
        <w:jc w:val="both"/>
        <w:rPr>
          <w:rFonts w:ascii="Arial Narrow" w:hAnsi="Arial Narrow"/>
          <w:noProof/>
          <w:sz w:val="24"/>
        </w:rPr>
      </w:pPr>
      <w:r w:rsidRPr="004E1891">
        <w:rPr>
          <w:rFonts w:ascii="Arial Narrow" w:hAnsi="Arial Narrow"/>
          <w:noProof/>
          <w:sz w:val="24"/>
          <w:szCs w:val="24"/>
        </w:rPr>
        <w:t xml:space="preserve">Thompson, I. (1999). Mental calculation strategies for addition and subtraction: part 1. </w:t>
      </w:r>
      <w:r w:rsidRPr="004E1891">
        <w:rPr>
          <w:rFonts w:ascii="Arial Narrow" w:hAnsi="Arial Narrow"/>
          <w:i/>
          <w:iCs/>
          <w:noProof/>
          <w:sz w:val="24"/>
          <w:szCs w:val="24"/>
        </w:rPr>
        <w:t>Mathematics in School</w:t>
      </w:r>
      <w:r w:rsidRPr="004E1891">
        <w:rPr>
          <w:rFonts w:ascii="Arial Narrow" w:hAnsi="Arial Narrow"/>
          <w:noProof/>
          <w:sz w:val="24"/>
          <w:szCs w:val="24"/>
        </w:rPr>
        <w:t xml:space="preserve">, </w:t>
      </w:r>
      <w:r w:rsidRPr="004E1891">
        <w:rPr>
          <w:rFonts w:ascii="Arial Narrow" w:hAnsi="Arial Narrow"/>
          <w:i/>
          <w:iCs/>
          <w:noProof/>
          <w:sz w:val="24"/>
          <w:szCs w:val="24"/>
        </w:rPr>
        <w:t>28</w:t>
      </w:r>
      <w:r w:rsidRPr="004E1891">
        <w:rPr>
          <w:rFonts w:ascii="Arial Narrow" w:hAnsi="Arial Narrow"/>
          <w:noProof/>
          <w:sz w:val="24"/>
          <w:szCs w:val="24"/>
        </w:rPr>
        <w:t>(5).</w:t>
      </w:r>
    </w:p>
    <w:p w:rsidR="0017751F" w:rsidRDefault="004E1891" w:rsidP="004E1891">
      <w:pPr>
        <w:spacing w:line="360" w:lineRule="auto"/>
        <w:jc w:val="both"/>
        <w:rPr>
          <w:rFonts w:ascii="Arial Narrow" w:eastAsia="Arial Narrow" w:hAnsi="Arial Narrow" w:cs="Arial Narrow"/>
          <w:color w:val="000000"/>
          <w:sz w:val="24"/>
          <w:szCs w:val="24"/>
        </w:rPr>
      </w:pPr>
      <w:r w:rsidRPr="004E1891">
        <w:rPr>
          <w:rFonts w:ascii="Arial Narrow" w:hAnsi="Arial Narrow"/>
          <w:sz w:val="24"/>
        </w:rPr>
        <w:fldChar w:fldCharType="end"/>
      </w:r>
    </w:p>
    <w:p w:rsidR="0017751F" w:rsidRDefault="0017751F">
      <w:pPr>
        <w:jc w:val="both"/>
        <w:rPr>
          <w:color w:val="000000"/>
          <w:highlight w:val="white"/>
        </w:rPr>
      </w:pPr>
    </w:p>
    <w:p w:rsidR="0017751F" w:rsidRDefault="0017751F">
      <w:pPr>
        <w:spacing w:line="360" w:lineRule="auto"/>
        <w:rPr>
          <w:rFonts w:ascii="Arial Narrow" w:eastAsia="Arial Narrow" w:hAnsi="Arial Narrow" w:cs="Arial Narrow"/>
        </w:rPr>
        <w:sectPr w:rsidR="0017751F">
          <w:type w:val="continuous"/>
          <w:pgSz w:w="11910" w:h="16840"/>
          <w:pgMar w:top="1340" w:right="1320" w:bottom="280" w:left="1340" w:header="2016" w:footer="720" w:gutter="0"/>
          <w:cols w:num="2" w:space="720" w:equalWidth="0">
            <w:col w:w="4265" w:space="720"/>
            <w:col w:w="4265" w:space="0"/>
          </w:cols>
        </w:sectPr>
      </w:pPr>
    </w:p>
    <w:p w:rsidR="0017751F" w:rsidRDefault="0017751F">
      <w:pPr>
        <w:spacing w:line="360" w:lineRule="auto"/>
        <w:ind w:left="360"/>
        <w:rPr>
          <w:rFonts w:ascii="Arial Narrow" w:eastAsia="Arial Narrow" w:hAnsi="Arial Narrow" w:cs="Arial Narrow"/>
        </w:rPr>
      </w:pPr>
    </w:p>
    <w:sectPr w:rsidR="0017751F">
      <w:headerReference w:type="default" r:id="rId29"/>
      <w:type w:val="continuous"/>
      <w:pgSz w:w="11910" w:h="16840"/>
      <w:pgMar w:top="1340" w:right="1320" w:bottom="280" w:left="1340" w:header="720" w:footer="720" w:gutter="0"/>
      <w:cols w:space="720" w:equalWidth="0">
        <w:col w:w="936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11EA" w:rsidRDefault="00B111EA">
      <w:r>
        <w:separator/>
      </w:r>
    </w:p>
  </w:endnote>
  <w:endnote w:type="continuationSeparator" w:id="0">
    <w:p w:rsidR="00B111EA" w:rsidRDefault="00B111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iberation Sans Narrow">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51F" w:rsidRDefault="00B96E3E">
    <w:pPr>
      <w:tabs>
        <w:tab w:val="center" w:pos="4680"/>
        <w:tab w:val="right" w:pos="9360"/>
      </w:tabs>
      <w:rPr>
        <w:rFonts w:ascii="Arial Narrow" w:eastAsia="Arial Narrow" w:hAnsi="Arial Narrow" w:cs="Arial Narrow"/>
      </w:rPr>
    </w:pPr>
    <w:r>
      <w:rPr>
        <w:noProof/>
      </w:rPr>
      <mc:AlternateContent>
        <mc:Choice Requires="wps">
          <w:drawing>
            <wp:anchor distT="0" distB="0" distL="114300" distR="114300" simplePos="0" relativeHeight="251660288" behindDoc="0" locked="0" layoutInCell="1" hidden="0" allowOverlap="1" wp14:anchorId="0C0315C6" wp14:editId="6D670E44">
              <wp:simplePos x="0" y="0"/>
              <wp:positionH relativeFrom="column">
                <wp:posOffset>-401953</wp:posOffset>
              </wp:positionH>
              <wp:positionV relativeFrom="paragraph">
                <wp:posOffset>0</wp:posOffset>
              </wp:positionV>
              <wp:extent cx="512445" cy="441325"/>
              <wp:effectExtent l="0" t="0" r="0" b="0"/>
              <wp:wrapNone/>
              <wp:docPr id="1" name="Flowchart: Alternate Proces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12445" cy="441325"/>
                      </a:xfrm>
                      <a:prstGeom prst="flowChartAlternateProcess">
                        <a:avLst/>
                      </a:prstGeom>
                      <a:noFill/>
                      <a:extLst/>
                    </wps:spPr>
                    <wps:txbx>
                      <w:txbxContent>
                        <w:p w:rsidR="007330F9" w:rsidRPr="00EF4DE4" w:rsidRDefault="00B96E3E" w:rsidP="007330F9">
                          <w:pPr>
                            <w:pBdr>
                              <w:top w:val="single" w:sz="12" w:space="1" w:color="9BBB59" w:themeColor="accent3"/>
                              <w:bottom w:val="single" w:sz="48" w:space="1" w:color="9BBB59" w:themeColor="accent3"/>
                            </w:pBdr>
                            <w:jc w:val="center"/>
                            <w:rPr>
                              <w:rFonts w:ascii="Times New Roman" w:hAnsi="Times New Roman" w:cs="Times New Roman"/>
                              <w:sz w:val="24"/>
                              <w:szCs w:val="24"/>
                            </w:rPr>
                          </w:pPr>
                          <w:r w:rsidRPr="00EF4DE4">
                            <w:rPr>
                              <w:rFonts w:ascii="Times New Roman" w:hAnsi="Times New Roman" w:cs="Times New Roman"/>
                              <w:sz w:val="24"/>
                              <w:szCs w:val="24"/>
                            </w:rPr>
                            <w:fldChar w:fldCharType="begin"/>
                          </w:r>
                          <w:r w:rsidRPr="00EF4DE4">
                            <w:rPr>
                              <w:rFonts w:ascii="Times New Roman" w:hAnsi="Times New Roman" w:cs="Times New Roman"/>
                              <w:sz w:val="24"/>
                              <w:szCs w:val="24"/>
                            </w:rPr>
                            <w:instrText xml:space="preserve"> PAGE    \* MERGEFORMAT </w:instrText>
                          </w:r>
                          <w:r w:rsidRPr="00EF4DE4">
                            <w:rPr>
                              <w:rFonts w:ascii="Times New Roman" w:hAnsi="Times New Roman" w:cs="Times New Roman"/>
                              <w:sz w:val="24"/>
                              <w:szCs w:val="24"/>
                            </w:rPr>
                            <w:fldChar w:fldCharType="separate"/>
                          </w:r>
                          <w:r w:rsidR="00577D55">
                            <w:rPr>
                              <w:rFonts w:ascii="Times New Roman" w:hAnsi="Times New Roman" w:cs="Times New Roman"/>
                              <w:noProof/>
                              <w:sz w:val="24"/>
                              <w:szCs w:val="24"/>
                            </w:rPr>
                            <w:t>1</w:t>
                          </w:r>
                          <w:r w:rsidRPr="00EF4DE4">
                            <w:rPr>
                              <w:rFonts w:ascii="Times New Roman" w:hAnsi="Times New Roman" w:cs="Times New Roman"/>
                              <w:noProof/>
                              <w:sz w:val="24"/>
                              <w:szCs w:val="24"/>
                            </w:rPr>
                            <w:fldChar w:fldCharType="end"/>
                          </w:r>
                        </w:p>
                      </w:txbxContent>
                    </wps:txbx>
                    <wps:bodyPr rot="0" vert="horz" wrap="square" lIns="91440" tIns="45720" rIns="91440" bIns="45720" anchor="t" anchorCtr="0" upright="1">
                      <a:noAutofit/>
                    </wps:bodyPr>
                  </wps:wsp>
                </a:graphicData>
              </a:graphic>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 o:spid="_x0000_s1027" type="#_x0000_t176" style="position:absolute;margin-left:-31.65pt;margin-top:0;width:40.35pt;height:34.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" filled="f" stroked="f">
              <v:textbox>
                <w:txbxContent>
                  <w:p w:rsidR="007330F9" w:rsidRPr="00EF4DE4" w:rsidRDefault="00B96E3E" w:rsidP="007330F9">
                    <w:pPr>
                      <w:pBdr>
                        <w:top w:val="single" w:sz="12" w:space="1" w:color="9BBB59" w:themeColor="accent3"/>
                        <w:bottom w:val="single" w:sz="48" w:space="1" w:color="9BBB59" w:themeColor="accent3"/>
                      </w:pBdr>
                      <w:jc w:val="center"/>
                      <w:rPr>
                        <w:rFonts w:ascii="Times New Roman" w:hAnsi="Times New Roman" w:cs="Times New Roman"/>
                        <w:sz w:val="24"/>
                        <w:szCs w:val="24"/>
                      </w:rPr>
                    </w:pPr>
                    <w:r w:rsidRPr="00EF4DE4">
                      <w:rPr>
                        <w:rFonts w:ascii="Times New Roman" w:hAnsi="Times New Roman" w:cs="Times New Roman"/>
                        <w:sz w:val="24"/>
                        <w:szCs w:val="24"/>
                      </w:rPr>
                      <w:fldChar w:fldCharType="begin"/>
                    </w:r>
                    <w:r w:rsidRPr="00EF4DE4">
                      <w:rPr>
                        <w:rFonts w:ascii="Times New Roman" w:hAnsi="Times New Roman" w:cs="Times New Roman"/>
                        <w:sz w:val="24"/>
                        <w:szCs w:val="24"/>
                      </w:rPr>
                      <w:instrText xml:space="preserve"> PAGE    \* MERGEFORMAT </w:instrText>
                    </w:r>
                    <w:r w:rsidRPr="00EF4DE4">
                      <w:rPr>
                        <w:rFonts w:ascii="Times New Roman" w:hAnsi="Times New Roman" w:cs="Times New Roman"/>
                        <w:sz w:val="24"/>
                        <w:szCs w:val="24"/>
                      </w:rPr>
                      <w:fldChar w:fldCharType="separate"/>
                    </w:r>
                    <w:r w:rsidR="00577D55">
                      <w:rPr>
                        <w:rFonts w:ascii="Times New Roman" w:hAnsi="Times New Roman" w:cs="Times New Roman"/>
                        <w:noProof/>
                        <w:sz w:val="24"/>
                        <w:szCs w:val="24"/>
                      </w:rPr>
                      <w:t>1</w:t>
                    </w:r>
                    <w:r w:rsidRPr="00EF4DE4">
                      <w:rPr>
                        <w:rFonts w:ascii="Times New Roman" w:hAnsi="Times New Roman" w:cs="Times New Roman"/>
                        <w:noProof/>
                        <w:sz w:val="24"/>
                        <w:szCs w:val="24"/>
                      </w:rPr>
                      <w:fldChar w:fldCharType="end"/>
                    </w:r>
                  </w:p>
                </w:txbxContent>
              </v:textbox>
            </v:shape>
          </w:pict>
        </mc:Fallback>
      </mc:AlternateContent>
    </w:r>
    <w:proofErr w:type="spellStart"/>
    <w:r w:rsidR="00556442">
      <w:rPr>
        <w:rFonts w:ascii="Arial Narrow" w:eastAsia="Arial Narrow" w:hAnsi="Arial Narrow" w:cs="Arial Narrow"/>
      </w:rPr>
      <w:t>Betti</w:t>
    </w:r>
    <w:proofErr w:type="spellEnd"/>
    <w:r w:rsidR="00556442">
      <w:rPr>
        <w:rFonts w:ascii="Arial Narrow" w:eastAsia="Arial Narrow" w:hAnsi="Arial Narrow" w:cs="Arial Narrow"/>
      </w:rPr>
      <w:t xml:space="preserve"> Dian </w:t>
    </w:r>
    <w:proofErr w:type="spellStart"/>
    <w:r w:rsidR="00556442">
      <w:rPr>
        <w:rFonts w:ascii="Arial Narrow" w:eastAsia="Arial Narrow" w:hAnsi="Arial Narrow" w:cs="Arial Narrow"/>
      </w:rPr>
      <w:t>Wahyuni</w:t>
    </w:r>
    <w:proofErr w:type="spellEnd"/>
    <w:r w:rsidR="00556442">
      <w:rPr>
        <w:rFonts w:ascii="Arial Narrow" w:eastAsia="Arial Narrow" w:hAnsi="Arial Narrow" w:cs="Arial Narrow"/>
      </w:rPr>
      <w:t xml:space="preserve">, </w:t>
    </w:r>
    <w:proofErr w:type="spellStart"/>
    <w:r w:rsidR="00556442">
      <w:rPr>
        <w:rFonts w:ascii="Arial Narrow" w:eastAsia="Arial Narrow" w:hAnsi="Arial Narrow" w:cs="Arial Narrow"/>
      </w:rPr>
      <w:t>Mela</w:t>
    </w:r>
    <w:proofErr w:type="spellEnd"/>
    <w:r w:rsidR="00556442">
      <w:rPr>
        <w:rFonts w:ascii="Arial Narrow" w:eastAsia="Arial Narrow" w:hAnsi="Arial Narrow" w:cs="Arial Narrow"/>
      </w:rPr>
      <w:t xml:space="preserve"> Aziza</w:t>
    </w:r>
  </w:p>
  <w:p w:rsidR="0017751F" w:rsidRDefault="00556442">
    <w:pPr>
      <w:tabs>
        <w:tab w:val="center" w:pos="4680"/>
        <w:tab w:val="right" w:pos="9360"/>
      </w:tabs>
      <w:rPr>
        <w:rFonts w:ascii="Arial Narrow" w:eastAsia="Arial Narrow" w:hAnsi="Arial Narrow" w:cs="Arial Narrow"/>
      </w:rPr>
    </w:pPr>
    <w:proofErr w:type="spellStart"/>
    <w:r>
      <w:rPr>
        <w:rFonts w:ascii="Arial Narrow" w:eastAsia="Arial Narrow" w:hAnsi="Arial Narrow" w:cs="Arial Narrow"/>
      </w:rPr>
      <w:t>Ethnomathematics</w:t>
    </w:r>
    <w:proofErr w:type="spellEnd"/>
    <w:r>
      <w:rPr>
        <w:rFonts w:ascii="Arial Narrow" w:eastAsia="Arial Narrow" w:hAnsi="Arial Narrow" w:cs="Arial Narrow"/>
      </w:rPr>
      <w:t xml:space="preserve"> on Buying…</w:t>
    </w:r>
  </w:p>
  <w:p w:rsidR="0017751F" w:rsidRDefault="0017751F">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11EA" w:rsidRDefault="00B111EA">
      <w:r>
        <w:separator/>
      </w:r>
    </w:p>
  </w:footnote>
  <w:footnote w:type="continuationSeparator" w:id="0">
    <w:p w:rsidR="00B111EA" w:rsidRDefault="00B111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51F" w:rsidRDefault="00B96E3E">
    <w:pPr>
      <w:tabs>
        <w:tab w:val="center" w:pos="4680"/>
        <w:tab w:val="right" w:pos="9360"/>
      </w:tabs>
    </w:pPr>
    <w:r>
      <w:rPr>
        <w:noProof/>
      </w:rPr>
      <w:drawing>
        <wp:anchor distT="0" distB="0" distL="0" distR="0" simplePos="0" relativeHeight="251658240" behindDoc="1" locked="0" layoutInCell="1" hidden="0" allowOverlap="1">
          <wp:simplePos x="0" y="0"/>
          <wp:positionH relativeFrom="page">
            <wp:posOffset>843914</wp:posOffset>
          </wp:positionH>
          <wp:positionV relativeFrom="page">
            <wp:posOffset>434340</wp:posOffset>
          </wp:positionV>
          <wp:extent cx="5838825" cy="933450"/>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b="18104"/>
                  <a:stretch>
                    <a:fillRect/>
                  </a:stretch>
                </pic:blipFill>
                <pic:spPr>
                  <a:xfrm>
                    <a:off x="0" y="0"/>
                    <a:ext cx="5838825" cy="933450"/>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simplePos x="0" y="0"/>
              <wp:positionH relativeFrom="column">
                <wp:posOffset>1019810</wp:posOffset>
              </wp:positionH>
              <wp:positionV relativeFrom="paragraph">
                <wp:posOffset>-9523</wp:posOffset>
              </wp:positionV>
              <wp:extent cx="5095875" cy="27178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875" cy="271780"/>
                      </a:xfrm>
                      <a:prstGeom prst="rect">
                        <a:avLst/>
                      </a:prstGeom>
                      <a:noFill/>
                      <a:ln>
                        <a:noFill/>
                      </a:ln>
                    </wps:spPr>
                    <wps:txbx>
                      <w:txbxContent>
                        <w:p w:rsidR="007330F9" w:rsidRPr="00C47583" w:rsidRDefault="00BF4225" w:rsidP="007330F9">
                          <w:pPr>
                            <w:jc w:val="center"/>
                            <w:rPr>
                              <w:b/>
                              <w:sz w:val="20"/>
                            </w:rPr>
                          </w:pPr>
                          <w:r>
                            <w:rPr>
                              <w:b/>
                              <w:sz w:val="20"/>
                            </w:rPr>
                            <w:t xml:space="preserve">Volume … </w:t>
                          </w:r>
                          <w:proofErr w:type="spellStart"/>
                          <w:r>
                            <w:rPr>
                              <w:b/>
                              <w:sz w:val="20"/>
                            </w:rPr>
                            <w:t>Nomor</w:t>
                          </w:r>
                          <w:proofErr w:type="spellEnd"/>
                          <w:r>
                            <w:rPr>
                              <w:b/>
                              <w:sz w:val="20"/>
                            </w:rPr>
                            <w:t xml:space="preserve"> .., </w:t>
                          </w:r>
                          <w:proofErr w:type="spellStart"/>
                          <w:r>
                            <w:rPr>
                              <w:b/>
                              <w:sz w:val="20"/>
                            </w:rPr>
                            <w:t>Maret</w:t>
                          </w:r>
                          <w:proofErr w:type="spellEnd"/>
                          <w:r>
                            <w:rPr>
                              <w:b/>
                              <w:sz w:val="20"/>
                            </w:rPr>
                            <w:t xml:space="preserve"> 20..</w:t>
                          </w:r>
                          <w:r w:rsidR="00B96E3E" w:rsidRPr="00C47583">
                            <w:rPr>
                              <w:b/>
                              <w:sz w:val="20"/>
                            </w:rPr>
                            <w:t>, ISSN 2599-3291 (</w:t>
                          </w:r>
                          <w:proofErr w:type="spellStart"/>
                          <w:r w:rsidR="00B96E3E" w:rsidRPr="00C47583">
                            <w:rPr>
                              <w:b/>
                              <w:sz w:val="20"/>
                            </w:rPr>
                            <w:t>Cetak</w:t>
                          </w:r>
                          <w:proofErr w:type="spellEnd"/>
                          <w:r w:rsidR="00B96E3E" w:rsidRPr="00C47583">
                            <w:rPr>
                              <w:b/>
                              <w:sz w:val="20"/>
                            </w:rPr>
                            <w:t>), ISSN 2614-</w:t>
                          </w:r>
                          <w:proofErr w:type="gramStart"/>
                          <w:r w:rsidR="00B96E3E" w:rsidRPr="00C47583">
                            <w:rPr>
                              <w:b/>
                              <w:sz w:val="20"/>
                            </w:rPr>
                            <w:t>3933  (</w:t>
                          </w:r>
                          <w:proofErr w:type="gramEnd"/>
                          <w:r w:rsidR="00B96E3E" w:rsidRPr="00C47583">
                            <w:rPr>
                              <w:b/>
                              <w:sz w:val="20"/>
                            </w:rPr>
                            <w:t>Online)</w:t>
                          </w:r>
                        </w:p>
                        <w:p w:rsidR="007330F9" w:rsidRPr="00C47583" w:rsidRDefault="00B111EA" w:rsidP="007330F9">
                          <w:pPr>
                            <w:rPr>
                              <w:sz w:val="20"/>
                            </w:rPr>
                          </w:pPr>
                        </w:p>
                      </w:txbxContent>
                    </wps:txbx>
                    <wps:bodyPr rot="0" vert="horz" wrap="square" lIns="91440" tIns="45720" rIns="91440" bIns="4572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0.3pt;margin-top:-.75pt;width:401.25pt;height:21.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" filled="f" stroked="f">
              <v:textbox>
                <w:txbxContent>
                  <w:p w:rsidR="007330F9" w:rsidRPr="00C47583" w:rsidRDefault="00BF4225" w:rsidP="007330F9">
                    <w:pPr>
                      <w:jc w:val="center"/>
                      <w:rPr>
                        <w:b/>
                        <w:sz w:val="20"/>
                      </w:rPr>
                    </w:pPr>
                    <w:r>
                      <w:rPr>
                        <w:b/>
                        <w:sz w:val="20"/>
                      </w:rPr>
                      <w:t xml:space="preserve">Volume … </w:t>
                    </w:r>
                    <w:proofErr w:type="spellStart"/>
                    <w:r>
                      <w:rPr>
                        <w:b/>
                        <w:sz w:val="20"/>
                      </w:rPr>
                      <w:t>Nomor</w:t>
                    </w:r>
                    <w:proofErr w:type="spellEnd"/>
                    <w:r>
                      <w:rPr>
                        <w:b/>
                        <w:sz w:val="20"/>
                      </w:rPr>
                      <w:t xml:space="preserve"> .., </w:t>
                    </w:r>
                    <w:proofErr w:type="spellStart"/>
                    <w:r>
                      <w:rPr>
                        <w:b/>
                        <w:sz w:val="20"/>
                      </w:rPr>
                      <w:t>Maret</w:t>
                    </w:r>
                    <w:proofErr w:type="spellEnd"/>
                    <w:r>
                      <w:rPr>
                        <w:b/>
                        <w:sz w:val="20"/>
                      </w:rPr>
                      <w:t xml:space="preserve"> 20..</w:t>
                    </w:r>
                    <w:r w:rsidR="00B96E3E" w:rsidRPr="00C47583">
                      <w:rPr>
                        <w:b/>
                        <w:sz w:val="20"/>
                      </w:rPr>
                      <w:t>, ISSN 2599-3291 (</w:t>
                    </w:r>
                    <w:proofErr w:type="spellStart"/>
                    <w:r w:rsidR="00B96E3E" w:rsidRPr="00C47583">
                      <w:rPr>
                        <w:b/>
                        <w:sz w:val="20"/>
                      </w:rPr>
                      <w:t>Cetak</w:t>
                    </w:r>
                    <w:proofErr w:type="spellEnd"/>
                    <w:r w:rsidR="00B96E3E" w:rsidRPr="00C47583">
                      <w:rPr>
                        <w:b/>
                        <w:sz w:val="20"/>
                      </w:rPr>
                      <w:t>), ISSN 2614-</w:t>
                    </w:r>
                    <w:proofErr w:type="gramStart"/>
                    <w:r w:rsidR="00B96E3E" w:rsidRPr="00C47583">
                      <w:rPr>
                        <w:b/>
                        <w:sz w:val="20"/>
                      </w:rPr>
                      <w:t>3933  (</w:t>
                    </w:r>
                    <w:proofErr w:type="gramEnd"/>
                    <w:r w:rsidR="00B96E3E" w:rsidRPr="00C47583">
                      <w:rPr>
                        <w:b/>
                        <w:sz w:val="20"/>
                      </w:rPr>
                      <w:t>Online)</w:t>
                    </w:r>
                  </w:p>
                  <w:p w:rsidR="007330F9" w:rsidRPr="00C47583" w:rsidRDefault="00B111EA" w:rsidP="007330F9">
                    <w:pPr>
                      <w:rPr>
                        <w:sz w:val="20"/>
                      </w:rPr>
                    </w:pPr>
                  </w:p>
                </w:txbxContent>
              </v:textbox>
            </v:shape>
          </w:pict>
        </mc:Fallback>
      </mc:AlternateContent>
    </w:r>
  </w:p>
  <w:p w:rsidR="0017751F" w:rsidRDefault="0017751F">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51F" w:rsidRDefault="00B96E3E">
    <w:pPr>
      <w:pBdr>
        <w:top w:val="nil"/>
        <w:left w:val="nil"/>
        <w:bottom w:val="nil"/>
        <w:right w:val="nil"/>
        <w:between w:val="nil"/>
      </w:pBdr>
      <w:tabs>
        <w:tab w:val="center" w:pos="4680"/>
        <w:tab w:val="right" w:pos="9360"/>
      </w:tabs>
      <w:rPr>
        <w:rFonts w:ascii="Arial" w:eastAsia="Arial" w:hAnsi="Arial" w:cs="Arial"/>
        <w:color w:val="000000"/>
      </w:rPr>
    </w:pPr>
    <w:r>
      <w:rPr>
        <w:rFonts w:ascii="Arial" w:eastAsia="Arial" w:hAnsi="Arial" w:cs="Arial"/>
        <w:color w:val="000000"/>
      </w:rPr>
      <w:t>English Version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740A42"/>
    <w:multiLevelType w:val="multilevel"/>
    <w:tmpl w:val="6FA69DB0"/>
    <w:lvl w:ilvl="0">
      <w:start w:val="4"/>
      <w:numFmt w:val="decimal"/>
      <w:lvlText w:val="%1."/>
      <w:lvlJc w:val="left"/>
      <w:pPr>
        <w:ind w:left="720" w:hanging="360"/>
      </w:pPr>
      <w:rPr>
        <w:rFonts w:hint="default"/>
        <w:color w:val="00000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nsid w:val="10506D99"/>
    <w:multiLevelType w:val="multilevel"/>
    <w:tmpl w:val="67CA177A"/>
    <w:lvl w:ilvl="0">
      <w:start w:val="2"/>
      <w:numFmt w:val="decimal"/>
      <w:lvlText w:val="%1."/>
      <w:lvlJc w:val="left"/>
      <w:pPr>
        <w:ind w:left="720" w:hanging="360"/>
      </w:pPr>
      <w:rPr>
        <w:rFonts w:hint="default"/>
        <w:color w:val="00000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b w:val="0"/>
        <w:bCs w:val="0"/>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2D427527"/>
    <w:multiLevelType w:val="multilevel"/>
    <w:tmpl w:val="5532E4A8"/>
    <w:lvl w:ilvl="0">
      <w:start w:val="1"/>
      <w:numFmt w:val="decimal"/>
      <w:lvlText w:val="%1."/>
      <w:lvlJc w:val="left"/>
      <w:pPr>
        <w:ind w:left="720" w:hanging="360"/>
      </w:pPr>
      <w:rPr>
        <w:rFonts w:hint="default"/>
        <w:color w:val="000000"/>
      </w:rPr>
    </w:lvl>
    <w:lvl w:ilvl="1">
      <w:start w:val="1"/>
      <w:numFmt w:val="lowerLetter"/>
      <w:lvlText w:val="%2."/>
      <w:lvlJc w:val="left"/>
      <w:pPr>
        <w:ind w:left="1440" w:hanging="360"/>
      </w:pPr>
    </w:lvl>
    <w:lvl w:ilvl="2">
      <w:start w:val="4"/>
      <w:numFmt w:val="bullet"/>
      <w:lvlText w:val="-"/>
      <w:lvlJc w:val="left"/>
      <w:pPr>
        <w:ind w:left="2340" w:hanging="360"/>
      </w:pPr>
      <w:rPr>
        <w:rFonts w:ascii="Calibri" w:eastAsiaTheme="minorHAnsi" w:hAnsi="Calibri" w:cstheme="minorBidi" w:hint="default"/>
        <w:b w:val="0"/>
        <w:sz w:val="22"/>
      </w:rPr>
    </w:lvl>
    <w:lvl w:ilvl="3">
      <w:start w:val="1"/>
      <w:numFmt w:val="upperLetter"/>
      <w:lvlText w:val="%4."/>
      <w:lvlJc w:val="left"/>
      <w:pPr>
        <w:ind w:left="2880" w:hanging="360"/>
      </w:pPr>
      <w:rPr>
        <w:rFonts w:hint="default"/>
      </w:r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3DEA7D17"/>
    <w:multiLevelType w:val="multilevel"/>
    <w:tmpl w:val="26142E3E"/>
    <w:lvl w:ilvl="0">
      <w:start w:val="4"/>
      <w:numFmt w:val="decimal"/>
      <w:lvlText w:val="%1."/>
      <w:lvlJc w:val="left"/>
      <w:pPr>
        <w:ind w:left="720" w:hanging="360"/>
      </w:pPr>
      <w:rPr>
        <w:rFonts w:hint="default"/>
        <w:color w:val="00000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b w:val="0"/>
        <w:bCs w:val="0"/>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47072732"/>
    <w:multiLevelType w:val="multilevel"/>
    <w:tmpl w:val="67CA177A"/>
    <w:lvl w:ilvl="0">
      <w:start w:val="2"/>
      <w:numFmt w:val="decimal"/>
      <w:lvlText w:val="%1."/>
      <w:lvlJc w:val="left"/>
      <w:pPr>
        <w:ind w:left="720" w:hanging="360"/>
      </w:pPr>
      <w:rPr>
        <w:rFonts w:hint="default"/>
        <w:color w:val="00000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b w:val="0"/>
        <w:bCs w:val="0"/>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49411294"/>
    <w:multiLevelType w:val="hybridMultilevel"/>
    <w:tmpl w:val="126C2CC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CD725C4"/>
    <w:multiLevelType w:val="multilevel"/>
    <w:tmpl w:val="6FA69DB0"/>
    <w:lvl w:ilvl="0">
      <w:start w:val="4"/>
      <w:numFmt w:val="decimal"/>
      <w:lvlText w:val="%1."/>
      <w:lvlJc w:val="left"/>
      <w:pPr>
        <w:ind w:left="720" w:hanging="360"/>
      </w:pPr>
      <w:rPr>
        <w:rFonts w:hint="default"/>
        <w:color w:val="00000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68154D7A"/>
    <w:multiLevelType w:val="hybridMultilevel"/>
    <w:tmpl w:val="126C2CC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85546B3"/>
    <w:multiLevelType w:val="multilevel"/>
    <w:tmpl w:val="B5DE7748"/>
    <w:lvl w:ilvl="0">
      <w:start w:val="4"/>
      <w:numFmt w:val="decimal"/>
      <w:lvlText w:val="%1."/>
      <w:lvlJc w:val="left"/>
      <w:pPr>
        <w:ind w:left="720" w:hanging="360"/>
      </w:pPr>
      <w:rPr>
        <w:rFonts w:hint="default"/>
        <w:color w:val="00000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69DA2277"/>
    <w:multiLevelType w:val="multilevel"/>
    <w:tmpl w:val="D85016DE"/>
    <w:lvl w:ilvl="0">
      <w:start w:val="4"/>
      <w:numFmt w:val="decimal"/>
      <w:lvlText w:val="%1."/>
      <w:lvlJc w:val="left"/>
      <w:pPr>
        <w:ind w:left="720" w:hanging="360"/>
      </w:pPr>
      <w:rPr>
        <w:rFonts w:hint="default"/>
        <w:color w:val="00000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4"/>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7FEC6082"/>
    <w:multiLevelType w:val="hybridMultilevel"/>
    <w:tmpl w:val="126C2CC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7"/>
  </w:num>
  <w:num w:numId="4">
    <w:abstractNumId w:val="10"/>
  </w:num>
  <w:num w:numId="5">
    <w:abstractNumId w:val="5"/>
  </w:num>
  <w:num w:numId="6">
    <w:abstractNumId w:val="4"/>
  </w:num>
  <w:num w:numId="7">
    <w:abstractNumId w:val="3"/>
  </w:num>
  <w:num w:numId="8">
    <w:abstractNumId w:val="8"/>
  </w:num>
  <w:num w:numId="9">
    <w:abstractNumId w:val="6"/>
  </w:num>
  <w:num w:numId="10">
    <w:abstractNumId w:val="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17751F"/>
    <w:rsid w:val="00037DE7"/>
    <w:rsid w:val="000757DF"/>
    <w:rsid w:val="0017751F"/>
    <w:rsid w:val="001A1315"/>
    <w:rsid w:val="0024596A"/>
    <w:rsid w:val="002A1132"/>
    <w:rsid w:val="00347A64"/>
    <w:rsid w:val="00352784"/>
    <w:rsid w:val="004B2F1B"/>
    <w:rsid w:val="004E1891"/>
    <w:rsid w:val="00556442"/>
    <w:rsid w:val="005658EC"/>
    <w:rsid w:val="00577D55"/>
    <w:rsid w:val="00671471"/>
    <w:rsid w:val="00683604"/>
    <w:rsid w:val="007B29B6"/>
    <w:rsid w:val="009A6117"/>
    <w:rsid w:val="00B111EA"/>
    <w:rsid w:val="00B96E3E"/>
    <w:rsid w:val="00BF4225"/>
    <w:rsid w:val="00C57548"/>
    <w:rsid w:val="00CB2FAF"/>
    <w:rsid w:val="00D03BF2"/>
    <w:rsid w:val="00EC5621"/>
    <w:rsid w:val="00F2049F"/>
    <w:rsid w:val="00F65747"/>
    <w:rsid w:val="00F675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ans Narrow" w:eastAsia="Liberation Sans Narrow" w:hAnsi="Liberation Sans Narrow" w:cs="Liberation Sans Narrow"/>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spacing w:before="76"/>
      <w:ind w:left="1490" w:right="1512"/>
      <w:jc w:val="center"/>
      <w:outlineLvl w:val="0"/>
    </w:pPr>
    <w:rPr>
      <w:b/>
      <w:sz w:val="28"/>
      <w:szCs w:val="28"/>
    </w:rPr>
  </w:style>
  <w:style w:type="paragraph" w:styleId="Heading2">
    <w:name w:val="heading 2"/>
    <w:basedOn w:val="Normal"/>
    <w:next w:val="Normal"/>
    <w:pPr>
      <w:ind w:left="383"/>
      <w:outlineLvl w:val="1"/>
    </w:pPr>
    <w:rPr>
      <w:b/>
      <w:sz w:val="24"/>
      <w:szCs w:val="24"/>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paragraph" w:styleId="Header">
    <w:name w:val="header"/>
    <w:basedOn w:val="Normal"/>
    <w:link w:val="HeaderChar"/>
    <w:uiPriority w:val="99"/>
    <w:unhideWhenUsed/>
    <w:rsid w:val="00BF4225"/>
    <w:pPr>
      <w:tabs>
        <w:tab w:val="center" w:pos="4680"/>
        <w:tab w:val="right" w:pos="9360"/>
      </w:tabs>
    </w:pPr>
  </w:style>
  <w:style w:type="character" w:customStyle="1" w:styleId="HeaderChar">
    <w:name w:val="Header Char"/>
    <w:basedOn w:val="DefaultParagraphFont"/>
    <w:link w:val="Header"/>
    <w:uiPriority w:val="99"/>
    <w:rsid w:val="00BF4225"/>
  </w:style>
  <w:style w:type="paragraph" w:styleId="Footer">
    <w:name w:val="footer"/>
    <w:basedOn w:val="Normal"/>
    <w:link w:val="FooterChar"/>
    <w:uiPriority w:val="99"/>
    <w:unhideWhenUsed/>
    <w:rsid w:val="00BF4225"/>
    <w:pPr>
      <w:tabs>
        <w:tab w:val="center" w:pos="4680"/>
        <w:tab w:val="right" w:pos="9360"/>
      </w:tabs>
    </w:pPr>
  </w:style>
  <w:style w:type="character" w:customStyle="1" w:styleId="FooterChar">
    <w:name w:val="Footer Char"/>
    <w:basedOn w:val="DefaultParagraphFont"/>
    <w:link w:val="Footer"/>
    <w:uiPriority w:val="99"/>
    <w:rsid w:val="00BF4225"/>
  </w:style>
  <w:style w:type="paragraph" w:customStyle="1" w:styleId="E-JournalTitle">
    <w:name w:val="E-Journal_Title"/>
    <w:basedOn w:val="Normal"/>
    <w:qFormat/>
    <w:rsid w:val="00352784"/>
    <w:pPr>
      <w:widowControl/>
      <w:ind w:firstLine="567"/>
      <w:jc w:val="center"/>
    </w:pPr>
    <w:rPr>
      <w:rFonts w:ascii="Times New Roman" w:eastAsia="Times New Roman" w:hAnsi="Times New Roman" w:cs="Times New Roman"/>
      <w:b/>
      <w:lang w:val="id-ID"/>
    </w:rPr>
  </w:style>
  <w:style w:type="character" w:styleId="Hyperlink">
    <w:name w:val="Hyperlink"/>
    <w:basedOn w:val="DefaultParagraphFont"/>
    <w:uiPriority w:val="99"/>
    <w:unhideWhenUsed/>
    <w:rsid w:val="002A1132"/>
    <w:rPr>
      <w:color w:val="0000FF" w:themeColor="hyperlink"/>
      <w:u w:val="single"/>
    </w:rPr>
  </w:style>
  <w:style w:type="paragraph" w:styleId="BalloonText">
    <w:name w:val="Balloon Text"/>
    <w:basedOn w:val="Normal"/>
    <w:link w:val="BalloonTextChar"/>
    <w:uiPriority w:val="99"/>
    <w:semiHidden/>
    <w:unhideWhenUsed/>
    <w:rsid w:val="00556442"/>
    <w:pPr>
      <w:widowControl/>
    </w:pPr>
    <w:rPr>
      <w:rFonts w:ascii="Tahoma" w:eastAsiaTheme="minorHAnsi" w:hAnsi="Tahoma" w:cs="Tahoma"/>
      <w:sz w:val="16"/>
      <w:szCs w:val="16"/>
      <w:lang w:val="id-ID"/>
    </w:rPr>
  </w:style>
  <w:style w:type="character" w:customStyle="1" w:styleId="BalloonTextChar">
    <w:name w:val="Balloon Text Char"/>
    <w:basedOn w:val="DefaultParagraphFont"/>
    <w:link w:val="BalloonText"/>
    <w:uiPriority w:val="99"/>
    <w:semiHidden/>
    <w:rsid w:val="00556442"/>
    <w:rPr>
      <w:rFonts w:ascii="Tahoma" w:eastAsiaTheme="minorHAnsi" w:hAnsi="Tahoma" w:cs="Tahoma"/>
      <w:sz w:val="16"/>
      <w:szCs w:val="16"/>
      <w:lang w:val="id-ID"/>
    </w:rPr>
  </w:style>
  <w:style w:type="paragraph" w:customStyle="1" w:styleId="E-JournalBody">
    <w:name w:val="E-Journal_Body"/>
    <w:basedOn w:val="Normal"/>
    <w:qFormat/>
    <w:rsid w:val="005658EC"/>
    <w:pPr>
      <w:widowControl/>
      <w:ind w:firstLine="743"/>
      <w:jc w:val="both"/>
    </w:pPr>
    <w:rPr>
      <w:rFonts w:ascii="Times New Roman" w:eastAsia="Times New Roman" w:hAnsi="Times New Roman" w:cs="Times New Roman"/>
      <w:szCs w:val="24"/>
      <w:lang w:val="id-ID"/>
    </w:rPr>
  </w:style>
  <w:style w:type="paragraph" w:styleId="ListParagraph">
    <w:name w:val="List Paragraph"/>
    <w:aliases w:val="kepala,List Paragraph1,Body of text"/>
    <w:basedOn w:val="Normal"/>
    <w:link w:val="ListParagraphChar"/>
    <w:uiPriority w:val="34"/>
    <w:qFormat/>
    <w:rsid w:val="009A6117"/>
    <w:pPr>
      <w:widowControl/>
      <w:spacing w:after="200" w:line="276" w:lineRule="auto"/>
      <w:ind w:left="720"/>
      <w:contextualSpacing/>
    </w:pPr>
    <w:rPr>
      <w:rFonts w:asciiTheme="minorHAnsi" w:eastAsia="Times New Roman" w:hAnsiTheme="minorHAnsi" w:cs="Times New Roman"/>
      <w:lang w:val="id-ID"/>
    </w:rPr>
  </w:style>
  <w:style w:type="character" w:customStyle="1" w:styleId="ListParagraphChar">
    <w:name w:val="List Paragraph Char"/>
    <w:aliases w:val="kepala Char,List Paragraph1 Char,Body of text Char"/>
    <w:link w:val="ListParagraph"/>
    <w:uiPriority w:val="34"/>
    <w:locked/>
    <w:rsid w:val="009A6117"/>
    <w:rPr>
      <w:rFonts w:asciiTheme="minorHAnsi" w:eastAsia="Times New Roman" w:hAnsiTheme="minorHAnsi" w:cs="Times New Roman"/>
      <w:lang w:val="id-ID"/>
    </w:rPr>
  </w:style>
  <w:style w:type="paragraph" w:styleId="NormalWeb">
    <w:name w:val="Normal (Web)"/>
    <w:basedOn w:val="Normal"/>
    <w:uiPriority w:val="99"/>
    <w:unhideWhenUsed/>
    <w:rsid w:val="009A6117"/>
    <w:pPr>
      <w:widowControl/>
      <w:spacing w:before="100" w:beforeAutospacing="1" w:after="100" w:afterAutospacing="1"/>
    </w:pPr>
    <w:rPr>
      <w:rFonts w:ascii="Times New Roman" w:eastAsia="Times New Roman" w:hAnsi="Times New Roman" w:cs="Times New Roman"/>
      <w:sz w:val="24"/>
      <w:szCs w:val="24"/>
      <w:lang w:val="id-ID" w:eastAsia="id-ID"/>
    </w:rPr>
  </w:style>
  <w:style w:type="character" w:styleId="Emphasis">
    <w:name w:val="Emphasis"/>
    <w:basedOn w:val="DefaultParagraphFont"/>
    <w:uiPriority w:val="20"/>
    <w:qFormat/>
    <w:rsid w:val="009A6117"/>
    <w:rPr>
      <w:i/>
      <w:iCs/>
    </w:rPr>
  </w:style>
  <w:style w:type="paragraph" w:styleId="TOC1">
    <w:name w:val="toc 1"/>
    <w:basedOn w:val="Normal"/>
    <w:uiPriority w:val="1"/>
    <w:qFormat/>
    <w:rsid w:val="00C57548"/>
    <w:pPr>
      <w:ind w:left="588"/>
    </w:pPr>
    <w:rPr>
      <w:rFonts w:ascii="Times New Roman" w:eastAsia="Times New Roman" w:hAnsi="Times New Roman" w:cstheme="minorBidi"/>
      <w:sz w:val="24"/>
      <w:szCs w:val="24"/>
    </w:rPr>
  </w:style>
  <w:style w:type="paragraph" w:styleId="HTMLPreformatted">
    <w:name w:val="HTML Preformatted"/>
    <w:basedOn w:val="Normal"/>
    <w:link w:val="HTMLPreformattedChar"/>
    <w:uiPriority w:val="99"/>
    <w:unhideWhenUsed/>
    <w:rsid w:val="00D03BF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D03BF2"/>
    <w:rPr>
      <w:rFonts w:ascii="Courier New" w:eastAsia="Times New Roman" w:hAnsi="Courier New" w:cs="Courier New"/>
      <w:sz w:val="20"/>
      <w:szCs w:val="20"/>
      <w:lang w:val="id-ID" w:eastAsia="id-ID"/>
    </w:rPr>
  </w:style>
  <w:style w:type="paragraph" w:customStyle="1" w:styleId="E-JournalHeading1">
    <w:name w:val="E-Journal_Heading 1"/>
    <w:basedOn w:val="Normal"/>
    <w:qFormat/>
    <w:rsid w:val="004E1891"/>
    <w:pPr>
      <w:widowControl/>
      <w:spacing w:before="120" w:after="120"/>
    </w:pPr>
    <w:rPr>
      <w:rFonts w:ascii="Times New Roman" w:eastAsia="Times New Roman" w:hAnsi="Times New Roman" w:cs="Times New Roman"/>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ans Narrow" w:eastAsia="Liberation Sans Narrow" w:hAnsi="Liberation Sans Narrow" w:cs="Liberation Sans Narrow"/>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spacing w:before="76"/>
      <w:ind w:left="1490" w:right="1512"/>
      <w:jc w:val="center"/>
      <w:outlineLvl w:val="0"/>
    </w:pPr>
    <w:rPr>
      <w:b/>
      <w:sz w:val="28"/>
      <w:szCs w:val="28"/>
    </w:rPr>
  </w:style>
  <w:style w:type="paragraph" w:styleId="Heading2">
    <w:name w:val="heading 2"/>
    <w:basedOn w:val="Normal"/>
    <w:next w:val="Normal"/>
    <w:pPr>
      <w:ind w:left="383"/>
      <w:outlineLvl w:val="1"/>
    </w:pPr>
    <w:rPr>
      <w:b/>
      <w:sz w:val="24"/>
      <w:szCs w:val="24"/>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paragraph" w:styleId="Header">
    <w:name w:val="header"/>
    <w:basedOn w:val="Normal"/>
    <w:link w:val="HeaderChar"/>
    <w:uiPriority w:val="99"/>
    <w:unhideWhenUsed/>
    <w:rsid w:val="00BF4225"/>
    <w:pPr>
      <w:tabs>
        <w:tab w:val="center" w:pos="4680"/>
        <w:tab w:val="right" w:pos="9360"/>
      </w:tabs>
    </w:pPr>
  </w:style>
  <w:style w:type="character" w:customStyle="1" w:styleId="HeaderChar">
    <w:name w:val="Header Char"/>
    <w:basedOn w:val="DefaultParagraphFont"/>
    <w:link w:val="Header"/>
    <w:uiPriority w:val="99"/>
    <w:rsid w:val="00BF4225"/>
  </w:style>
  <w:style w:type="paragraph" w:styleId="Footer">
    <w:name w:val="footer"/>
    <w:basedOn w:val="Normal"/>
    <w:link w:val="FooterChar"/>
    <w:uiPriority w:val="99"/>
    <w:unhideWhenUsed/>
    <w:rsid w:val="00BF4225"/>
    <w:pPr>
      <w:tabs>
        <w:tab w:val="center" w:pos="4680"/>
        <w:tab w:val="right" w:pos="9360"/>
      </w:tabs>
    </w:pPr>
  </w:style>
  <w:style w:type="character" w:customStyle="1" w:styleId="FooterChar">
    <w:name w:val="Footer Char"/>
    <w:basedOn w:val="DefaultParagraphFont"/>
    <w:link w:val="Footer"/>
    <w:uiPriority w:val="99"/>
    <w:rsid w:val="00BF4225"/>
  </w:style>
  <w:style w:type="paragraph" w:customStyle="1" w:styleId="E-JournalTitle">
    <w:name w:val="E-Journal_Title"/>
    <w:basedOn w:val="Normal"/>
    <w:qFormat/>
    <w:rsid w:val="00352784"/>
    <w:pPr>
      <w:widowControl/>
      <w:ind w:firstLine="567"/>
      <w:jc w:val="center"/>
    </w:pPr>
    <w:rPr>
      <w:rFonts w:ascii="Times New Roman" w:eastAsia="Times New Roman" w:hAnsi="Times New Roman" w:cs="Times New Roman"/>
      <w:b/>
      <w:lang w:val="id-ID"/>
    </w:rPr>
  </w:style>
  <w:style w:type="character" w:styleId="Hyperlink">
    <w:name w:val="Hyperlink"/>
    <w:basedOn w:val="DefaultParagraphFont"/>
    <w:uiPriority w:val="99"/>
    <w:unhideWhenUsed/>
    <w:rsid w:val="002A1132"/>
    <w:rPr>
      <w:color w:val="0000FF" w:themeColor="hyperlink"/>
      <w:u w:val="single"/>
    </w:rPr>
  </w:style>
  <w:style w:type="paragraph" w:styleId="BalloonText">
    <w:name w:val="Balloon Text"/>
    <w:basedOn w:val="Normal"/>
    <w:link w:val="BalloonTextChar"/>
    <w:uiPriority w:val="99"/>
    <w:semiHidden/>
    <w:unhideWhenUsed/>
    <w:rsid w:val="00556442"/>
    <w:pPr>
      <w:widowControl/>
    </w:pPr>
    <w:rPr>
      <w:rFonts w:ascii="Tahoma" w:eastAsiaTheme="minorHAnsi" w:hAnsi="Tahoma" w:cs="Tahoma"/>
      <w:sz w:val="16"/>
      <w:szCs w:val="16"/>
      <w:lang w:val="id-ID"/>
    </w:rPr>
  </w:style>
  <w:style w:type="character" w:customStyle="1" w:styleId="BalloonTextChar">
    <w:name w:val="Balloon Text Char"/>
    <w:basedOn w:val="DefaultParagraphFont"/>
    <w:link w:val="BalloonText"/>
    <w:uiPriority w:val="99"/>
    <w:semiHidden/>
    <w:rsid w:val="00556442"/>
    <w:rPr>
      <w:rFonts w:ascii="Tahoma" w:eastAsiaTheme="minorHAnsi" w:hAnsi="Tahoma" w:cs="Tahoma"/>
      <w:sz w:val="16"/>
      <w:szCs w:val="16"/>
      <w:lang w:val="id-ID"/>
    </w:rPr>
  </w:style>
  <w:style w:type="paragraph" w:customStyle="1" w:styleId="E-JournalBody">
    <w:name w:val="E-Journal_Body"/>
    <w:basedOn w:val="Normal"/>
    <w:qFormat/>
    <w:rsid w:val="005658EC"/>
    <w:pPr>
      <w:widowControl/>
      <w:ind w:firstLine="743"/>
      <w:jc w:val="both"/>
    </w:pPr>
    <w:rPr>
      <w:rFonts w:ascii="Times New Roman" w:eastAsia="Times New Roman" w:hAnsi="Times New Roman" w:cs="Times New Roman"/>
      <w:szCs w:val="24"/>
      <w:lang w:val="id-ID"/>
    </w:rPr>
  </w:style>
  <w:style w:type="paragraph" w:styleId="ListParagraph">
    <w:name w:val="List Paragraph"/>
    <w:aliases w:val="kepala,List Paragraph1,Body of text"/>
    <w:basedOn w:val="Normal"/>
    <w:link w:val="ListParagraphChar"/>
    <w:uiPriority w:val="34"/>
    <w:qFormat/>
    <w:rsid w:val="009A6117"/>
    <w:pPr>
      <w:widowControl/>
      <w:spacing w:after="200" w:line="276" w:lineRule="auto"/>
      <w:ind w:left="720"/>
      <w:contextualSpacing/>
    </w:pPr>
    <w:rPr>
      <w:rFonts w:asciiTheme="minorHAnsi" w:eastAsia="Times New Roman" w:hAnsiTheme="minorHAnsi" w:cs="Times New Roman"/>
      <w:lang w:val="id-ID"/>
    </w:rPr>
  </w:style>
  <w:style w:type="character" w:customStyle="1" w:styleId="ListParagraphChar">
    <w:name w:val="List Paragraph Char"/>
    <w:aliases w:val="kepala Char,List Paragraph1 Char,Body of text Char"/>
    <w:link w:val="ListParagraph"/>
    <w:uiPriority w:val="34"/>
    <w:locked/>
    <w:rsid w:val="009A6117"/>
    <w:rPr>
      <w:rFonts w:asciiTheme="minorHAnsi" w:eastAsia="Times New Roman" w:hAnsiTheme="minorHAnsi" w:cs="Times New Roman"/>
      <w:lang w:val="id-ID"/>
    </w:rPr>
  </w:style>
  <w:style w:type="paragraph" w:styleId="NormalWeb">
    <w:name w:val="Normal (Web)"/>
    <w:basedOn w:val="Normal"/>
    <w:uiPriority w:val="99"/>
    <w:unhideWhenUsed/>
    <w:rsid w:val="009A6117"/>
    <w:pPr>
      <w:widowControl/>
      <w:spacing w:before="100" w:beforeAutospacing="1" w:after="100" w:afterAutospacing="1"/>
    </w:pPr>
    <w:rPr>
      <w:rFonts w:ascii="Times New Roman" w:eastAsia="Times New Roman" w:hAnsi="Times New Roman" w:cs="Times New Roman"/>
      <w:sz w:val="24"/>
      <w:szCs w:val="24"/>
      <w:lang w:val="id-ID" w:eastAsia="id-ID"/>
    </w:rPr>
  </w:style>
  <w:style w:type="character" w:styleId="Emphasis">
    <w:name w:val="Emphasis"/>
    <w:basedOn w:val="DefaultParagraphFont"/>
    <w:uiPriority w:val="20"/>
    <w:qFormat/>
    <w:rsid w:val="009A6117"/>
    <w:rPr>
      <w:i/>
      <w:iCs/>
    </w:rPr>
  </w:style>
  <w:style w:type="paragraph" w:styleId="TOC1">
    <w:name w:val="toc 1"/>
    <w:basedOn w:val="Normal"/>
    <w:uiPriority w:val="1"/>
    <w:qFormat/>
    <w:rsid w:val="00C57548"/>
    <w:pPr>
      <w:ind w:left="588"/>
    </w:pPr>
    <w:rPr>
      <w:rFonts w:ascii="Times New Roman" w:eastAsia="Times New Roman" w:hAnsi="Times New Roman" w:cstheme="minorBidi"/>
      <w:sz w:val="24"/>
      <w:szCs w:val="24"/>
    </w:rPr>
  </w:style>
  <w:style w:type="paragraph" w:styleId="HTMLPreformatted">
    <w:name w:val="HTML Preformatted"/>
    <w:basedOn w:val="Normal"/>
    <w:link w:val="HTMLPreformattedChar"/>
    <w:uiPriority w:val="99"/>
    <w:unhideWhenUsed/>
    <w:rsid w:val="00D03BF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D03BF2"/>
    <w:rPr>
      <w:rFonts w:ascii="Courier New" w:eastAsia="Times New Roman" w:hAnsi="Courier New" w:cs="Courier New"/>
      <w:sz w:val="20"/>
      <w:szCs w:val="20"/>
      <w:lang w:val="id-ID" w:eastAsia="id-ID"/>
    </w:rPr>
  </w:style>
  <w:style w:type="paragraph" w:customStyle="1" w:styleId="E-JournalHeading1">
    <w:name w:val="E-Journal_Heading 1"/>
    <w:basedOn w:val="Normal"/>
    <w:qFormat/>
    <w:rsid w:val="004E1891"/>
    <w:pPr>
      <w:widowControl/>
      <w:spacing w:before="120" w:after="120"/>
    </w:pPr>
    <w:rPr>
      <w:rFonts w:ascii="Times New Roman" w:eastAsia="Times New Roman" w:hAnsi="Times New Roman" w:cs="Times New Roman"/>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mailto:betti.dian@mail.uinfasbengkulu.ac.id" TargetMode="External"/><Relationship Id="rId13" Type="http://schemas.openxmlformats.org/officeDocument/2006/relationships/image" Target="media/image3.png"/><Relationship Id="rId18" Type="http://schemas.microsoft.com/office/2007/relationships/hdphoto" Target="media/hdphoto3.wdp"/><Relationship Id="rId26"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2.png"/><Relationship Id="rId2" Type="http://schemas.openxmlformats.org/officeDocument/2006/relationships/styles" Target="styles.xml"/><Relationship Id="rId16" Type="http://schemas.microsoft.com/office/2007/relationships/hdphoto" Target="media/hdphoto2.wdp"/><Relationship Id="rId20" Type="http://schemas.openxmlformats.org/officeDocument/2006/relationships/image" Target="media/image7.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emailpenulis_2@abc.ac.id" TargetMode="External"/><Relationship Id="rId14" Type="http://schemas.microsoft.com/office/2007/relationships/hdphoto" Target="media/hdphoto1.wdp"/><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3172</TotalTime>
  <Pages>17</Pages>
  <Words>15223</Words>
  <Characters>86777</Characters>
  <Application>Microsoft Office Word</Application>
  <DocSecurity>0</DocSecurity>
  <Lines>723</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11</cp:revision>
  <dcterms:created xsi:type="dcterms:W3CDTF">2024-12-09T20:38:00Z</dcterms:created>
  <dcterms:modified xsi:type="dcterms:W3CDTF">2024-12-16T02:04:00Z</dcterms:modified>
</cp:coreProperties>
</file>