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1" w:type="dxa"/>
        <w:tblLayout w:type="fixed"/>
        <w:tblCellMar>
          <w:left w:w="10" w:type="dxa"/>
          <w:right w:w="10" w:type="dxa"/>
        </w:tblCellMar>
        <w:tblLook w:val="04A0" w:firstRow="1" w:lastRow="0" w:firstColumn="1" w:lastColumn="0" w:noHBand="0" w:noVBand="1"/>
      </w:tblPr>
      <w:tblGrid>
        <w:gridCol w:w="4535"/>
        <w:gridCol w:w="4536"/>
      </w:tblGrid>
      <w:tr w:rsidR="00587B25" w:rsidRPr="00587B25" w14:paraId="4772A1DB" w14:textId="77777777" w:rsidTr="009E1530">
        <w:tc>
          <w:tcPr>
            <w:tcW w:w="4535" w:type="dxa"/>
            <w:tcMar>
              <w:top w:w="55" w:type="dxa"/>
              <w:left w:w="55" w:type="dxa"/>
              <w:bottom w:w="55" w:type="dxa"/>
              <w:right w:w="55" w:type="dxa"/>
            </w:tcMar>
          </w:tcPr>
          <w:p w14:paraId="3D4C0ED3" w14:textId="77777777" w:rsidR="00587B25" w:rsidRPr="00587B25" w:rsidRDefault="00587B25" w:rsidP="00587B25">
            <w:pPr>
              <w:suppressAutoHyphens/>
              <w:autoSpaceDN w:val="0"/>
              <w:spacing w:after="0" w:line="240" w:lineRule="auto"/>
              <w:textAlignment w:val="baseline"/>
              <w:rPr>
                <w:rFonts w:ascii="Bauhaus 93" w:eastAsia="NSimSun" w:hAnsi="Bauhaus 93" w:cs="Lucida Sans"/>
                <w:kern w:val="3"/>
                <w:sz w:val="56"/>
                <w:szCs w:val="56"/>
                <w:lang w:val="en-US" w:eastAsia="zh-CN" w:bidi="hi-IN"/>
              </w:rPr>
            </w:pPr>
            <w:r w:rsidRPr="00587B25">
              <w:rPr>
                <w:rFonts w:ascii="Bauhaus 93" w:eastAsia="NSimSun" w:hAnsi="Bauhaus 93" w:cs="Lucida Sans"/>
                <w:kern w:val="3"/>
                <w:sz w:val="56"/>
                <w:szCs w:val="56"/>
                <w:lang w:val="en-US" w:eastAsia="zh-CN" w:bidi="hi-IN"/>
              </w:rPr>
              <w:t>Al-</w:t>
            </w:r>
            <w:proofErr w:type="spellStart"/>
            <w:r w:rsidRPr="00587B25">
              <w:rPr>
                <w:rFonts w:ascii="Bauhaus 93" w:eastAsia="NSimSun" w:hAnsi="Bauhaus 93" w:cs="Lucida Sans"/>
                <w:kern w:val="3"/>
                <w:sz w:val="56"/>
                <w:szCs w:val="56"/>
                <w:lang w:val="en-US" w:eastAsia="zh-CN" w:bidi="hi-IN"/>
              </w:rPr>
              <w:t>Bahtsu</w:t>
            </w:r>
            <w:proofErr w:type="spellEnd"/>
          </w:p>
          <w:p w14:paraId="29E18FFE" w14:textId="77777777" w:rsidR="00587B25" w:rsidRPr="00587B25" w:rsidRDefault="00587B25" w:rsidP="00587B25">
            <w:pPr>
              <w:suppressAutoHyphens/>
              <w:autoSpaceDN w:val="0"/>
              <w:spacing w:after="0" w:line="240" w:lineRule="auto"/>
              <w:textAlignment w:val="baseline"/>
              <w:rPr>
                <w:rFonts w:ascii="Garamond" w:eastAsia="NSimSun" w:hAnsi="Garamond" w:cs="Lucida Sans"/>
                <w:kern w:val="3"/>
                <w:sz w:val="28"/>
                <w:szCs w:val="28"/>
                <w:lang w:val="en-US" w:eastAsia="zh-CN" w:bidi="hi-IN"/>
              </w:rPr>
            </w:pPr>
            <w:proofErr w:type="spellStart"/>
            <w:r w:rsidRPr="00587B25">
              <w:rPr>
                <w:rFonts w:ascii="Garamond" w:eastAsia="NSimSun" w:hAnsi="Garamond" w:cs="Lucida Sans"/>
                <w:kern w:val="3"/>
                <w:sz w:val="28"/>
                <w:szCs w:val="28"/>
                <w:lang w:val="en-US" w:eastAsia="zh-CN" w:bidi="hi-IN"/>
              </w:rPr>
              <w:t>Jurnal</w:t>
            </w:r>
            <w:proofErr w:type="spellEnd"/>
            <w:r w:rsidRPr="00587B25">
              <w:rPr>
                <w:rFonts w:ascii="Garamond" w:eastAsia="NSimSun" w:hAnsi="Garamond" w:cs="Lucida Sans"/>
                <w:kern w:val="3"/>
                <w:sz w:val="28"/>
                <w:szCs w:val="28"/>
                <w:lang w:val="en-US" w:eastAsia="zh-CN" w:bidi="hi-IN"/>
              </w:rPr>
              <w:t xml:space="preserve"> </w:t>
            </w:r>
            <w:proofErr w:type="spellStart"/>
            <w:r w:rsidRPr="00587B25">
              <w:rPr>
                <w:rFonts w:ascii="Garamond" w:eastAsia="NSimSun" w:hAnsi="Garamond" w:cs="Lucida Sans"/>
                <w:kern w:val="3"/>
                <w:sz w:val="28"/>
                <w:szCs w:val="28"/>
                <w:lang w:val="en-US" w:eastAsia="zh-CN" w:bidi="hi-IN"/>
              </w:rPr>
              <w:t>Penelitian</w:t>
            </w:r>
            <w:proofErr w:type="spellEnd"/>
            <w:r w:rsidRPr="00587B25">
              <w:rPr>
                <w:rFonts w:ascii="Garamond" w:eastAsia="NSimSun" w:hAnsi="Garamond" w:cs="Lucida Sans"/>
                <w:kern w:val="3"/>
                <w:sz w:val="28"/>
                <w:szCs w:val="28"/>
                <w:lang w:val="en-US" w:eastAsia="zh-CN" w:bidi="hi-IN"/>
              </w:rPr>
              <w:t xml:space="preserve"> </w:t>
            </w:r>
            <w:proofErr w:type="spellStart"/>
            <w:r w:rsidRPr="00587B25">
              <w:rPr>
                <w:rFonts w:ascii="Garamond" w:eastAsia="NSimSun" w:hAnsi="Garamond" w:cs="Lucida Sans"/>
                <w:kern w:val="3"/>
                <w:sz w:val="28"/>
                <w:szCs w:val="28"/>
                <w:lang w:val="en-US" w:eastAsia="zh-CN" w:bidi="hi-IN"/>
              </w:rPr>
              <w:t>Pendidikan</w:t>
            </w:r>
            <w:proofErr w:type="spellEnd"/>
            <w:r w:rsidRPr="00587B25">
              <w:rPr>
                <w:rFonts w:ascii="Garamond" w:eastAsia="NSimSun" w:hAnsi="Garamond" w:cs="Lucida Sans"/>
                <w:kern w:val="3"/>
                <w:sz w:val="28"/>
                <w:szCs w:val="28"/>
                <w:lang w:val="en-US" w:eastAsia="zh-CN" w:bidi="hi-IN"/>
              </w:rPr>
              <w:t xml:space="preserve"> Islam</w:t>
            </w:r>
          </w:p>
        </w:tc>
        <w:tc>
          <w:tcPr>
            <w:tcW w:w="4536" w:type="dxa"/>
            <w:tcMar>
              <w:top w:w="55" w:type="dxa"/>
              <w:left w:w="55" w:type="dxa"/>
              <w:bottom w:w="55" w:type="dxa"/>
              <w:right w:w="55" w:type="dxa"/>
            </w:tcMar>
          </w:tcPr>
          <w:p w14:paraId="4D5DC6DC" w14:textId="77777777" w:rsidR="00587B25" w:rsidRPr="00587B25" w:rsidRDefault="00587B25" w:rsidP="00587B25">
            <w:pPr>
              <w:widowControl w:val="0"/>
              <w:suppressLineNumbers/>
              <w:suppressAutoHyphens/>
              <w:autoSpaceDN w:val="0"/>
              <w:spacing w:after="0" w:line="240" w:lineRule="auto"/>
              <w:jc w:val="right"/>
              <w:textAlignment w:val="baseline"/>
              <w:rPr>
                <w:rFonts w:ascii="Calibri" w:eastAsia="Calibri" w:hAnsi="Calibri" w:cs="Calibri"/>
                <w:kern w:val="3"/>
                <w:sz w:val="16"/>
                <w:szCs w:val="16"/>
                <w:lang w:val="en-US" w:eastAsia="zh-CN" w:bidi="hi-IN"/>
              </w:rPr>
            </w:pPr>
            <w:r w:rsidRPr="00587B25">
              <w:rPr>
                <w:rFonts w:ascii="Calibri" w:eastAsia="Calibri" w:hAnsi="Calibri" w:cs="Calibri"/>
                <w:kern w:val="3"/>
                <w:sz w:val="16"/>
                <w:szCs w:val="16"/>
                <w:lang w:val="en-US" w:eastAsia="zh-CN" w:bidi="hi-IN"/>
              </w:rPr>
              <w:t xml:space="preserve">Publish by UIN </w:t>
            </w:r>
            <w:proofErr w:type="spellStart"/>
            <w:r w:rsidRPr="00587B25">
              <w:rPr>
                <w:rFonts w:ascii="Calibri" w:eastAsia="Calibri" w:hAnsi="Calibri" w:cs="Calibri"/>
                <w:kern w:val="3"/>
                <w:sz w:val="16"/>
                <w:szCs w:val="16"/>
                <w:lang w:val="en-US" w:eastAsia="zh-CN" w:bidi="hi-IN"/>
              </w:rPr>
              <w:t>Fatmawati</w:t>
            </w:r>
            <w:proofErr w:type="spellEnd"/>
            <w:r w:rsidRPr="00587B25">
              <w:rPr>
                <w:rFonts w:ascii="Calibri" w:eastAsia="Calibri" w:hAnsi="Calibri" w:cs="Calibri"/>
                <w:kern w:val="3"/>
                <w:sz w:val="16"/>
                <w:szCs w:val="16"/>
                <w:lang w:val="en-US" w:eastAsia="zh-CN" w:bidi="hi-IN"/>
              </w:rPr>
              <w:t xml:space="preserve"> Sukarno Bengkulu</w:t>
            </w:r>
          </w:p>
          <w:p w14:paraId="21A2B99E" w14:textId="77777777" w:rsidR="00587B25" w:rsidRPr="00587B25" w:rsidRDefault="00587B25" w:rsidP="00587B25">
            <w:pPr>
              <w:widowControl w:val="0"/>
              <w:suppressLineNumbers/>
              <w:suppressAutoHyphens/>
              <w:autoSpaceDN w:val="0"/>
              <w:spacing w:after="0" w:line="240" w:lineRule="auto"/>
              <w:jc w:val="right"/>
              <w:textAlignment w:val="baseline"/>
              <w:rPr>
                <w:rFonts w:ascii="Calibri" w:eastAsia="Calibri" w:hAnsi="Calibri" w:cs="Calibri"/>
                <w:kern w:val="3"/>
                <w:sz w:val="16"/>
                <w:szCs w:val="16"/>
                <w:lang w:val="en-US" w:eastAsia="zh-CN" w:bidi="hi-IN"/>
              </w:rPr>
            </w:pPr>
            <w:r w:rsidRPr="00587B25">
              <w:rPr>
                <w:rFonts w:ascii="Calibri" w:eastAsia="Calibri" w:hAnsi="Calibri" w:cs="Calibri"/>
                <w:kern w:val="3"/>
                <w:sz w:val="16"/>
                <w:szCs w:val="16"/>
                <w:lang w:val="en-US" w:eastAsia="zh-CN" w:bidi="hi-IN"/>
              </w:rPr>
              <w:t>ISSN: P 2527-6875| E 2684-9569</w:t>
            </w:r>
          </w:p>
          <w:p w14:paraId="7AB7B81D" w14:textId="77777777" w:rsidR="00587B25" w:rsidRPr="00587B25" w:rsidRDefault="00587B25" w:rsidP="00587B25">
            <w:pPr>
              <w:widowControl w:val="0"/>
              <w:suppressLineNumbers/>
              <w:suppressAutoHyphens/>
              <w:autoSpaceDN w:val="0"/>
              <w:spacing w:after="0" w:line="240" w:lineRule="auto"/>
              <w:jc w:val="right"/>
              <w:textAlignment w:val="baseline"/>
              <w:rPr>
                <w:rFonts w:ascii="Calibri" w:eastAsia="Calibri" w:hAnsi="Calibri" w:cs="Calibri"/>
                <w:kern w:val="3"/>
                <w:sz w:val="16"/>
                <w:szCs w:val="16"/>
                <w:lang w:val="en-US" w:eastAsia="zh-CN" w:bidi="hi-IN"/>
              </w:rPr>
            </w:pPr>
            <w:r w:rsidRPr="00587B25">
              <w:rPr>
                <w:rFonts w:ascii="Calibri" w:eastAsia="Calibri" w:hAnsi="Calibri" w:cs="Calibri"/>
                <w:kern w:val="3"/>
                <w:sz w:val="16"/>
                <w:szCs w:val="16"/>
                <w:lang w:val="en-US" w:eastAsia="zh-CN" w:bidi="hi-IN"/>
              </w:rPr>
              <w:t>Vol. 09, No. 01, Juni 2024 | Hal. 67-79</w:t>
            </w:r>
          </w:p>
          <w:p w14:paraId="751F28F1" w14:textId="77777777" w:rsidR="00587B25" w:rsidRPr="00587B25" w:rsidRDefault="00587B25" w:rsidP="00587B25">
            <w:pPr>
              <w:widowControl w:val="0"/>
              <w:suppressLineNumbers/>
              <w:suppressAutoHyphens/>
              <w:autoSpaceDN w:val="0"/>
              <w:spacing w:after="0" w:line="240" w:lineRule="auto"/>
              <w:jc w:val="right"/>
              <w:textAlignment w:val="baseline"/>
              <w:rPr>
                <w:rFonts w:ascii="Calibri" w:eastAsia="Calibri" w:hAnsi="Calibri" w:cs="Calibri"/>
                <w:kern w:val="3"/>
                <w:sz w:val="16"/>
                <w:szCs w:val="16"/>
                <w:lang w:val="en-US" w:eastAsia="zh-CN" w:bidi="hi-IN"/>
              </w:rPr>
            </w:pPr>
            <w:r w:rsidRPr="00587B25">
              <w:rPr>
                <w:rFonts w:ascii="Calibri" w:eastAsia="Calibri" w:hAnsi="Calibri" w:cs="Calibri"/>
                <w:kern w:val="3"/>
                <w:sz w:val="16"/>
                <w:szCs w:val="16"/>
                <w:lang w:val="en-US" w:eastAsia="zh-CN" w:bidi="hi-IN"/>
              </w:rPr>
              <w:t>This Article is licensed under a Creative Commons Attribution-</w:t>
            </w:r>
            <w:proofErr w:type="spellStart"/>
            <w:r w:rsidRPr="00587B25">
              <w:rPr>
                <w:rFonts w:ascii="Calibri" w:eastAsia="Calibri" w:hAnsi="Calibri" w:cs="Calibri"/>
                <w:kern w:val="3"/>
                <w:sz w:val="16"/>
                <w:szCs w:val="16"/>
                <w:lang w:val="en-US" w:eastAsia="zh-CN" w:bidi="hi-IN"/>
              </w:rPr>
              <w:t>Sharelike</w:t>
            </w:r>
            <w:proofErr w:type="spellEnd"/>
            <w:r w:rsidRPr="00587B25">
              <w:rPr>
                <w:rFonts w:ascii="Calibri" w:eastAsia="Calibri" w:hAnsi="Calibri" w:cs="Calibri"/>
                <w:kern w:val="3"/>
                <w:sz w:val="16"/>
                <w:szCs w:val="16"/>
                <w:lang w:val="en-US" w:eastAsia="zh-CN" w:bidi="hi-IN"/>
              </w:rPr>
              <w:t xml:space="preserve"> 4.0 </w:t>
            </w:r>
            <w:proofErr w:type="spellStart"/>
            <w:r w:rsidRPr="00587B25">
              <w:rPr>
                <w:rFonts w:ascii="Calibri" w:eastAsia="Calibri" w:hAnsi="Calibri" w:cs="Calibri"/>
                <w:kern w:val="3"/>
                <w:sz w:val="16"/>
                <w:szCs w:val="16"/>
                <w:lang w:val="en-US" w:eastAsia="zh-CN" w:bidi="hi-IN"/>
              </w:rPr>
              <w:t>Interntional</w:t>
            </w:r>
            <w:proofErr w:type="spellEnd"/>
            <w:r w:rsidRPr="00587B25">
              <w:rPr>
                <w:rFonts w:ascii="Calibri" w:eastAsia="Calibri" w:hAnsi="Calibri" w:cs="Calibri"/>
                <w:kern w:val="3"/>
                <w:sz w:val="16"/>
                <w:szCs w:val="16"/>
                <w:lang w:val="en-US" w:eastAsia="zh-CN" w:bidi="hi-IN"/>
              </w:rPr>
              <w:t xml:space="preserve"> </w:t>
            </w:r>
            <w:proofErr w:type="spellStart"/>
            <w:r w:rsidRPr="00587B25">
              <w:rPr>
                <w:rFonts w:ascii="Calibri" w:eastAsia="Calibri" w:hAnsi="Calibri" w:cs="Calibri"/>
                <w:kern w:val="3"/>
                <w:sz w:val="16"/>
                <w:szCs w:val="16"/>
                <w:lang w:val="en-US" w:eastAsia="zh-CN" w:bidi="hi-IN"/>
              </w:rPr>
              <w:t>Lincese</w:t>
            </w:r>
            <w:proofErr w:type="spellEnd"/>
          </w:p>
        </w:tc>
      </w:tr>
    </w:tbl>
    <w:p w14:paraId="211E39DB" w14:textId="77777777" w:rsidR="00587B25" w:rsidRDefault="00587B25" w:rsidP="00940474">
      <w:pPr>
        <w:spacing w:after="0" w:line="240" w:lineRule="auto"/>
        <w:rPr>
          <w:rFonts w:ascii="Cambria" w:hAnsi="Cambria"/>
          <w:b/>
          <w:bCs/>
          <w:noProof/>
          <w:sz w:val="24"/>
          <w:szCs w:val="24"/>
        </w:rPr>
      </w:pPr>
    </w:p>
    <w:p w14:paraId="5B7A877D" w14:textId="693E9670" w:rsidR="004A13DC" w:rsidRPr="00DC668C" w:rsidRDefault="004A13DC" w:rsidP="00C46936">
      <w:pPr>
        <w:spacing w:after="0" w:line="240" w:lineRule="auto"/>
        <w:jc w:val="center"/>
        <w:rPr>
          <w:rFonts w:ascii="Cambria" w:hAnsi="Cambria"/>
          <w:b/>
          <w:bCs/>
          <w:noProof/>
          <w:sz w:val="24"/>
          <w:szCs w:val="24"/>
        </w:rPr>
      </w:pPr>
      <w:r w:rsidRPr="00DC668C">
        <w:rPr>
          <w:rFonts w:ascii="Cambria" w:hAnsi="Cambria"/>
          <w:b/>
          <w:bCs/>
          <w:noProof/>
          <w:sz w:val="24"/>
          <w:szCs w:val="24"/>
        </w:rPr>
        <w:t xml:space="preserve">TRANSFORMASI NILAI MODERASI BERAGAMA DALAM MASYARAKAT MULTIKULTURAL: STUDI PENDEKATAN PENDIDIKAN ISLAM </w:t>
      </w:r>
    </w:p>
    <w:p w14:paraId="49A280E7" w14:textId="18965D00" w:rsidR="0043010F" w:rsidRPr="00DC668C" w:rsidRDefault="004A13DC" w:rsidP="00C46936">
      <w:pPr>
        <w:spacing w:after="0" w:line="240" w:lineRule="auto"/>
        <w:jc w:val="center"/>
        <w:rPr>
          <w:rFonts w:ascii="Cambria" w:hAnsi="Cambria"/>
          <w:b/>
          <w:bCs/>
          <w:noProof/>
          <w:sz w:val="24"/>
          <w:szCs w:val="24"/>
        </w:rPr>
      </w:pPr>
      <w:r w:rsidRPr="00DC668C">
        <w:rPr>
          <w:rFonts w:ascii="Cambria" w:hAnsi="Cambria"/>
          <w:b/>
          <w:bCs/>
          <w:noProof/>
          <w:sz w:val="24"/>
          <w:szCs w:val="24"/>
        </w:rPr>
        <w:t>DI KABUPATEN BENGKULU UTARA</w:t>
      </w:r>
    </w:p>
    <w:p w14:paraId="5D00FB80" w14:textId="77777777" w:rsidR="00987703" w:rsidRPr="00DC668C" w:rsidRDefault="00987703" w:rsidP="00987703">
      <w:pPr>
        <w:spacing w:after="120" w:line="240" w:lineRule="auto"/>
        <w:jc w:val="both"/>
        <w:rPr>
          <w:rFonts w:ascii="Cambria" w:hAnsi="Cambria"/>
          <w:noProof/>
          <w:sz w:val="24"/>
          <w:szCs w:val="24"/>
        </w:rPr>
      </w:pPr>
    </w:p>
    <w:p w14:paraId="0F105DCF" w14:textId="39FFD147" w:rsidR="0069573C" w:rsidRPr="00DC668C" w:rsidRDefault="00B34DF0" w:rsidP="00EE05CD">
      <w:pPr>
        <w:spacing w:after="0" w:line="240" w:lineRule="auto"/>
        <w:jc w:val="center"/>
        <w:rPr>
          <w:rFonts w:ascii="Cambria" w:hAnsi="Cambria"/>
          <w:b/>
          <w:bCs/>
          <w:noProof/>
          <w:sz w:val="20"/>
          <w:szCs w:val="20"/>
        </w:rPr>
      </w:pPr>
      <w:r>
        <w:rPr>
          <w:rFonts w:ascii="Cambria" w:hAnsi="Cambria"/>
          <w:b/>
          <w:bCs/>
          <w:noProof/>
          <w:sz w:val="20"/>
          <w:szCs w:val="20"/>
        </w:rPr>
        <w:t>Panca Oktoberi</w:t>
      </w:r>
      <w:r w:rsidR="00790529" w:rsidRPr="00587B25">
        <w:rPr>
          <w:rFonts w:ascii="Cambria" w:hAnsi="Cambria"/>
          <w:b/>
          <w:bCs/>
          <w:noProof/>
          <w:sz w:val="20"/>
          <w:szCs w:val="20"/>
          <w:vertAlign w:val="superscript"/>
        </w:rPr>
        <w:t>1</w:t>
      </w:r>
      <w:r w:rsidR="00D31688">
        <w:rPr>
          <w:rFonts w:ascii="Cambria" w:hAnsi="Cambria"/>
          <w:b/>
          <w:bCs/>
          <w:noProof/>
          <w:sz w:val="20"/>
          <w:szCs w:val="20"/>
        </w:rPr>
        <w:t>, Panca Oktoberi</w:t>
      </w:r>
      <w:r w:rsidR="00790529" w:rsidRPr="00587B25">
        <w:rPr>
          <w:rFonts w:ascii="Cambria" w:hAnsi="Cambria"/>
          <w:b/>
          <w:bCs/>
          <w:noProof/>
          <w:sz w:val="20"/>
          <w:szCs w:val="20"/>
          <w:vertAlign w:val="superscript"/>
        </w:rPr>
        <w:t>2</w:t>
      </w:r>
      <w:r w:rsidR="00D31688">
        <w:rPr>
          <w:rFonts w:ascii="Cambria" w:hAnsi="Cambria"/>
          <w:b/>
          <w:bCs/>
          <w:noProof/>
          <w:sz w:val="20"/>
          <w:szCs w:val="20"/>
        </w:rPr>
        <w:t>, Abdur Rahim</w:t>
      </w:r>
      <w:r w:rsidR="00790529" w:rsidRPr="00587B25">
        <w:rPr>
          <w:rFonts w:ascii="Cambria" w:hAnsi="Cambria"/>
          <w:b/>
          <w:bCs/>
          <w:noProof/>
          <w:sz w:val="20"/>
          <w:szCs w:val="20"/>
          <w:vertAlign w:val="superscript"/>
        </w:rPr>
        <w:t>3</w:t>
      </w:r>
    </w:p>
    <w:p w14:paraId="039052B6" w14:textId="495C9C25" w:rsidR="0069573C" w:rsidRPr="00B34DF0" w:rsidRDefault="00B34DF0" w:rsidP="00EE05CD">
      <w:pPr>
        <w:spacing w:after="0" w:line="240" w:lineRule="auto"/>
        <w:jc w:val="center"/>
        <w:rPr>
          <w:rFonts w:ascii="Cambria" w:hAnsi="Cambria"/>
          <w:noProof/>
          <w:sz w:val="20"/>
          <w:szCs w:val="20"/>
        </w:rPr>
      </w:pPr>
      <w:r w:rsidRPr="00B34DF0">
        <w:rPr>
          <w:rFonts w:ascii="Cambria" w:hAnsi="Cambria"/>
          <w:noProof/>
          <w:sz w:val="20"/>
          <w:szCs w:val="20"/>
        </w:rPr>
        <w:t>panca@mail.uinfasbengkulu.ac.id</w:t>
      </w:r>
    </w:p>
    <w:p w14:paraId="26A5D3B4" w14:textId="7A1A9E23" w:rsidR="008043AF" w:rsidRPr="00587B25" w:rsidRDefault="00587B25" w:rsidP="00EE05CD">
      <w:pPr>
        <w:spacing w:after="0" w:line="240" w:lineRule="auto"/>
        <w:jc w:val="center"/>
        <w:rPr>
          <w:rFonts w:ascii="Cambria" w:eastAsia="Calibri" w:hAnsi="Cambria" w:cs="Arial"/>
          <w:noProof/>
          <w:sz w:val="20"/>
          <w:szCs w:val="20"/>
        </w:rPr>
      </w:pPr>
      <w:r w:rsidRPr="00587B25">
        <w:rPr>
          <w:rFonts w:ascii="Cambria" w:eastAsia="Calibri" w:hAnsi="Cambria" w:cs="Arial"/>
          <w:noProof/>
          <w:sz w:val="20"/>
          <w:szCs w:val="20"/>
          <w:vertAlign w:val="superscript"/>
        </w:rPr>
        <w:t>1</w:t>
      </w:r>
      <w:r w:rsidR="005F58A3">
        <w:rPr>
          <w:rFonts w:ascii="Cambria" w:eastAsia="Calibri" w:hAnsi="Cambria" w:cs="Arial"/>
          <w:noProof/>
          <w:sz w:val="20"/>
          <w:szCs w:val="20"/>
        </w:rPr>
        <w:t>wahyualbar227@gmail. com</w:t>
      </w:r>
    </w:p>
    <w:p w14:paraId="529EE995" w14:textId="5989E772" w:rsidR="00987703" w:rsidRPr="00587B25" w:rsidRDefault="00587B25" w:rsidP="00EE05CD">
      <w:pPr>
        <w:spacing w:after="0" w:line="240" w:lineRule="auto"/>
        <w:jc w:val="center"/>
        <w:rPr>
          <w:rFonts w:ascii="Cambria" w:eastAsia="Calibri" w:hAnsi="Cambria" w:cs="Times New Roman"/>
          <w:noProof/>
          <w:sz w:val="20"/>
          <w:szCs w:val="20"/>
        </w:rPr>
      </w:pPr>
      <w:r w:rsidRPr="00587B25">
        <w:rPr>
          <w:vertAlign w:val="superscript"/>
        </w:rPr>
        <w:t>2</w:t>
      </w:r>
      <w:hyperlink r:id="rId9" w:history="1">
        <w:r w:rsidRPr="00587B25">
          <w:rPr>
            <w:rStyle w:val="Hyperlink"/>
            <w:rFonts w:ascii="Cambria" w:eastAsia="Calibri" w:hAnsi="Cambria" w:cs="Times New Roman"/>
            <w:noProof/>
            <w:color w:val="auto"/>
            <w:sz w:val="20"/>
            <w:szCs w:val="20"/>
            <w:u w:val="none"/>
          </w:rPr>
          <w:t>abdurrahim@mail.uinfasbengkulu.ac.id</w:t>
        </w:r>
      </w:hyperlink>
      <w:bookmarkStart w:id="0" w:name="_GoBack"/>
      <w:bookmarkEnd w:id="0"/>
    </w:p>
    <w:p w14:paraId="3903B3A9" w14:textId="091E44B5" w:rsidR="00987703" w:rsidRPr="00DC668C" w:rsidRDefault="00587B25" w:rsidP="00EE05CD">
      <w:pPr>
        <w:spacing w:after="0" w:line="240" w:lineRule="auto"/>
        <w:jc w:val="center"/>
        <w:rPr>
          <w:rFonts w:ascii="Cambria" w:eastAsia="Calibri" w:hAnsi="Cambria" w:cs="Times New Roman"/>
          <w:noProof/>
          <w:sz w:val="20"/>
          <w:szCs w:val="20"/>
        </w:rPr>
      </w:pPr>
      <w:r>
        <w:rPr>
          <w:rFonts w:ascii="Cambria" w:eastAsia="Calibri" w:hAnsi="Cambria" w:cs="Times New Roman"/>
          <w:noProof/>
          <w:sz w:val="20"/>
          <w:szCs w:val="20"/>
          <w:vertAlign w:val="superscript"/>
        </w:rPr>
        <w:t>3</w:t>
      </w:r>
      <w:r w:rsidR="00C07C53" w:rsidRPr="00DC668C">
        <w:rPr>
          <w:rFonts w:ascii="Cambria" w:eastAsia="Calibri" w:hAnsi="Cambria" w:cs="Times New Roman"/>
          <w:noProof/>
          <w:sz w:val="20"/>
          <w:szCs w:val="20"/>
        </w:rPr>
        <w:t>Siddiq@mail.uinfasbengkulu.ac.id</w:t>
      </w:r>
    </w:p>
    <w:p w14:paraId="41ADDEF4" w14:textId="77777777" w:rsidR="00B53710" w:rsidRPr="00DC668C" w:rsidRDefault="00B53710" w:rsidP="00996034">
      <w:pPr>
        <w:spacing w:after="120" w:line="240" w:lineRule="auto"/>
        <w:jc w:val="both"/>
        <w:rPr>
          <w:rFonts w:ascii="Cambria" w:hAnsi="Cambria"/>
          <w:b/>
          <w:bCs/>
          <w:noProof/>
          <w:sz w:val="24"/>
          <w:szCs w:val="24"/>
        </w:rPr>
      </w:pPr>
    </w:p>
    <w:p w14:paraId="78C34A65" w14:textId="77777777" w:rsidR="005454CF" w:rsidRPr="005454CF" w:rsidRDefault="005454CF" w:rsidP="005454CF">
      <w:pPr>
        <w:spacing w:after="120" w:line="240" w:lineRule="auto"/>
        <w:jc w:val="both"/>
        <w:rPr>
          <w:rFonts w:ascii="Cambria" w:hAnsi="Cambria"/>
          <w:b/>
          <w:bCs/>
          <w:noProof/>
          <w:sz w:val="24"/>
          <w:szCs w:val="24"/>
        </w:rPr>
      </w:pPr>
      <w:r w:rsidRPr="005454CF">
        <w:rPr>
          <w:rFonts w:ascii="Cambria" w:hAnsi="Cambria"/>
          <w:b/>
          <w:bCs/>
          <w:noProof/>
          <w:sz w:val="24"/>
          <w:szCs w:val="24"/>
        </w:rPr>
        <w:t>Abstrak</w:t>
      </w:r>
    </w:p>
    <w:p w14:paraId="7709FED2" w14:textId="77777777" w:rsidR="005454CF" w:rsidRPr="005454CF" w:rsidRDefault="005454CF" w:rsidP="005454CF">
      <w:pPr>
        <w:spacing w:after="120" w:line="240" w:lineRule="auto"/>
        <w:jc w:val="both"/>
        <w:rPr>
          <w:rFonts w:ascii="Cambria" w:hAnsi="Cambria"/>
          <w:noProof/>
          <w:sz w:val="24"/>
          <w:szCs w:val="24"/>
        </w:rPr>
      </w:pPr>
      <w:r w:rsidRPr="005454CF">
        <w:rPr>
          <w:rFonts w:ascii="Cambria" w:hAnsi="Cambria"/>
          <w:noProof/>
          <w:sz w:val="24"/>
          <w:szCs w:val="24"/>
        </w:rPr>
        <w:t>Program penguatan sikap moderasi beragama di Kabupaten Bengkulu Utara merupakan upaya strategis untuk memperkuat harmoni sosial dalam masyarakat multikultural. Penelitian ini bertujuan untuk mengkaji implementasi program tersebut dalam perspektif pendidikan Islam serta mengidentifikasi faktor-faktor pendukung keberhasilannya. Menggunakan pendekatan kualitatif dan metode studi kasus, data diperoleh melalui wawancara mendalam, observasi, dan analisis dokumen program.</w:t>
      </w:r>
    </w:p>
    <w:p w14:paraId="5581C17D" w14:textId="77777777" w:rsidR="005454CF" w:rsidRPr="005454CF" w:rsidRDefault="005454CF" w:rsidP="005454CF">
      <w:pPr>
        <w:spacing w:after="120" w:line="240" w:lineRule="auto"/>
        <w:jc w:val="both"/>
        <w:rPr>
          <w:rFonts w:ascii="Cambria" w:hAnsi="Cambria"/>
          <w:noProof/>
          <w:sz w:val="24"/>
          <w:szCs w:val="24"/>
        </w:rPr>
      </w:pPr>
      <w:r w:rsidRPr="005454CF">
        <w:rPr>
          <w:rFonts w:ascii="Cambria" w:hAnsi="Cambria"/>
          <w:noProof/>
          <w:sz w:val="24"/>
          <w:szCs w:val="24"/>
        </w:rPr>
        <w:t>Hasil penelitian menunjukkan bahwa program dilaksanakan melalui kegiatan seperti dialog lintas agama, kerja bakti lintas umat, pelatihan moderasi beragama, dan perayaan keagamaan inklusif. Forum Perwakilan Umat Beragama (FPUB) menjadi fasilitator utama dalam penyelenggaraan program. Lima faktor pendukung utama teridentifikasi: peran aktif institusi formal, dokumen perencanaan yang jelas, kondisi sosial masyarakat yang terbuka, keterlibatan tokoh agama, dan logika program yang terstruktur.</w:t>
      </w:r>
    </w:p>
    <w:p w14:paraId="6DE8B458" w14:textId="77777777" w:rsidR="005454CF" w:rsidRPr="005454CF" w:rsidRDefault="005454CF" w:rsidP="005454CF">
      <w:pPr>
        <w:spacing w:after="120" w:line="240" w:lineRule="auto"/>
        <w:jc w:val="both"/>
        <w:rPr>
          <w:rFonts w:ascii="Cambria" w:hAnsi="Cambria"/>
          <w:noProof/>
          <w:sz w:val="24"/>
          <w:szCs w:val="24"/>
        </w:rPr>
      </w:pPr>
      <w:r w:rsidRPr="005454CF">
        <w:rPr>
          <w:rFonts w:ascii="Cambria" w:hAnsi="Cambria"/>
          <w:noProof/>
          <w:sz w:val="24"/>
          <w:szCs w:val="24"/>
        </w:rPr>
        <w:t>Evaluasi program menggunakan pendekatan Ralph W. Tyler, menekankan aspek perencanaan, pelaksanaan, dan hasil. Temuan ini memperlihatkan bahwa nilai-nilai Islam moderat dapat diinternalisasi melalui pendidikan berbasis komunitas yang partisipatif dan inklusif.</w:t>
      </w:r>
    </w:p>
    <w:p w14:paraId="297D60AC" w14:textId="49F28186" w:rsidR="00520709" w:rsidRPr="005454CF" w:rsidRDefault="005454CF" w:rsidP="005454CF">
      <w:pPr>
        <w:spacing w:after="120" w:line="240" w:lineRule="auto"/>
        <w:jc w:val="both"/>
        <w:rPr>
          <w:rFonts w:ascii="Cambria" w:hAnsi="Cambria"/>
          <w:b/>
          <w:bCs/>
          <w:noProof/>
          <w:sz w:val="24"/>
          <w:szCs w:val="24"/>
        </w:rPr>
      </w:pPr>
      <w:r w:rsidRPr="005454CF">
        <w:rPr>
          <w:rFonts w:ascii="Cambria" w:hAnsi="Cambria"/>
          <w:b/>
          <w:bCs/>
          <w:noProof/>
          <w:sz w:val="24"/>
          <w:szCs w:val="24"/>
        </w:rPr>
        <w:t>Kata Kunci</w:t>
      </w:r>
    </w:p>
    <w:p w14:paraId="44E632CE" w14:textId="775FBFC0" w:rsidR="00695AD7" w:rsidRDefault="005454CF" w:rsidP="005454CF">
      <w:pPr>
        <w:spacing w:after="120" w:line="240" w:lineRule="auto"/>
        <w:jc w:val="both"/>
        <w:rPr>
          <w:rFonts w:ascii="Cambria" w:hAnsi="Cambria"/>
          <w:noProof/>
          <w:sz w:val="24"/>
          <w:szCs w:val="24"/>
        </w:rPr>
      </w:pPr>
      <w:r w:rsidRPr="005454CF">
        <w:rPr>
          <w:rFonts w:ascii="Cambria" w:hAnsi="Cambria"/>
          <w:noProof/>
          <w:sz w:val="24"/>
          <w:szCs w:val="24"/>
        </w:rPr>
        <w:t>Moderasi Beragama; Pendidikan Islam; FPUB; Evaluasi Program; Kohesi Sosial.</w:t>
      </w:r>
    </w:p>
    <w:p w14:paraId="2F4C334B" w14:textId="77777777" w:rsidR="00520709" w:rsidRPr="00B53710" w:rsidRDefault="00520709" w:rsidP="005454CF">
      <w:pPr>
        <w:spacing w:after="120" w:line="240" w:lineRule="auto"/>
        <w:jc w:val="both"/>
        <w:rPr>
          <w:rFonts w:ascii="Cambria" w:hAnsi="Cambria"/>
          <w:noProof/>
          <w:sz w:val="2"/>
          <w:szCs w:val="2"/>
        </w:rPr>
      </w:pPr>
    </w:p>
    <w:p w14:paraId="2C82E7DD" w14:textId="77777777" w:rsidR="005454CF" w:rsidRPr="005454CF" w:rsidRDefault="005454CF" w:rsidP="005454CF">
      <w:pPr>
        <w:spacing w:after="120" w:line="240" w:lineRule="auto"/>
        <w:jc w:val="both"/>
        <w:rPr>
          <w:rFonts w:ascii="Cambria" w:hAnsi="Cambria"/>
          <w:b/>
          <w:bCs/>
          <w:noProof/>
          <w:sz w:val="24"/>
          <w:szCs w:val="24"/>
        </w:rPr>
      </w:pPr>
      <w:r w:rsidRPr="005454CF">
        <w:rPr>
          <w:rFonts w:ascii="Cambria" w:hAnsi="Cambria"/>
          <w:b/>
          <w:bCs/>
          <w:noProof/>
          <w:sz w:val="24"/>
          <w:szCs w:val="24"/>
        </w:rPr>
        <w:t>Abstract</w:t>
      </w:r>
    </w:p>
    <w:p w14:paraId="3505DBEF" w14:textId="77777777" w:rsidR="005454CF" w:rsidRPr="005454CF" w:rsidRDefault="005454CF" w:rsidP="005454CF">
      <w:pPr>
        <w:spacing w:after="120" w:line="240" w:lineRule="auto"/>
        <w:jc w:val="both"/>
        <w:rPr>
          <w:rFonts w:ascii="Cambria" w:hAnsi="Cambria"/>
          <w:noProof/>
          <w:sz w:val="24"/>
          <w:szCs w:val="24"/>
        </w:rPr>
      </w:pPr>
      <w:r w:rsidRPr="005454CF">
        <w:rPr>
          <w:rFonts w:ascii="Cambria" w:hAnsi="Cambria"/>
          <w:noProof/>
          <w:sz w:val="24"/>
          <w:szCs w:val="24"/>
        </w:rPr>
        <w:t>The religious moderation reinforcement program in North Bengkulu Regency is a strategic effort to strengthen social harmony in a multicultural society. This study aims to examine the implementation of the program from the perspective of Islamic education and to identify supporting factors behind its success. Using a qualitative approach and case study method, data were collected through in-depth interviews, observations, and document analysis.</w:t>
      </w:r>
    </w:p>
    <w:p w14:paraId="3CD320B6" w14:textId="77777777" w:rsidR="005454CF" w:rsidRPr="005454CF" w:rsidRDefault="005454CF" w:rsidP="005454CF">
      <w:pPr>
        <w:spacing w:after="120" w:line="240" w:lineRule="auto"/>
        <w:jc w:val="both"/>
        <w:rPr>
          <w:rFonts w:ascii="Cambria" w:hAnsi="Cambria"/>
          <w:noProof/>
          <w:sz w:val="24"/>
          <w:szCs w:val="24"/>
        </w:rPr>
      </w:pPr>
      <w:r w:rsidRPr="005454CF">
        <w:rPr>
          <w:rFonts w:ascii="Cambria" w:hAnsi="Cambria"/>
          <w:noProof/>
          <w:sz w:val="24"/>
          <w:szCs w:val="24"/>
        </w:rPr>
        <w:t xml:space="preserve">The findings show that the program was implemented through various activities such as interfaith dialogue, communal work across religious groups, religious moderation training, and inclusive celebrations of religious holidays. The Interfaith Religious Representatives Forum (FPUB) served as the main facilitator in carrying out the </w:t>
      </w:r>
      <w:r w:rsidRPr="005454CF">
        <w:rPr>
          <w:rFonts w:ascii="Cambria" w:hAnsi="Cambria"/>
          <w:noProof/>
          <w:sz w:val="24"/>
          <w:szCs w:val="24"/>
        </w:rPr>
        <w:lastRenderedPageBreak/>
        <w:t>program. Five key supporting factors were identified: active roles of formal institutions, clear planning documents, an open and pluralistic social environment, involvement of religious leaders, and a well-structured program logic.</w:t>
      </w:r>
    </w:p>
    <w:p w14:paraId="0A9ACB80" w14:textId="77777777" w:rsidR="005454CF" w:rsidRPr="005454CF" w:rsidRDefault="005454CF" w:rsidP="005454CF">
      <w:pPr>
        <w:spacing w:after="120" w:line="240" w:lineRule="auto"/>
        <w:jc w:val="both"/>
        <w:rPr>
          <w:rFonts w:ascii="Cambria" w:hAnsi="Cambria"/>
          <w:noProof/>
          <w:sz w:val="24"/>
          <w:szCs w:val="24"/>
        </w:rPr>
      </w:pPr>
      <w:r w:rsidRPr="005454CF">
        <w:rPr>
          <w:rFonts w:ascii="Cambria" w:hAnsi="Cambria"/>
          <w:noProof/>
          <w:sz w:val="24"/>
          <w:szCs w:val="24"/>
        </w:rPr>
        <w:t>Program evaluation was conducted using Ralph W. Tyler’s model, emphasizing planning, implementation, and outcomes. The findings demonstrate that moderate Islamic values can be internalized through participatory and community-based religious education.</w:t>
      </w:r>
    </w:p>
    <w:p w14:paraId="6F7D97C2" w14:textId="77777777" w:rsidR="005454CF" w:rsidRPr="005454CF" w:rsidRDefault="005454CF" w:rsidP="005454CF">
      <w:pPr>
        <w:spacing w:after="120" w:line="240" w:lineRule="auto"/>
        <w:jc w:val="both"/>
        <w:rPr>
          <w:rFonts w:ascii="Cambria" w:hAnsi="Cambria"/>
          <w:b/>
          <w:bCs/>
          <w:noProof/>
          <w:sz w:val="24"/>
          <w:szCs w:val="24"/>
        </w:rPr>
      </w:pPr>
      <w:r w:rsidRPr="005454CF">
        <w:rPr>
          <w:rFonts w:ascii="Cambria" w:hAnsi="Cambria"/>
          <w:b/>
          <w:bCs/>
          <w:noProof/>
          <w:sz w:val="24"/>
          <w:szCs w:val="24"/>
        </w:rPr>
        <w:t>Keywords</w:t>
      </w:r>
    </w:p>
    <w:p w14:paraId="4033D866" w14:textId="77777777" w:rsidR="005454CF" w:rsidRPr="005454CF" w:rsidRDefault="005454CF" w:rsidP="005454CF">
      <w:pPr>
        <w:spacing w:after="120" w:line="240" w:lineRule="auto"/>
        <w:jc w:val="both"/>
        <w:rPr>
          <w:rFonts w:ascii="Cambria" w:hAnsi="Cambria"/>
          <w:noProof/>
          <w:sz w:val="24"/>
          <w:szCs w:val="24"/>
        </w:rPr>
      </w:pPr>
      <w:r w:rsidRPr="005454CF">
        <w:rPr>
          <w:rFonts w:ascii="Cambria" w:hAnsi="Cambria"/>
          <w:noProof/>
          <w:sz w:val="24"/>
          <w:szCs w:val="24"/>
        </w:rPr>
        <w:t>Religious Moderation; Islamic Education; FPUB; Program Evaluation; Social Cohesion.</w:t>
      </w:r>
    </w:p>
    <w:p w14:paraId="0BF739D0" w14:textId="77777777" w:rsidR="00520709" w:rsidRDefault="00520709" w:rsidP="00996034">
      <w:pPr>
        <w:spacing w:after="120" w:line="240" w:lineRule="auto"/>
        <w:jc w:val="both"/>
        <w:rPr>
          <w:rFonts w:ascii="Cambria" w:hAnsi="Cambria"/>
          <w:b/>
          <w:bCs/>
          <w:noProof/>
          <w:sz w:val="24"/>
          <w:szCs w:val="24"/>
        </w:rPr>
        <w:sectPr w:rsidR="00520709" w:rsidSect="00520709">
          <w:pgSz w:w="11906" w:h="16838"/>
          <w:pgMar w:top="1440" w:right="1440" w:bottom="1440" w:left="1440" w:header="708" w:footer="708" w:gutter="0"/>
          <w:cols w:space="708"/>
          <w:docGrid w:linePitch="360"/>
        </w:sectPr>
      </w:pPr>
    </w:p>
    <w:p w14:paraId="59DD0702" w14:textId="164C6624" w:rsidR="00AC1006" w:rsidRPr="00DC668C" w:rsidRDefault="00DC0830" w:rsidP="00996034">
      <w:pPr>
        <w:spacing w:after="120" w:line="240" w:lineRule="auto"/>
        <w:jc w:val="both"/>
        <w:rPr>
          <w:rFonts w:ascii="Cambria" w:hAnsi="Cambria"/>
          <w:b/>
          <w:bCs/>
          <w:noProof/>
          <w:sz w:val="24"/>
          <w:szCs w:val="24"/>
        </w:rPr>
      </w:pPr>
      <w:r w:rsidRPr="00DC668C">
        <w:rPr>
          <w:rFonts w:ascii="Cambria" w:hAnsi="Cambria"/>
          <w:b/>
          <w:bCs/>
          <w:noProof/>
          <w:sz w:val="24"/>
          <w:szCs w:val="24"/>
        </w:rPr>
        <w:lastRenderedPageBreak/>
        <w:t>Pendahuluan</w:t>
      </w:r>
    </w:p>
    <w:p w14:paraId="4C9CCF88" w14:textId="793E72CD" w:rsidR="00FE7709" w:rsidRPr="00FE7709" w:rsidRDefault="00FE7709" w:rsidP="00FE7709">
      <w:pPr>
        <w:spacing w:after="120" w:line="240" w:lineRule="auto"/>
        <w:jc w:val="both"/>
        <w:rPr>
          <w:rFonts w:ascii="Cambria" w:hAnsi="Cambria"/>
          <w:noProof/>
          <w:sz w:val="24"/>
          <w:szCs w:val="24"/>
        </w:rPr>
      </w:pPr>
      <w:r w:rsidRPr="00FE7709">
        <w:rPr>
          <w:rFonts w:ascii="Cambria" w:hAnsi="Cambria"/>
          <w:noProof/>
          <w:sz w:val="24"/>
          <w:szCs w:val="24"/>
        </w:rPr>
        <w:t>Indonesia merupakan negara multikultural dengan keragaman agama, budaya, suku, dan bahasa. Keberagaman ini di satu sisi menjadi kekayaan bangsa, namun di sisi lain dapat memicu konflik sosial jika tidak dikelola dengan baik. Fenomena intoleransi, ujaran kebencian berbasis agama, dan radikalisme menjadi tantangan serius dalam menjaga stabilitas sosial dan integrasi nasional. Data Setara Institute pada tahun 2022 mencatat setidaknya 171 peristiwa pelanggaran kebebasan beragama dan berkeyakinan di Indonesia, yang sebagian besar terjadi karena lemahnya penguatan nilai toleransi dan sikap keberagamaan yang moderat.</w:t>
      </w:r>
      <w:r w:rsidRPr="00DC668C">
        <w:rPr>
          <w:rStyle w:val="FootnoteReference"/>
          <w:rFonts w:ascii="Cambria" w:hAnsi="Cambria"/>
          <w:noProof/>
          <w:sz w:val="24"/>
          <w:szCs w:val="24"/>
        </w:rPr>
        <w:footnoteReference w:id="1"/>
      </w:r>
      <w:r w:rsidRPr="00FE7709">
        <w:rPr>
          <w:rFonts w:ascii="Cambria" w:hAnsi="Cambria"/>
          <w:noProof/>
          <w:sz w:val="24"/>
          <w:szCs w:val="24"/>
        </w:rPr>
        <w:t xml:space="preserve"> Oleh karena itu, moderasi beragama menjadi pendekatan strategis untuk memperkuat kohesi sosial dan menciptakan kehidupan keagamaan yang harmonis dalam masyarakat majemuk.</w:t>
      </w:r>
    </w:p>
    <w:p w14:paraId="36D2676E" w14:textId="41CA2248" w:rsidR="00FE7709" w:rsidRPr="00FE7709" w:rsidRDefault="00FE7709" w:rsidP="00FE7709">
      <w:pPr>
        <w:spacing w:after="120" w:line="240" w:lineRule="auto"/>
        <w:jc w:val="both"/>
        <w:rPr>
          <w:rFonts w:ascii="Cambria" w:hAnsi="Cambria"/>
          <w:noProof/>
          <w:sz w:val="24"/>
          <w:szCs w:val="24"/>
        </w:rPr>
      </w:pPr>
      <w:r w:rsidRPr="00FE7709">
        <w:rPr>
          <w:rFonts w:ascii="Cambria" w:hAnsi="Cambria"/>
          <w:noProof/>
          <w:sz w:val="24"/>
          <w:szCs w:val="24"/>
        </w:rPr>
        <w:t>Moderasi beragama merupakan sikap tengah yang menjunjung tinggi prinsip keadilan, keseimbangan, toleransi, serta penolakan terhadap kekerasan dalam beragama.</w:t>
      </w:r>
      <w:r w:rsidR="000F6DA6" w:rsidRPr="00DC668C">
        <w:rPr>
          <w:rStyle w:val="FootnoteReference"/>
          <w:rFonts w:ascii="Cambria" w:hAnsi="Cambria"/>
          <w:noProof/>
          <w:sz w:val="24"/>
          <w:szCs w:val="24"/>
        </w:rPr>
        <w:footnoteReference w:id="2"/>
      </w:r>
      <w:r w:rsidRPr="00FE7709">
        <w:rPr>
          <w:rFonts w:ascii="Cambria" w:hAnsi="Cambria"/>
          <w:noProof/>
          <w:sz w:val="24"/>
          <w:szCs w:val="24"/>
        </w:rPr>
        <w:t xml:space="preserve"> Konsep ini tidak hanya bersifat normatif dalam ajaran agama, tetapi juga sangat relevan dalam praksis kehidupan sosial, terutama dalam membangun tatanan masyarakat yang damai dan inklusif. Dalam perspektif Islam, prinsip moderasi (wasathiyah) telah ditegaskan dalam Al-Qur’an Surah Al-Baqarah ayat 143, yang menyebut umat Islam sebagai </w:t>
      </w:r>
      <w:r w:rsidRPr="00FE7709">
        <w:rPr>
          <w:rFonts w:ascii="Cambria" w:hAnsi="Cambria"/>
          <w:i/>
          <w:iCs/>
          <w:noProof/>
          <w:sz w:val="24"/>
          <w:szCs w:val="24"/>
        </w:rPr>
        <w:t>ummatan wasathan</w:t>
      </w:r>
      <w:r w:rsidRPr="00FE7709">
        <w:rPr>
          <w:rFonts w:ascii="Cambria" w:hAnsi="Cambria"/>
          <w:noProof/>
          <w:sz w:val="24"/>
          <w:szCs w:val="24"/>
        </w:rPr>
        <w:t>, yakni umat yang adil dan seimbang.</w:t>
      </w:r>
    </w:p>
    <w:p w14:paraId="40D6BB55" w14:textId="69C6D033" w:rsidR="00FE7709" w:rsidRPr="00FE7709" w:rsidRDefault="00FE7709" w:rsidP="00FE7709">
      <w:pPr>
        <w:spacing w:after="120" w:line="240" w:lineRule="auto"/>
        <w:jc w:val="both"/>
        <w:rPr>
          <w:rFonts w:ascii="Cambria" w:hAnsi="Cambria"/>
          <w:noProof/>
          <w:sz w:val="24"/>
          <w:szCs w:val="24"/>
        </w:rPr>
      </w:pPr>
      <w:r w:rsidRPr="00FE7709">
        <w:rPr>
          <w:rFonts w:ascii="Cambria" w:hAnsi="Cambria"/>
          <w:noProof/>
          <w:sz w:val="24"/>
          <w:szCs w:val="24"/>
        </w:rPr>
        <w:t>Sejumlah penelitian sebelumnya telah membahas penguatan moderasi beragama dalam berbagai konteks. Hidayat (2020) menekankan pentingnya pendidikan agama inklusif dalam menanamkan sikap moderat sejak dini, khususnya di lingkungan sekolah.</w:t>
      </w:r>
      <w:r w:rsidR="007A5D22" w:rsidRPr="00DC668C">
        <w:rPr>
          <w:rStyle w:val="FootnoteReference"/>
          <w:rFonts w:ascii="Cambria" w:hAnsi="Cambria"/>
          <w:noProof/>
          <w:sz w:val="24"/>
          <w:szCs w:val="24"/>
        </w:rPr>
        <w:footnoteReference w:id="3"/>
      </w:r>
      <w:r w:rsidRPr="00FE7709">
        <w:rPr>
          <w:rFonts w:ascii="Cambria" w:hAnsi="Cambria"/>
          <w:noProof/>
          <w:sz w:val="24"/>
          <w:szCs w:val="24"/>
        </w:rPr>
        <w:t xml:space="preserve"> Latifah &amp; Rohman (2021) memaparkan bahwa program-program pemerintah seperti pelatihan guru, dialog lintas iman, dan kampanye toleransi melalui media sosial menjadi bagian penting dalam mendukung sikap keberagamaan yang moderat.</w:t>
      </w:r>
      <w:r w:rsidR="007A5D22" w:rsidRPr="00DC668C">
        <w:rPr>
          <w:rStyle w:val="FootnoteReference"/>
          <w:rFonts w:ascii="Cambria" w:hAnsi="Cambria"/>
          <w:noProof/>
          <w:sz w:val="24"/>
          <w:szCs w:val="24"/>
        </w:rPr>
        <w:footnoteReference w:id="4"/>
      </w:r>
      <w:r w:rsidRPr="00FE7709">
        <w:rPr>
          <w:rFonts w:ascii="Cambria" w:hAnsi="Cambria"/>
          <w:noProof/>
          <w:sz w:val="24"/>
          <w:szCs w:val="24"/>
        </w:rPr>
        <w:t xml:space="preserve"> Namun demikian, penelitian-penelitian tersebut cenderung fokus pada wilayah perkotaan dan institusi formal pendidikan, sementara konteks wilayah pedesaan atau kabupaten yang memiliki karakter sosiokultural berbeda masih jarang dikaji secara mendalam.</w:t>
      </w:r>
    </w:p>
    <w:p w14:paraId="08DD7397" w14:textId="77777777" w:rsidR="00FE7709" w:rsidRPr="00FE7709" w:rsidRDefault="00FE7709" w:rsidP="00FE7709">
      <w:pPr>
        <w:spacing w:after="120" w:line="240" w:lineRule="auto"/>
        <w:jc w:val="both"/>
        <w:rPr>
          <w:rFonts w:ascii="Cambria" w:hAnsi="Cambria"/>
          <w:noProof/>
          <w:sz w:val="24"/>
          <w:szCs w:val="24"/>
        </w:rPr>
      </w:pPr>
      <w:r w:rsidRPr="00FE7709">
        <w:rPr>
          <w:rFonts w:ascii="Cambria" w:hAnsi="Cambria"/>
          <w:noProof/>
          <w:sz w:val="24"/>
          <w:szCs w:val="24"/>
        </w:rPr>
        <w:t xml:space="preserve">Kekosongan inilah yang menjadi dasar kebaruan ilmiah artikel ini. Artikel ini secara khusus mengkaji implementasi program penguatan moderasi beragama di wilayah </w:t>
      </w:r>
      <w:r w:rsidRPr="00FE7709">
        <w:rPr>
          <w:rFonts w:ascii="Cambria" w:hAnsi="Cambria"/>
          <w:noProof/>
          <w:sz w:val="24"/>
          <w:szCs w:val="24"/>
        </w:rPr>
        <w:lastRenderedPageBreak/>
        <w:t>Kabupaten Bengkulu Utara—suatu wilayah multikultural yang dihuni oleh berbagai etnis dan agama. Penelitian ini menggunakan perspektif pendidikan Islam untuk menilai bagaimana nilai-nilai moderasi ditanamkan dan diinternalisasi melalui pendekatan sosial-keagamaan berbasis masyarakat. Dengan memadukan pendekatan pendidikan dan kajian sosial, artikel ini menawarkan model alternatif dalam penguatan moderasi beragama di daerah non-perkotaan.</w:t>
      </w:r>
    </w:p>
    <w:p w14:paraId="32A814D0" w14:textId="77777777" w:rsidR="00FE7709" w:rsidRPr="00FE7709" w:rsidRDefault="00FE7709" w:rsidP="00FE7709">
      <w:pPr>
        <w:spacing w:after="120" w:line="240" w:lineRule="auto"/>
        <w:jc w:val="both"/>
        <w:rPr>
          <w:rFonts w:ascii="Cambria" w:hAnsi="Cambria"/>
          <w:noProof/>
          <w:sz w:val="24"/>
          <w:szCs w:val="24"/>
        </w:rPr>
      </w:pPr>
      <w:r w:rsidRPr="00FE7709">
        <w:rPr>
          <w:rFonts w:ascii="Cambria" w:hAnsi="Cambria"/>
          <w:noProof/>
          <w:sz w:val="24"/>
          <w:szCs w:val="24"/>
        </w:rPr>
        <w:t>Permasalahan yang diangkat dalam artikel ini adalah: (1) Bagaimana pelaksanaan program penguatan sikap moderasi beragama di Kabupaten Bengkulu Utara? dan (2) Sejauh mana kesesuaian program tersebut dengan prinsip-prinsip pendidikan Islam? Penelitian ini dilakukan dengan pendekatan kualitatif deskriptif, menggunakan teknik pengumpulan data melalui observasi, wawancara mendalam, dan dokumentasi. Analisis data dilakukan secara induktif untuk menggali proses, dinamika, dan efektivitas program dalam membentuk sikap keberagamaan yang moderat.</w:t>
      </w:r>
    </w:p>
    <w:p w14:paraId="26B98636" w14:textId="3B4665EA" w:rsidR="00302204" w:rsidRPr="00DC668C" w:rsidRDefault="00FE7709" w:rsidP="00996034">
      <w:pPr>
        <w:spacing w:after="120" w:line="240" w:lineRule="auto"/>
        <w:jc w:val="both"/>
        <w:rPr>
          <w:rFonts w:ascii="Cambria" w:hAnsi="Cambria"/>
          <w:noProof/>
          <w:sz w:val="24"/>
          <w:szCs w:val="24"/>
        </w:rPr>
      </w:pPr>
      <w:r w:rsidRPr="00FE7709">
        <w:rPr>
          <w:rFonts w:ascii="Cambria" w:hAnsi="Cambria"/>
          <w:noProof/>
          <w:sz w:val="24"/>
          <w:szCs w:val="24"/>
        </w:rPr>
        <w:t>Adapun tujuan dari kajian ini adalah untuk mendeskripsikan pelaksanaan program penguatan moderasi beragama di Kabupaten Bengkulu Utara serta menganalisis relevansinya dalam perspektif pendidikan Islam. Harapannya, hasil penelitian ini dapat memberikan kontribusi teoritis bagi pengembangan pendidikan Islam berbasis masyarakat dan menawarkan model praktis dalam implementasi moderasi beragama di wilayah multikultural pedesaan.</w:t>
      </w:r>
    </w:p>
    <w:p w14:paraId="259B4B1E" w14:textId="3C5BBEF5" w:rsidR="00983363" w:rsidRPr="00DC668C" w:rsidRDefault="00916494" w:rsidP="00996034">
      <w:pPr>
        <w:spacing w:after="120" w:line="240" w:lineRule="auto"/>
        <w:jc w:val="both"/>
        <w:rPr>
          <w:rFonts w:ascii="Cambria" w:hAnsi="Cambria"/>
          <w:b/>
          <w:bCs/>
          <w:noProof/>
          <w:sz w:val="24"/>
          <w:szCs w:val="24"/>
        </w:rPr>
      </w:pPr>
      <w:r w:rsidRPr="00DC668C">
        <w:rPr>
          <w:rFonts w:ascii="Cambria" w:hAnsi="Cambria"/>
          <w:b/>
          <w:bCs/>
          <w:noProof/>
          <w:sz w:val="24"/>
          <w:szCs w:val="24"/>
        </w:rPr>
        <w:t>Pem</w:t>
      </w:r>
      <w:r w:rsidR="0081359E" w:rsidRPr="00DC668C">
        <w:rPr>
          <w:rFonts w:ascii="Cambria" w:hAnsi="Cambria"/>
          <w:b/>
          <w:bCs/>
          <w:noProof/>
          <w:sz w:val="24"/>
          <w:szCs w:val="24"/>
        </w:rPr>
        <w:t>ba</w:t>
      </w:r>
      <w:r w:rsidRPr="00DC668C">
        <w:rPr>
          <w:rFonts w:ascii="Cambria" w:hAnsi="Cambria"/>
          <w:b/>
          <w:bCs/>
          <w:noProof/>
          <w:sz w:val="24"/>
          <w:szCs w:val="24"/>
        </w:rPr>
        <w:t>hasan</w:t>
      </w:r>
    </w:p>
    <w:p w14:paraId="30F46BB2" w14:textId="646A9A9E" w:rsidR="005652BB" w:rsidRPr="00DC668C" w:rsidRDefault="005652BB" w:rsidP="007A5D22">
      <w:pPr>
        <w:pStyle w:val="ListParagraph"/>
        <w:numPr>
          <w:ilvl w:val="0"/>
          <w:numId w:val="5"/>
        </w:numPr>
        <w:spacing w:after="120" w:line="240" w:lineRule="auto"/>
        <w:ind w:left="284" w:hanging="284"/>
        <w:jc w:val="both"/>
        <w:rPr>
          <w:rFonts w:ascii="Cambria" w:hAnsi="Cambria"/>
          <w:b/>
          <w:bCs/>
          <w:noProof/>
          <w:sz w:val="24"/>
          <w:szCs w:val="24"/>
        </w:rPr>
      </w:pPr>
      <w:r w:rsidRPr="00DC668C">
        <w:rPr>
          <w:rFonts w:ascii="Cambria" w:hAnsi="Cambria"/>
          <w:b/>
          <w:bCs/>
          <w:noProof/>
          <w:sz w:val="24"/>
          <w:szCs w:val="24"/>
        </w:rPr>
        <w:t xml:space="preserve">Program Penguatan Sikap Moderasi Beragama Pada Masyarakat </w:t>
      </w:r>
      <w:r w:rsidR="00DC668C" w:rsidRPr="00DC668C">
        <w:rPr>
          <w:rFonts w:ascii="Cambria" w:hAnsi="Cambria"/>
          <w:b/>
          <w:bCs/>
          <w:noProof/>
          <w:sz w:val="24"/>
          <w:szCs w:val="24"/>
        </w:rPr>
        <w:t>Kab. Bengkulu Utara</w:t>
      </w:r>
      <w:r w:rsidRPr="00DC668C">
        <w:rPr>
          <w:rFonts w:ascii="Cambria" w:hAnsi="Cambria"/>
          <w:b/>
          <w:bCs/>
          <w:noProof/>
          <w:sz w:val="24"/>
          <w:szCs w:val="24"/>
        </w:rPr>
        <w:t xml:space="preserve"> </w:t>
      </w:r>
    </w:p>
    <w:p w14:paraId="1765D0F6" w14:textId="528BA84A" w:rsidR="009D614D" w:rsidRPr="00DC668C" w:rsidRDefault="009D614D" w:rsidP="007A5D22">
      <w:pPr>
        <w:spacing w:after="120" w:line="240" w:lineRule="auto"/>
        <w:ind w:firstLine="284"/>
        <w:jc w:val="both"/>
        <w:rPr>
          <w:rFonts w:ascii="Cambria" w:hAnsi="Cambria"/>
          <w:noProof/>
          <w:sz w:val="24"/>
          <w:szCs w:val="24"/>
        </w:rPr>
      </w:pPr>
      <w:r w:rsidRPr="00DC668C">
        <w:rPr>
          <w:rFonts w:ascii="Cambria" w:hAnsi="Cambria"/>
          <w:noProof/>
          <w:sz w:val="24"/>
          <w:szCs w:val="24"/>
        </w:rPr>
        <w:t>Beberapa kegiatan tersebut antara lain: dialog lintas agama yang rutin dilaksanakan untuk membahas isu-isu sosial kemasyarakatan, kerja bakti lintas umat yang melibatkan seluruh warga tanpa membedakan latar belakang agama, serta pelatihan moderasi beragama yang difasilitasi oleh tokoh agama dan akademisi.</w:t>
      </w:r>
      <w:r w:rsidR="00073D16">
        <w:rPr>
          <w:rStyle w:val="FootnoteReference"/>
          <w:rFonts w:ascii="Cambria" w:hAnsi="Cambria"/>
          <w:noProof/>
          <w:sz w:val="24"/>
          <w:szCs w:val="24"/>
        </w:rPr>
        <w:footnoteReference w:id="5"/>
      </w:r>
      <w:r w:rsidRPr="00DC668C">
        <w:rPr>
          <w:rFonts w:ascii="Cambria" w:hAnsi="Cambria"/>
          <w:noProof/>
          <w:sz w:val="24"/>
          <w:szCs w:val="24"/>
        </w:rPr>
        <w:t xml:space="preserve"> Selain itu, kegiatan perayaan hari besar keagamaan juga sering dilakukan secara inklusif dengan mengundang partisipasi dari pemeluk agama lain sebagai bentuk apresiasi terhadap keberagaman budaya dan keyakinan.</w:t>
      </w:r>
      <w:r w:rsidR="00073D16">
        <w:rPr>
          <w:rStyle w:val="FootnoteReference"/>
          <w:rFonts w:ascii="Cambria" w:hAnsi="Cambria"/>
          <w:noProof/>
          <w:sz w:val="24"/>
          <w:szCs w:val="24"/>
        </w:rPr>
        <w:footnoteReference w:id="6"/>
      </w:r>
    </w:p>
    <w:p w14:paraId="380E36DF" w14:textId="47FBAAAA" w:rsidR="009D614D" w:rsidRPr="00DC668C" w:rsidRDefault="009D614D" w:rsidP="007A5D22">
      <w:pPr>
        <w:spacing w:after="120" w:line="240" w:lineRule="auto"/>
        <w:ind w:firstLine="284"/>
        <w:jc w:val="both"/>
        <w:rPr>
          <w:rFonts w:ascii="Cambria" w:hAnsi="Cambria"/>
          <w:noProof/>
          <w:sz w:val="24"/>
          <w:szCs w:val="24"/>
        </w:rPr>
      </w:pPr>
      <w:r w:rsidRPr="00DC668C">
        <w:rPr>
          <w:rFonts w:ascii="Cambria" w:hAnsi="Cambria"/>
          <w:noProof/>
          <w:sz w:val="24"/>
          <w:szCs w:val="24"/>
        </w:rPr>
        <w:t>Kegiatan-kegiatan tersebut tidak hanya memperkuat hubungan antarumat beragama, tetapi juga menjadi sarana edukatif dalam menanamkan nilai-nilai keagamaan yang toleran dan damai. Implementasi program ini menunjukkan bahwa moderasi beragama bukan sekadar konsep normatif, melainkan bisa diwujudkan dalam praktik sosial yang nyata dan relevan dengan kebutuhan masyarakat pedesaan multikultural.</w:t>
      </w:r>
      <w:r w:rsidR="00073D16">
        <w:rPr>
          <w:rStyle w:val="FootnoteReference"/>
          <w:rFonts w:ascii="Cambria" w:hAnsi="Cambria"/>
          <w:noProof/>
          <w:sz w:val="24"/>
          <w:szCs w:val="24"/>
        </w:rPr>
        <w:footnoteReference w:id="7"/>
      </w:r>
    </w:p>
    <w:p w14:paraId="145BEA1F" w14:textId="0E7A96EE" w:rsidR="009D614D" w:rsidRPr="00DC668C" w:rsidRDefault="009D614D" w:rsidP="007A5D22">
      <w:pPr>
        <w:spacing w:after="120" w:line="240" w:lineRule="auto"/>
        <w:ind w:firstLine="284"/>
        <w:jc w:val="both"/>
        <w:rPr>
          <w:rFonts w:ascii="Cambria" w:hAnsi="Cambria"/>
          <w:noProof/>
          <w:sz w:val="24"/>
          <w:szCs w:val="24"/>
        </w:rPr>
      </w:pPr>
      <w:r w:rsidRPr="00DC668C">
        <w:rPr>
          <w:rFonts w:ascii="Cambria" w:hAnsi="Cambria"/>
          <w:noProof/>
          <w:sz w:val="24"/>
          <w:szCs w:val="24"/>
        </w:rPr>
        <w:t>Melalui pendekatan partisipatif dan berbasis masyarakat, program ini menunjukkan efektivitasnya dalam menciptakan harmoni sosial dan memperkuat kohesi antar kelompok keagamaan.</w:t>
      </w:r>
      <w:r w:rsidR="00073D16">
        <w:rPr>
          <w:rStyle w:val="FootnoteReference"/>
          <w:rFonts w:ascii="Cambria" w:hAnsi="Cambria"/>
          <w:noProof/>
          <w:sz w:val="24"/>
          <w:szCs w:val="24"/>
        </w:rPr>
        <w:footnoteReference w:id="8"/>
      </w:r>
      <w:r w:rsidRPr="00DC668C">
        <w:rPr>
          <w:rFonts w:ascii="Cambria" w:hAnsi="Cambria"/>
          <w:noProof/>
          <w:sz w:val="24"/>
          <w:szCs w:val="24"/>
        </w:rPr>
        <w:t xml:space="preserve"> Hal ini juga mengindikasikan bahwa pendidikan keagamaan </w:t>
      </w:r>
      <w:r w:rsidRPr="00DC668C">
        <w:rPr>
          <w:rFonts w:ascii="Cambria" w:hAnsi="Cambria"/>
          <w:noProof/>
          <w:sz w:val="24"/>
          <w:szCs w:val="24"/>
        </w:rPr>
        <w:lastRenderedPageBreak/>
        <w:t>yang moderat dapat diterapkan tidak hanya dalam ruang-ruang formal seperti sekolah, tetapi juga dalam dinamika sosial masyarakat melalui kegiatan kolektif dan interaktif.</w:t>
      </w:r>
      <w:r w:rsidR="00073D16">
        <w:rPr>
          <w:rStyle w:val="FootnoteReference"/>
          <w:rFonts w:ascii="Cambria" w:hAnsi="Cambria"/>
          <w:noProof/>
          <w:sz w:val="24"/>
          <w:szCs w:val="24"/>
        </w:rPr>
        <w:footnoteReference w:id="9"/>
      </w:r>
    </w:p>
    <w:p w14:paraId="17E56E14" w14:textId="57101118" w:rsidR="00927BD4" w:rsidRPr="00DC668C" w:rsidRDefault="00927BD4" w:rsidP="007A5D22">
      <w:pPr>
        <w:spacing w:after="120" w:line="240" w:lineRule="auto"/>
        <w:ind w:firstLine="284"/>
        <w:jc w:val="both"/>
        <w:rPr>
          <w:rFonts w:ascii="Cambria" w:hAnsi="Cambria"/>
          <w:noProof/>
          <w:sz w:val="24"/>
          <w:szCs w:val="24"/>
        </w:rPr>
      </w:pPr>
      <w:r w:rsidRPr="00DC668C">
        <w:rPr>
          <w:rFonts w:ascii="Cambria" w:hAnsi="Cambria"/>
          <w:noProof/>
          <w:sz w:val="24"/>
          <w:szCs w:val="24"/>
        </w:rPr>
        <w:t xml:space="preserve">Program ini mencakup berbagai kegiatan strategis yang bertujuan menanamkan nilai-nilai moderasi beragama secara komprehensif. Salah satu inisiatif utama adalah pembentukan Forum Perwakilan Umat Beragama (FPUB), yaitu sebuah forum yang terdiri atas perwakilan dari seluruh agama yang ada di </w:t>
      </w:r>
      <w:r w:rsidR="00DC668C" w:rsidRPr="00DC668C">
        <w:rPr>
          <w:rFonts w:ascii="Cambria" w:hAnsi="Cambria"/>
          <w:noProof/>
          <w:sz w:val="24"/>
          <w:szCs w:val="24"/>
        </w:rPr>
        <w:t>Kab. Bengkulu Utara</w:t>
      </w:r>
      <w:r w:rsidRPr="00DC668C">
        <w:rPr>
          <w:rFonts w:ascii="Cambria" w:hAnsi="Cambria"/>
          <w:noProof/>
          <w:sz w:val="24"/>
          <w:szCs w:val="24"/>
        </w:rPr>
        <w:t>. FPUB berfungsi sebagai wadah komunikasi, dialog, dan musyawarah lintas agama dalam menyelesaikan permasalahan sosial serta menjembatani pelaksanaan kegiatan bersama yang bersifat keagamaan.</w:t>
      </w:r>
      <w:r w:rsidR="00073D16">
        <w:rPr>
          <w:rStyle w:val="FootnoteReference"/>
          <w:rFonts w:ascii="Cambria" w:hAnsi="Cambria"/>
          <w:noProof/>
          <w:sz w:val="24"/>
          <w:szCs w:val="24"/>
        </w:rPr>
        <w:footnoteReference w:id="10"/>
      </w:r>
      <w:r w:rsidRPr="00DC668C">
        <w:rPr>
          <w:rFonts w:ascii="Cambria" w:hAnsi="Cambria"/>
          <w:noProof/>
          <w:sz w:val="24"/>
          <w:szCs w:val="24"/>
        </w:rPr>
        <w:t xml:space="preserve"> Keberadaan forum ini mencerminkan prinsip </w:t>
      </w:r>
      <w:r w:rsidRPr="00DC668C">
        <w:rPr>
          <w:rFonts w:ascii="Cambria" w:hAnsi="Cambria"/>
          <w:i/>
          <w:iCs/>
          <w:noProof/>
          <w:sz w:val="24"/>
          <w:szCs w:val="24"/>
        </w:rPr>
        <w:t>tawassuth</w:t>
      </w:r>
      <w:r w:rsidRPr="00DC668C">
        <w:rPr>
          <w:rFonts w:ascii="Cambria" w:hAnsi="Cambria"/>
          <w:noProof/>
          <w:sz w:val="24"/>
          <w:szCs w:val="24"/>
        </w:rPr>
        <w:t xml:space="preserve"> (jalan tengah) dan </w:t>
      </w:r>
      <w:r w:rsidRPr="00DC668C">
        <w:rPr>
          <w:rFonts w:ascii="Cambria" w:hAnsi="Cambria"/>
          <w:i/>
          <w:iCs/>
          <w:noProof/>
          <w:sz w:val="24"/>
          <w:szCs w:val="24"/>
        </w:rPr>
        <w:t>ta’adul</w:t>
      </w:r>
      <w:r w:rsidRPr="00DC668C">
        <w:rPr>
          <w:rFonts w:ascii="Cambria" w:hAnsi="Cambria"/>
          <w:noProof/>
          <w:sz w:val="24"/>
          <w:szCs w:val="24"/>
        </w:rPr>
        <w:t xml:space="preserve"> (keadilan) sebagaimana diajarkan dalam konsep moderasi beragama. Dalam perspektif evaluasi program Ralph W. Tyler (1949), keberhasilan program ini dapat dinilai melalui tiga indikator utama, yakni perencanaan, pelaksanaan, dan hasil. Pembentukan FPUB menjadi indikator kunci keberhasilan dalam aspek perencanaan dan pelaksanaan program penguatan moderasi beragama di tingkat desa.</w:t>
      </w:r>
      <w:r w:rsidR="00073D16">
        <w:rPr>
          <w:rStyle w:val="FootnoteReference"/>
          <w:rFonts w:ascii="Cambria" w:hAnsi="Cambria"/>
          <w:noProof/>
          <w:sz w:val="24"/>
          <w:szCs w:val="24"/>
        </w:rPr>
        <w:footnoteReference w:id="11"/>
      </w:r>
    </w:p>
    <w:p w14:paraId="57BCA72B" w14:textId="77777777" w:rsidR="00927BD4" w:rsidRPr="00DC668C" w:rsidRDefault="00927BD4" w:rsidP="007A5D22">
      <w:pPr>
        <w:spacing w:after="120" w:line="240" w:lineRule="auto"/>
        <w:ind w:firstLine="284"/>
        <w:jc w:val="both"/>
        <w:rPr>
          <w:rFonts w:ascii="Cambria" w:hAnsi="Cambria"/>
          <w:noProof/>
          <w:sz w:val="24"/>
          <w:szCs w:val="24"/>
        </w:rPr>
      </w:pPr>
      <w:r w:rsidRPr="00DC668C">
        <w:rPr>
          <w:rFonts w:ascii="Cambria" w:hAnsi="Cambria"/>
          <w:noProof/>
          <w:sz w:val="24"/>
          <w:szCs w:val="24"/>
        </w:rPr>
        <w:t>Selanjutnya, program ini juga mencakup kegiatan sosialisasi nilai-nilai moderasi beragama yang dilakukan melalui ceramah keagamaan, pengajian rutin, serta pertemuan lintas tokoh agama dan masyarakat. Tujuan dari kegiatan ini adalah membangun kesadaran kolektif masyarakat terhadap pentingnya hidup rukun, saling menghormati, dan menghargai perbedaan sebagai bagian dari kekayaan sosial dan spiritual bangsa.</w:t>
      </w:r>
    </w:p>
    <w:p w14:paraId="7B65F568" w14:textId="77777777" w:rsidR="00927BD4" w:rsidRPr="00DC668C" w:rsidRDefault="00927BD4" w:rsidP="00996034">
      <w:pPr>
        <w:spacing w:after="120" w:line="240" w:lineRule="auto"/>
        <w:jc w:val="both"/>
        <w:rPr>
          <w:rFonts w:ascii="Cambria" w:hAnsi="Cambria"/>
          <w:noProof/>
          <w:sz w:val="24"/>
          <w:szCs w:val="24"/>
        </w:rPr>
      </w:pPr>
      <w:r w:rsidRPr="00DC668C">
        <w:rPr>
          <w:rFonts w:ascii="Cambria" w:hAnsi="Cambria"/>
          <w:noProof/>
          <w:sz w:val="24"/>
          <w:szCs w:val="24"/>
        </w:rPr>
        <w:t xml:space="preserve">Kegiatan lainnya adalah Kemah Kerukunan, yang melibatkan pelajar tingkat SMP dan SMA dari berbagai latar belakang agama. Melalui kegiatan ini, peserta diajak untuk berinteraksi dalam suasana kebersamaan, berdiskusi, serta mengikuti pelatihan yang menginternalisasikan nilai-nilai </w:t>
      </w:r>
      <w:r w:rsidRPr="00DC668C">
        <w:rPr>
          <w:rFonts w:ascii="Cambria" w:hAnsi="Cambria"/>
          <w:i/>
          <w:iCs/>
          <w:noProof/>
          <w:sz w:val="24"/>
          <w:szCs w:val="24"/>
        </w:rPr>
        <w:t>tasamuh</w:t>
      </w:r>
      <w:r w:rsidRPr="00DC668C">
        <w:rPr>
          <w:rFonts w:ascii="Cambria" w:hAnsi="Cambria"/>
          <w:noProof/>
          <w:sz w:val="24"/>
          <w:szCs w:val="24"/>
        </w:rPr>
        <w:t xml:space="preserve"> (toleransi) dan kerja sama antargenerasi muda.</w:t>
      </w:r>
    </w:p>
    <w:p w14:paraId="454E091D" w14:textId="77777777" w:rsidR="000F3AF1" w:rsidRPr="00DC668C" w:rsidRDefault="00927BD4" w:rsidP="006D72CE">
      <w:pPr>
        <w:spacing w:after="120" w:line="240" w:lineRule="auto"/>
        <w:ind w:firstLine="284"/>
        <w:jc w:val="both"/>
        <w:rPr>
          <w:rFonts w:ascii="Cambria" w:hAnsi="Cambria"/>
          <w:noProof/>
          <w:sz w:val="24"/>
          <w:szCs w:val="24"/>
        </w:rPr>
      </w:pPr>
      <w:r w:rsidRPr="00DC668C">
        <w:rPr>
          <w:rFonts w:ascii="Cambria" w:hAnsi="Cambria"/>
          <w:noProof/>
          <w:sz w:val="24"/>
          <w:szCs w:val="24"/>
        </w:rPr>
        <w:t>Selain itu, diadakan pula Pawai Kerukunan, yaitu kegiatan parade bersama lintas agama yang dirancang sebagai ekspresi nyata dari semangat persatuan dalam keberagaman. Kegiatan ini bukan hanya menjadi simbol harmoni sosial, tetapi juga memperkuat rasa kebersamaan dan solidaritas antarpemeluk agama yang berbeda</w:t>
      </w:r>
      <w:r w:rsidR="000F3AF1" w:rsidRPr="00DC668C">
        <w:rPr>
          <w:rFonts w:ascii="Cambria" w:hAnsi="Cambria"/>
          <w:noProof/>
          <w:sz w:val="24"/>
          <w:szCs w:val="24"/>
        </w:rPr>
        <w:t xml:space="preserve"> dan peniruan terhadap tokoh-tokoh panutan yang menunjukkan sikap toleran serta menghargai perbedaan. Melalui keteladanan yang konsisten dari para tokoh masyarakat dan pemuka agama, nilai-nilai moderasi beragama dapat terinternalisasi secara lebih mendalam di tengah masyarakat.</w:t>
      </w:r>
    </w:p>
    <w:p w14:paraId="23D658B7" w14:textId="1B40346E" w:rsidR="007A5D22" w:rsidRPr="00DC668C" w:rsidRDefault="000F3AF1" w:rsidP="006D72CE">
      <w:pPr>
        <w:spacing w:after="120" w:line="240" w:lineRule="auto"/>
        <w:ind w:firstLine="284"/>
        <w:jc w:val="both"/>
        <w:rPr>
          <w:rFonts w:ascii="Cambria" w:hAnsi="Cambria"/>
          <w:noProof/>
          <w:sz w:val="24"/>
          <w:szCs w:val="24"/>
        </w:rPr>
      </w:pPr>
      <w:r w:rsidRPr="00DC668C">
        <w:rPr>
          <w:rFonts w:ascii="Cambria" w:hAnsi="Cambria"/>
          <w:noProof/>
          <w:sz w:val="24"/>
          <w:szCs w:val="24"/>
        </w:rPr>
        <w:t xml:space="preserve">Selain keberhasilan pelaksanaan program, evaluasi program penguatan moderasi beragama di </w:t>
      </w:r>
      <w:r w:rsidR="00DC668C" w:rsidRPr="00DC668C">
        <w:rPr>
          <w:rFonts w:ascii="Cambria" w:hAnsi="Cambria"/>
          <w:noProof/>
          <w:sz w:val="24"/>
          <w:szCs w:val="24"/>
        </w:rPr>
        <w:t>Kab. Bengkulu Utara</w:t>
      </w:r>
      <w:r w:rsidRPr="00DC668C">
        <w:rPr>
          <w:rFonts w:ascii="Cambria" w:hAnsi="Cambria"/>
          <w:noProof/>
          <w:sz w:val="24"/>
          <w:szCs w:val="24"/>
        </w:rPr>
        <w:t xml:space="preserve"> juga memperlihatkan adanya faktor-faktor pendukung dan penghambat yang memengaruhi proses implementasinya.</w:t>
      </w:r>
    </w:p>
    <w:p w14:paraId="39158D8D" w14:textId="52E0C0D5" w:rsidR="000F3AF1" w:rsidRPr="00DC668C" w:rsidRDefault="000F3AF1" w:rsidP="004C0A1B">
      <w:pPr>
        <w:pStyle w:val="ListParagraph"/>
        <w:numPr>
          <w:ilvl w:val="0"/>
          <w:numId w:val="6"/>
        </w:numPr>
        <w:spacing w:after="120" w:line="240" w:lineRule="auto"/>
        <w:ind w:left="284" w:hanging="284"/>
        <w:jc w:val="both"/>
        <w:rPr>
          <w:rFonts w:ascii="Cambria" w:hAnsi="Cambria"/>
          <w:noProof/>
          <w:sz w:val="24"/>
          <w:szCs w:val="24"/>
        </w:rPr>
      </w:pPr>
      <w:r w:rsidRPr="00DC668C">
        <w:rPr>
          <w:rFonts w:ascii="Cambria" w:hAnsi="Cambria"/>
          <w:noProof/>
          <w:sz w:val="24"/>
          <w:szCs w:val="24"/>
        </w:rPr>
        <w:t>Faktor Pendukung</w:t>
      </w:r>
    </w:p>
    <w:p w14:paraId="0AE4309E" w14:textId="1D17F5D4" w:rsidR="000F3AF1" w:rsidRPr="00DC668C" w:rsidRDefault="000F3AF1" w:rsidP="004C0A1B">
      <w:pPr>
        <w:numPr>
          <w:ilvl w:val="0"/>
          <w:numId w:val="1"/>
        </w:numPr>
        <w:tabs>
          <w:tab w:val="clear" w:pos="720"/>
          <w:tab w:val="num" w:pos="567"/>
        </w:tabs>
        <w:spacing w:after="120" w:line="240" w:lineRule="auto"/>
        <w:ind w:left="567" w:hanging="283"/>
        <w:jc w:val="both"/>
        <w:rPr>
          <w:rFonts w:ascii="Cambria" w:hAnsi="Cambria"/>
          <w:noProof/>
          <w:sz w:val="24"/>
          <w:szCs w:val="24"/>
        </w:rPr>
      </w:pPr>
      <w:r w:rsidRPr="00DC668C">
        <w:rPr>
          <w:rFonts w:ascii="Cambria" w:hAnsi="Cambria"/>
          <w:noProof/>
          <w:sz w:val="24"/>
          <w:szCs w:val="24"/>
        </w:rPr>
        <w:t xml:space="preserve">Peran aktif pemerintah desa dan Kementerian Agama, yang menjadi inisiator utama sekaligus fasilitator berbagai kegiatan program. Hal ini sesuai dengan </w:t>
      </w:r>
      <w:r w:rsidRPr="00DC668C">
        <w:rPr>
          <w:rFonts w:ascii="Cambria" w:hAnsi="Cambria"/>
          <w:i/>
          <w:iCs/>
          <w:noProof/>
          <w:sz w:val="24"/>
          <w:szCs w:val="24"/>
        </w:rPr>
        <w:t>teori peran kelembagaan dalam pembangunan sosial</w:t>
      </w:r>
      <w:r w:rsidRPr="00DC668C">
        <w:rPr>
          <w:rFonts w:ascii="Cambria" w:hAnsi="Cambria"/>
          <w:noProof/>
          <w:sz w:val="24"/>
          <w:szCs w:val="24"/>
        </w:rPr>
        <w:t xml:space="preserve">, yang menekankan pentingnya </w:t>
      </w:r>
      <w:r w:rsidRPr="00DC668C">
        <w:rPr>
          <w:rFonts w:ascii="Cambria" w:hAnsi="Cambria"/>
          <w:noProof/>
          <w:sz w:val="24"/>
          <w:szCs w:val="24"/>
        </w:rPr>
        <w:lastRenderedPageBreak/>
        <w:t>peran institusi formal sebagai penggerak, pendamping, dan katalisator perubahan sosial dalam masyarakat.</w:t>
      </w:r>
      <w:r w:rsidR="00F32406">
        <w:rPr>
          <w:rStyle w:val="FootnoteReference"/>
          <w:rFonts w:ascii="Cambria" w:hAnsi="Cambria"/>
          <w:noProof/>
          <w:sz w:val="24"/>
          <w:szCs w:val="24"/>
        </w:rPr>
        <w:footnoteReference w:id="12"/>
      </w:r>
    </w:p>
    <w:p w14:paraId="6F29E16E" w14:textId="3FF33587" w:rsidR="000F3AF1" w:rsidRPr="00DC668C" w:rsidRDefault="000F3AF1" w:rsidP="004C0A1B">
      <w:pPr>
        <w:numPr>
          <w:ilvl w:val="0"/>
          <w:numId w:val="1"/>
        </w:numPr>
        <w:tabs>
          <w:tab w:val="clear" w:pos="720"/>
          <w:tab w:val="num" w:pos="567"/>
        </w:tabs>
        <w:spacing w:after="120" w:line="240" w:lineRule="auto"/>
        <w:ind w:left="567" w:hanging="283"/>
        <w:jc w:val="both"/>
        <w:rPr>
          <w:rFonts w:ascii="Cambria" w:hAnsi="Cambria"/>
          <w:noProof/>
          <w:sz w:val="24"/>
          <w:szCs w:val="24"/>
        </w:rPr>
      </w:pPr>
      <w:r w:rsidRPr="00DC668C">
        <w:rPr>
          <w:rFonts w:ascii="Cambria" w:hAnsi="Cambria"/>
          <w:noProof/>
          <w:sz w:val="24"/>
          <w:szCs w:val="24"/>
        </w:rPr>
        <w:t xml:space="preserve">Adanya dokumen perencanaan dan indikator kinerja yang jelas, seperti jadwal kegiatan tahunan, daftar peserta, serta laporan hasil pelaksanaan. Hal ini menunjukkan bahwa program dijalankan secara terstruktur, terorganisir, dan dapat diukur keberhasilannya. Pendekatan ini sejalan dengan </w:t>
      </w:r>
      <w:r w:rsidRPr="00DC668C">
        <w:rPr>
          <w:rFonts w:ascii="Cambria" w:hAnsi="Cambria"/>
          <w:i/>
          <w:iCs/>
          <w:noProof/>
          <w:sz w:val="24"/>
          <w:szCs w:val="24"/>
        </w:rPr>
        <w:t>Logical Framework Approach (LFA)</w:t>
      </w:r>
      <w:r w:rsidRPr="00DC668C">
        <w:rPr>
          <w:rFonts w:ascii="Cambria" w:hAnsi="Cambria"/>
          <w:noProof/>
          <w:sz w:val="24"/>
          <w:szCs w:val="24"/>
        </w:rPr>
        <w:t xml:space="preserve"> yang menekankan pentingnya logika program yang sistematis dan dapat dievaluasi.</w:t>
      </w:r>
      <w:r w:rsidR="00F32406">
        <w:rPr>
          <w:rStyle w:val="FootnoteReference"/>
          <w:rFonts w:ascii="Cambria" w:hAnsi="Cambria"/>
          <w:noProof/>
          <w:sz w:val="24"/>
          <w:szCs w:val="24"/>
        </w:rPr>
        <w:footnoteReference w:id="13"/>
      </w:r>
    </w:p>
    <w:p w14:paraId="34BA3678" w14:textId="3DAC7853" w:rsidR="000F3AF1" w:rsidRPr="00DC668C" w:rsidRDefault="000F3AF1" w:rsidP="004C0A1B">
      <w:pPr>
        <w:numPr>
          <w:ilvl w:val="0"/>
          <w:numId w:val="1"/>
        </w:numPr>
        <w:tabs>
          <w:tab w:val="clear" w:pos="720"/>
          <w:tab w:val="num" w:pos="567"/>
        </w:tabs>
        <w:spacing w:after="120" w:line="240" w:lineRule="auto"/>
        <w:ind w:left="567" w:hanging="283"/>
        <w:jc w:val="both"/>
        <w:rPr>
          <w:rFonts w:ascii="Cambria" w:hAnsi="Cambria"/>
          <w:noProof/>
          <w:sz w:val="24"/>
          <w:szCs w:val="24"/>
        </w:rPr>
      </w:pPr>
      <w:r w:rsidRPr="00DC668C">
        <w:rPr>
          <w:rFonts w:ascii="Cambria" w:hAnsi="Cambria"/>
          <w:noProof/>
          <w:sz w:val="24"/>
          <w:szCs w:val="24"/>
        </w:rPr>
        <w:t>Kondisi sosial masyarakat yang plural dan terbuka, di mana warga telah terbiasa hidup berdampingan secara harmonis lintas agama dan menunjukkan tingkat toleransi yang tinggi. Kondisi ini memudahkan penerimaan dan pelaksanaan program moderasi beragama secara lebih inklusif dan efektif.</w:t>
      </w:r>
      <w:r w:rsidR="00F32406" w:rsidRPr="004C0A1B">
        <w:footnoteReference w:id="14"/>
      </w:r>
    </w:p>
    <w:p w14:paraId="66C856A9" w14:textId="4CA99F42" w:rsidR="000F3AF1" w:rsidRPr="00DC668C" w:rsidRDefault="000F3AF1" w:rsidP="004C0A1B">
      <w:pPr>
        <w:numPr>
          <w:ilvl w:val="0"/>
          <w:numId w:val="1"/>
        </w:numPr>
        <w:tabs>
          <w:tab w:val="clear" w:pos="720"/>
          <w:tab w:val="num" w:pos="567"/>
        </w:tabs>
        <w:spacing w:after="120" w:line="240" w:lineRule="auto"/>
        <w:ind w:left="567" w:hanging="283"/>
        <w:jc w:val="both"/>
        <w:rPr>
          <w:rFonts w:ascii="Cambria" w:hAnsi="Cambria"/>
          <w:noProof/>
          <w:sz w:val="24"/>
          <w:szCs w:val="24"/>
        </w:rPr>
      </w:pPr>
      <w:r w:rsidRPr="00DC668C">
        <w:rPr>
          <w:rFonts w:ascii="Cambria" w:hAnsi="Cambria"/>
          <w:noProof/>
          <w:sz w:val="24"/>
          <w:szCs w:val="24"/>
        </w:rPr>
        <w:t>Keterlibatan aktif tokoh agama dan tokoh masyarakat, yang menjadi panutan dan agen penggerak dalam membangun kesadaran kolektif akan pentingnya kerukunan umat beragama. Keterlibatan ini mencerminkan pentingnya pendekatan berbasis komunitas dalam mendukung keberhasilan program sosial.</w:t>
      </w:r>
      <w:r w:rsidR="00F32406">
        <w:rPr>
          <w:rStyle w:val="FootnoteReference"/>
          <w:rFonts w:ascii="Cambria" w:hAnsi="Cambria"/>
          <w:noProof/>
          <w:sz w:val="24"/>
          <w:szCs w:val="24"/>
        </w:rPr>
        <w:footnoteReference w:id="15"/>
      </w:r>
    </w:p>
    <w:p w14:paraId="2EB16CA9" w14:textId="49E6A18F" w:rsidR="000F3AF1" w:rsidRPr="00DC668C" w:rsidRDefault="000F3AF1" w:rsidP="004C0A1B">
      <w:pPr>
        <w:spacing w:after="120" w:line="240" w:lineRule="auto"/>
        <w:ind w:left="284" w:firstLine="283"/>
        <w:jc w:val="both"/>
        <w:rPr>
          <w:rFonts w:ascii="Cambria" w:hAnsi="Cambria"/>
          <w:noProof/>
          <w:sz w:val="24"/>
          <w:szCs w:val="24"/>
        </w:rPr>
      </w:pPr>
      <w:r w:rsidRPr="00DC668C">
        <w:rPr>
          <w:rFonts w:ascii="Cambria" w:hAnsi="Cambria"/>
          <w:noProof/>
          <w:sz w:val="24"/>
          <w:szCs w:val="24"/>
        </w:rPr>
        <w:t xml:space="preserve">Kelima faktor di atas mencerminkan prinsip evaluasi program sebagaimana dikemukakan oleh </w:t>
      </w:r>
      <w:r w:rsidRPr="00DC668C">
        <w:rPr>
          <w:rFonts w:ascii="Cambria" w:hAnsi="Cambria"/>
          <w:i/>
          <w:iCs/>
          <w:noProof/>
          <w:sz w:val="24"/>
          <w:szCs w:val="24"/>
        </w:rPr>
        <w:t>Ralph W. Tyler (1949)</w:t>
      </w:r>
      <w:r w:rsidRPr="00DC668C">
        <w:rPr>
          <w:rFonts w:ascii="Cambria" w:hAnsi="Cambria"/>
          <w:noProof/>
          <w:sz w:val="24"/>
          <w:szCs w:val="24"/>
        </w:rPr>
        <w:t xml:space="preserve">, bahwa pengukuran keberhasilan suatu program harus dilakukan berdasarkan tiga aspek utama: perencanaan, pelaksanaan, dan hasil. Kejelasan indikator dan dokumentasi yang memadai menunjukkan bahwa program moderasi beragama di </w:t>
      </w:r>
      <w:r w:rsidR="00DC668C" w:rsidRPr="00DC668C">
        <w:rPr>
          <w:rFonts w:ascii="Cambria" w:hAnsi="Cambria"/>
          <w:noProof/>
          <w:sz w:val="24"/>
          <w:szCs w:val="24"/>
        </w:rPr>
        <w:t>Kab. Bengkulu Utara</w:t>
      </w:r>
      <w:r w:rsidRPr="00DC668C">
        <w:rPr>
          <w:rFonts w:ascii="Cambria" w:hAnsi="Cambria"/>
          <w:noProof/>
          <w:sz w:val="24"/>
          <w:szCs w:val="24"/>
        </w:rPr>
        <w:t xml:space="preserve"> memiliki landasan yang kuat dalam hal perencanaan dan pelaksanaan, serta dapat dievaluasi secara objektif.</w:t>
      </w:r>
      <w:r w:rsidR="007E0830">
        <w:rPr>
          <w:rStyle w:val="FootnoteReference"/>
          <w:rFonts w:ascii="Cambria" w:hAnsi="Cambria"/>
          <w:noProof/>
          <w:sz w:val="24"/>
          <w:szCs w:val="24"/>
        </w:rPr>
        <w:footnoteReference w:id="16"/>
      </w:r>
    </w:p>
    <w:p w14:paraId="1A2EA7DA" w14:textId="77777777" w:rsidR="000F3AF1" w:rsidRPr="00DC668C" w:rsidRDefault="000F3AF1" w:rsidP="00D90B26">
      <w:pPr>
        <w:pStyle w:val="ListParagraph"/>
        <w:numPr>
          <w:ilvl w:val="0"/>
          <w:numId w:val="6"/>
        </w:numPr>
        <w:spacing w:after="120" w:line="240" w:lineRule="auto"/>
        <w:ind w:left="284" w:hanging="284"/>
        <w:jc w:val="both"/>
        <w:rPr>
          <w:rFonts w:ascii="Cambria" w:hAnsi="Cambria"/>
          <w:noProof/>
          <w:sz w:val="24"/>
          <w:szCs w:val="24"/>
        </w:rPr>
      </w:pPr>
      <w:r w:rsidRPr="00DC668C">
        <w:rPr>
          <w:rFonts w:ascii="Cambria" w:hAnsi="Cambria"/>
          <w:noProof/>
          <w:sz w:val="24"/>
          <w:szCs w:val="24"/>
        </w:rPr>
        <w:t>Indikator Keberhasilan Program Moderasi Beragama</w:t>
      </w:r>
    </w:p>
    <w:p w14:paraId="0AEA13CA" w14:textId="55BE0092" w:rsidR="000F3AF1" w:rsidRPr="00DC668C" w:rsidRDefault="000F3AF1" w:rsidP="00D90B26">
      <w:pPr>
        <w:spacing w:after="120" w:line="240" w:lineRule="auto"/>
        <w:ind w:firstLine="284"/>
        <w:jc w:val="both"/>
        <w:rPr>
          <w:rFonts w:ascii="Cambria" w:hAnsi="Cambria"/>
          <w:noProof/>
          <w:sz w:val="24"/>
          <w:szCs w:val="24"/>
        </w:rPr>
      </w:pPr>
      <w:r w:rsidRPr="00DC668C">
        <w:rPr>
          <w:rFonts w:ascii="Cambria" w:hAnsi="Cambria"/>
          <w:noProof/>
          <w:sz w:val="24"/>
          <w:szCs w:val="24"/>
        </w:rPr>
        <w:t xml:space="preserve">Agar pelaksanaan program penguatan moderasi beragama dapat berjalan efektif, maka indikator keberhasilannya harus memenuhi prinsip SMART: spesifik, terukur, relevan, dapat dicapai, dan dibatasi oleh waktu pelaksanaan. Dalam konteks ini, indikator pendukung pelaksanaan program moderasi beragama di </w:t>
      </w:r>
      <w:r w:rsidR="00DC668C" w:rsidRPr="00DC668C">
        <w:rPr>
          <w:rFonts w:ascii="Cambria" w:hAnsi="Cambria"/>
          <w:noProof/>
          <w:sz w:val="24"/>
          <w:szCs w:val="24"/>
        </w:rPr>
        <w:t>Kab. Bengkulu Utara</w:t>
      </w:r>
      <w:r w:rsidRPr="00DC668C">
        <w:rPr>
          <w:rFonts w:ascii="Cambria" w:hAnsi="Cambria"/>
          <w:noProof/>
          <w:sz w:val="24"/>
          <w:szCs w:val="24"/>
        </w:rPr>
        <w:t xml:space="preserve"> meliputi:</w:t>
      </w:r>
    </w:p>
    <w:p w14:paraId="5105EBB2" w14:textId="5DAEE4EC" w:rsidR="000F3AF1" w:rsidRPr="00DC668C" w:rsidRDefault="000F3AF1" w:rsidP="00D90B26">
      <w:pPr>
        <w:numPr>
          <w:ilvl w:val="0"/>
          <w:numId w:val="2"/>
        </w:numPr>
        <w:tabs>
          <w:tab w:val="clear" w:pos="720"/>
          <w:tab w:val="num" w:pos="567"/>
        </w:tabs>
        <w:spacing w:after="120" w:line="240" w:lineRule="auto"/>
        <w:ind w:left="284"/>
        <w:jc w:val="both"/>
        <w:rPr>
          <w:rFonts w:ascii="Cambria" w:hAnsi="Cambria"/>
          <w:noProof/>
          <w:sz w:val="24"/>
          <w:szCs w:val="24"/>
        </w:rPr>
      </w:pPr>
      <w:r w:rsidRPr="00DC668C">
        <w:rPr>
          <w:rFonts w:ascii="Cambria" w:hAnsi="Cambria"/>
          <w:noProof/>
          <w:sz w:val="24"/>
          <w:szCs w:val="24"/>
        </w:rPr>
        <w:t>Partisipasi aktif masyarakat lintas agama dalam berbagai kegiatan kolektif seperti ceramah keagamaan, pelatihan toleransi, dan kerja sosial lintas iman.</w:t>
      </w:r>
      <w:r w:rsidR="00F82BB7">
        <w:rPr>
          <w:rStyle w:val="FootnoteReference"/>
          <w:rFonts w:ascii="Cambria" w:hAnsi="Cambria"/>
          <w:noProof/>
          <w:sz w:val="24"/>
          <w:szCs w:val="24"/>
        </w:rPr>
        <w:footnoteReference w:id="17"/>
      </w:r>
    </w:p>
    <w:p w14:paraId="6B2FF828" w14:textId="652BAECA" w:rsidR="000F3AF1" w:rsidRPr="00DC668C" w:rsidRDefault="000F3AF1" w:rsidP="00D90B26">
      <w:pPr>
        <w:numPr>
          <w:ilvl w:val="0"/>
          <w:numId w:val="2"/>
        </w:numPr>
        <w:tabs>
          <w:tab w:val="clear" w:pos="720"/>
          <w:tab w:val="num" w:pos="567"/>
        </w:tabs>
        <w:spacing w:after="120" w:line="240" w:lineRule="auto"/>
        <w:ind w:left="284"/>
        <w:jc w:val="both"/>
        <w:rPr>
          <w:rFonts w:ascii="Cambria" w:hAnsi="Cambria"/>
          <w:noProof/>
          <w:sz w:val="24"/>
          <w:szCs w:val="24"/>
        </w:rPr>
      </w:pPr>
      <w:r w:rsidRPr="00DC668C">
        <w:rPr>
          <w:rFonts w:ascii="Cambria" w:hAnsi="Cambria"/>
          <w:noProof/>
          <w:sz w:val="24"/>
          <w:szCs w:val="24"/>
        </w:rPr>
        <w:lastRenderedPageBreak/>
        <w:t>Perubahan sikap dan perilaku masyarakat yang tercermin dalam meningkatnya sikap toleran, terbuka, dan saling menghargai perbedaan keyakinan.</w:t>
      </w:r>
      <w:r w:rsidR="00F82BB7">
        <w:rPr>
          <w:rStyle w:val="FootnoteReference"/>
          <w:rFonts w:ascii="Cambria" w:hAnsi="Cambria"/>
          <w:noProof/>
          <w:sz w:val="24"/>
          <w:szCs w:val="24"/>
        </w:rPr>
        <w:footnoteReference w:id="18"/>
      </w:r>
    </w:p>
    <w:p w14:paraId="2A501756" w14:textId="2C8751C9" w:rsidR="000F3AF1" w:rsidRPr="00DC668C" w:rsidRDefault="000F3AF1" w:rsidP="00D90B26">
      <w:pPr>
        <w:numPr>
          <w:ilvl w:val="0"/>
          <w:numId w:val="2"/>
        </w:numPr>
        <w:tabs>
          <w:tab w:val="clear" w:pos="720"/>
          <w:tab w:val="num" w:pos="567"/>
        </w:tabs>
        <w:spacing w:after="120" w:line="240" w:lineRule="auto"/>
        <w:ind w:left="284"/>
        <w:jc w:val="both"/>
        <w:rPr>
          <w:rFonts w:ascii="Cambria" w:hAnsi="Cambria"/>
          <w:noProof/>
          <w:sz w:val="24"/>
          <w:szCs w:val="24"/>
        </w:rPr>
      </w:pPr>
      <w:r w:rsidRPr="00DC668C">
        <w:rPr>
          <w:rFonts w:ascii="Cambria" w:hAnsi="Cambria"/>
          <w:noProof/>
          <w:sz w:val="24"/>
          <w:szCs w:val="24"/>
        </w:rPr>
        <w:t>Kehadiran serta keterlibatan tokoh agama dan tokoh masyarakat dalam mendukung program secara konsisten melalui kegiatan sosialisasi, edukasi, serta keteladanan moral dan sosial.</w:t>
      </w:r>
      <w:r w:rsidR="00F82BB7">
        <w:rPr>
          <w:rStyle w:val="FootnoteReference"/>
          <w:rFonts w:ascii="Cambria" w:hAnsi="Cambria"/>
          <w:noProof/>
          <w:sz w:val="24"/>
          <w:szCs w:val="24"/>
        </w:rPr>
        <w:footnoteReference w:id="19"/>
      </w:r>
    </w:p>
    <w:p w14:paraId="5D9BFB02" w14:textId="058C152C" w:rsidR="000F3AF1" w:rsidRPr="00DC668C" w:rsidRDefault="000F3AF1" w:rsidP="00D90B26">
      <w:pPr>
        <w:numPr>
          <w:ilvl w:val="0"/>
          <w:numId w:val="2"/>
        </w:numPr>
        <w:tabs>
          <w:tab w:val="clear" w:pos="720"/>
          <w:tab w:val="num" w:pos="567"/>
        </w:tabs>
        <w:spacing w:after="120" w:line="240" w:lineRule="auto"/>
        <w:ind w:left="284"/>
        <w:jc w:val="both"/>
        <w:rPr>
          <w:rFonts w:ascii="Cambria" w:hAnsi="Cambria"/>
          <w:noProof/>
          <w:sz w:val="24"/>
          <w:szCs w:val="24"/>
        </w:rPr>
      </w:pPr>
      <w:r w:rsidRPr="00DC668C">
        <w:rPr>
          <w:rFonts w:ascii="Cambria" w:hAnsi="Cambria"/>
          <w:noProof/>
          <w:sz w:val="24"/>
          <w:szCs w:val="24"/>
        </w:rPr>
        <w:t>Peningkatan frekuensi dan kualitas dialog antarumat beragama, baik dalam bentuk forum silaturahmi lintas iman maupun musyawarah warga.</w:t>
      </w:r>
      <w:r w:rsidR="00F82BB7">
        <w:rPr>
          <w:rStyle w:val="FootnoteReference"/>
          <w:rFonts w:ascii="Cambria" w:hAnsi="Cambria"/>
          <w:noProof/>
          <w:sz w:val="24"/>
          <w:szCs w:val="24"/>
        </w:rPr>
        <w:footnoteReference w:id="20"/>
      </w:r>
    </w:p>
    <w:p w14:paraId="43F9617B" w14:textId="77777777" w:rsidR="000F3AF1" w:rsidRPr="00DC668C" w:rsidRDefault="000F3AF1" w:rsidP="00D90B26">
      <w:pPr>
        <w:numPr>
          <w:ilvl w:val="0"/>
          <w:numId w:val="2"/>
        </w:numPr>
        <w:tabs>
          <w:tab w:val="clear" w:pos="720"/>
          <w:tab w:val="num" w:pos="567"/>
        </w:tabs>
        <w:spacing w:after="120" w:line="240" w:lineRule="auto"/>
        <w:ind w:left="284"/>
        <w:jc w:val="both"/>
        <w:rPr>
          <w:rFonts w:ascii="Cambria" w:hAnsi="Cambria"/>
          <w:noProof/>
          <w:sz w:val="24"/>
          <w:szCs w:val="24"/>
        </w:rPr>
      </w:pPr>
      <w:r w:rsidRPr="00DC668C">
        <w:rPr>
          <w:rFonts w:ascii="Cambria" w:hAnsi="Cambria"/>
          <w:noProof/>
          <w:sz w:val="24"/>
          <w:szCs w:val="24"/>
        </w:rPr>
        <w:t>Konsistensi pelaksanaan program sesuai dengan jadwal tahunan dan tujuan strategis yang telah dirumuskan dalam perencanaan kegiatan.</w:t>
      </w:r>
    </w:p>
    <w:p w14:paraId="511D78C9" w14:textId="77777777" w:rsidR="000F3AF1" w:rsidRPr="00DC668C" w:rsidRDefault="000F3AF1" w:rsidP="00D90B26">
      <w:pPr>
        <w:numPr>
          <w:ilvl w:val="0"/>
          <w:numId w:val="2"/>
        </w:numPr>
        <w:tabs>
          <w:tab w:val="clear" w:pos="720"/>
          <w:tab w:val="num" w:pos="567"/>
        </w:tabs>
        <w:spacing w:after="120" w:line="240" w:lineRule="auto"/>
        <w:ind w:left="284"/>
        <w:jc w:val="both"/>
        <w:rPr>
          <w:rFonts w:ascii="Cambria" w:hAnsi="Cambria"/>
          <w:noProof/>
          <w:sz w:val="24"/>
          <w:szCs w:val="24"/>
        </w:rPr>
      </w:pPr>
      <w:r w:rsidRPr="00DC668C">
        <w:rPr>
          <w:rFonts w:ascii="Cambria" w:hAnsi="Cambria"/>
          <w:noProof/>
          <w:sz w:val="24"/>
          <w:szCs w:val="24"/>
        </w:rPr>
        <w:t>Dukungan regulasi dan kebijakan lokal, seperti Peraturan Desa (Perdes) atau surat edaran kepala desa yang secara eksplisit mendukung nilai-nilai toleransi dan moderasi beragama.</w:t>
      </w:r>
    </w:p>
    <w:p w14:paraId="72AF8D56" w14:textId="77777777" w:rsidR="000F3AF1" w:rsidRPr="00DC668C" w:rsidRDefault="000F3AF1" w:rsidP="00D90B26">
      <w:pPr>
        <w:numPr>
          <w:ilvl w:val="0"/>
          <w:numId w:val="2"/>
        </w:numPr>
        <w:tabs>
          <w:tab w:val="clear" w:pos="720"/>
          <w:tab w:val="num" w:pos="567"/>
        </w:tabs>
        <w:spacing w:after="120" w:line="240" w:lineRule="auto"/>
        <w:ind w:left="284"/>
        <w:jc w:val="both"/>
        <w:rPr>
          <w:rFonts w:ascii="Cambria" w:hAnsi="Cambria"/>
          <w:noProof/>
          <w:sz w:val="24"/>
          <w:szCs w:val="24"/>
        </w:rPr>
      </w:pPr>
      <w:r w:rsidRPr="00DC668C">
        <w:rPr>
          <w:rFonts w:ascii="Cambria" w:hAnsi="Cambria"/>
          <w:noProof/>
          <w:sz w:val="24"/>
          <w:szCs w:val="24"/>
        </w:rPr>
        <w:t>Adanya evaluasi berkala dan dokumentasi kegiatan, yang tidak hanya mencatat proses pelaksanaan tetapi juga menjadi bahan refleksi dan perbaikan program ke depan.</w:t>
      </w:r>
    </w:p>
    <w:p w14:paraId="30BAB164" w14:textId="3734344C" w:rsidR="000F3AF1" w:rsidRPr="00DC668C" w:rsidRDefault="000F3AF1" w:rsidP="00D90B26">
      <w:pPr>
        <w:pStyle w:val="ListParagraph"/>
        <w:numPr>
          <w:ilvl w:val="0"/>
          <w:numId w:val="6"/>
        </w:numPr>
        <w:spacing w:after="120" w:line="240" w:lineRule="auto"/>
        <w:ind w:left="284" w:hanging="284"/>
        <w:jc w:val="both"/>
        <w:rPr>
          <w:rFonts w:ascii="Cambria" w:eastAsia="Times New Roman" w:hAnsi="Cambria" w:cs="Times New Roman"/>
          <w:noProof/>
          <w:sz w:val="24"/>
          <w:szCs w:val="24"/>
          <w:lang w:eastAsia="en-ID"/>
        </w:rPr>
      </w:pPr>
      <w:r w:rsidRPr="00DC668C">
        <w:rPr>
          <w:rFonts w:ascii="Cambria" w:eastAsia="Times New Roman" w:hAnsi="Cambria" w:cs="Times New Roman"/>
          <w:noProof/>
          <w:sz w:val="24"/>
          <w:szCs w:val="24"/>
          <w:lang w:eastAsia="en-ID"/>
        </w:rPr>
        <w:t xml:space="preserve">Faktor Penghambat </w:t>
      </w:r>
      <w:r w:rsidRPr="00DC668C">
        <w:rPr>
          <w:rFonts w:ascii="Cambria" w:hAnsi="Cambria"/>
          <w:noProof/>
          <w:sz w:val="24"/>
          <w:szCs w:val="24"/>
        </w:rPr>
        <w:t>Program</w:t>
      </w:r>
      <w:r w:rsidRPr="00DC668C">
        <w:rPr>
          <w:rFonts w:ascii="Cambria" w:eastAsia="Times New Roman" w:hAnsi="Cambria" w:cs="Times New Roman"/>
          <w:noProof/>
          <w:sz w:val="24"/>
          <w:szCs w:val="24"/>
          <w:lang w:eastAsia="en-ID"/>
        </w:rPr>
        <w:t xml:space="preserve"> Moderasi </w:t>
      </w:r>
      <w:r w:rsidRPr="00D90B26">
        <w:rPr>
          <w:rFonts w:ascii="Cambria" w:hAnsi="Cambria"/>
          <w:noProof/>
          <w:sz w:val="24"/>
          <w:szCs w:val="24"/>
        </w:rPr>
        <w:t>Beragama</w:t>
      </w:r>
      <w:r w:rsidRPr="00DC668C">
        <w:rPr>
          <w:rFonts w:ascii="Cambria" w:eastAsia="Times New Roman" w:hAnsi="Cambria" w:cs="Times New Roman"/>
          <w:noProof/>
          <w:sz w:val="24"/>
          <w:szCs w:val="24"/>
          <w:lang w:eastAsia="en-ID"/>
        </w:rPr>
        <w:t xml:space="preserve"> di </w:t>
      </w:r>
      <w:r w:rsidR="00DC668C" w:rsidRPr="00DC668C">
        <w:rPr>
          <w:rFonts w:ascii="Cambria" w:eastAsia="Times New Roman" w:hAnsi="Cambria" w:cs="Times New Roman"/>
          <w:noProof/>
          <w:sz w:val="24"/>
          <w:szCs w:val="24"/>
          <w:lang w:eastAsia="en-ID"/>
        </w:rPr>
        <w:t>Kab. Bengkulu Utara</w:t>
      </w:r>
    </w:p>
    <w:p w14:paraId="0534050D" w14:textId="1042F778" w:rsidR="000F3AF1" w:rsidRPr="00DC668C" w:rsidRDefault="000F3AF1" w:rsidP="00D90B26">
      <w:pPr>
        <w:spacing w:after="120" w:line="240" w:lineRule="auto"/>
        <w:ind w:firstLine="349"/>
        <w:jc w:val="both"/>
        <w:rPr>
          <w:rFonts w:ascii="Cambria" w:eastAsia="Times New Roman" w:hAnsi="Cambria" w:cs="Times New Roman"/>
          <w:noProof/>
          <w:sz w:val="24"/>
          <w:szCs w:val="24"/>
          <w:lang w:eastAsia="en-ID"/>
        </w:rPr>
      </w:pPr>
      <w:r w:rsidRPr="00DC668C">
        <w:rPr>
          <w:rFonts w:ascii="Cambria" w:eastAsia="Times New Roman" w:hAnsi="Cambria" w:cs="Times New Roman"/>
          <w:noProof/>
          <w:sz w:val="24"/>
          <w:szCs w:val="24"/>
          <w:lang w:eastAsia="en-ID"/>
        </w:rPr>
        <w:t xml:space="preserve">Meskipun program penguatan moderasi beragama di </w:t>
      </w:r>
      <w:r w:rsidR="00DC668C" w:rsidRPr="00DC668C">
        <w:rPr>
          <w:rFonts w:ascii="Cambria" w:eastAsia="Times New Roman" w:hAnsi="Cambria" w:cs="Times New Roman"/>
          <w:noProof/>
          <w:sz w:val="24"/>
          <w:szCs w:val="24"/>
          <w:lang w:eastAsia="en-ID"/>
        </w:rPr>
        <w:t>Kab. Bengkulu Utara</w:t>
      </w:r>
      <w:r w:rsidRPr="00DC668C">
        <w:rPr>
          <w:rFonts w:ascii="Cambria" w:eastAsia="Times New Roman" w:hAnsi="Cambria" w:cs="Times New Roman"/>
          <w:noProof/>
          <w:sz w:val="24"/>
          <w:szCs w:val="24"/>
          <w:lang w:eastAsia="en-ID"/>
        </w:rPr>
        <w:t xml:space="preserve"> telah menunjukkan capaian positif, terdapat sejumlah kendala yang menjadi hambatan dalam proses implementasi</w:t>
      </w:r>
      <w:r w:rsidR="00F82BB7">
        <w:rPr>
          <w:rFonts w:ascii="Cambria" w:eastAsia="Times New Roman" w:hAnsi="Cambria" w:cs="Times New Roman"/>
          <w:noProof/>
          <w:sz w:val="24"/>
          <w:szCs w:val="24"/>
          <w:lang w:eastAsia="en-ID"/>
        </w:rPr>
        <w:t>-</w:t>
      </w:r>
      <w:r w:rsidRPr="00DC668C">
        <w:rPr>
          <w:rFonts w:ascii="Cambria" w:eastAsia="Times New Roman" w:hAnsi="Cambria" w:cs="Times New Roman"/>
          <w:noProof/>
          <w:sz w:val="24"/>
          <w:szCs w:val="24"/>
          <w:lang w:eastAsia="en-ID"/>
        </w:rPr>
        <w:t>nya. Faktor-faktor penghambat tersebut antara lain:</w:t>
      </w:r>
    </w:p>
    <w:p w14:paraId="37B26E48" w14:textId="77777777" w:rsidR="000F3AF1" w:rsidRPr="00DC668C" w:rsidRDefault="000F3AF1" w:rsidP="00D90B26">
      <w:pPr>
        <w:numPr>
          <w:ilvl w:val="0"/>
          <w:numId w:val="3"/>
        </w:numPr>
        <w:tabs>
          <w:tab w:val="clear" w:pos="720"/>
        </w:tabs>
        <w:spacing w:after="120" w:line="240" w:lineRule="auto"/>
        <w:ind w:left="284"/>
        <w:jc w:val="both"/>
        <w:rPr>
          <w:rFonts w:ascii="Cambria" w:eastAsia="Times New Roman" w:hAnsi="Cambria" w:cs="Times New Roman"/>
          <w:noProof/>
          <w:sz w:val="24"/>
          <w:szCs w:val="24"/>
          <w:lang w:eastAsia="en-ID"/>
        </w:rPr>
      </w:pPr>
      <w:r w:rsidRPr="00DC668C">
        <w:rPr>
          <w:rFonts w:ascii="Cambria" w:eastAsia="Times New Roman" w:hAnsi="Cambria" w:cs="Times New Roman"/>
          <w:noProof/>
          <w:sz w:val="24"/>
          <w:szCs w:val="24"/>
          <w:lang w:eastAsia="en-ID"/>
        </w:rPr>
        <w:t>Keterbatasan Anggaran</w:t>
      </w:r>
    </w:p>
    <w:p w14:paraId="533DA097" w14:textId="77777777" w:rsidR="000F3AF1" w:rsidRPr="00DC668C" w:rsidRDefault="000F3AF1" w:rsidP="00D90B26">
      <w:pPr>
        <w:spacing w:after="120" w:line="240" w:lineRule="auto"/>
        <w:ind w:firstLine="284"/>
        <w:jc w:val="both"/>
        <w:rPr>
          <w:rFonts w:ascii="Cambria" w:eastAsia="Times New Roman" w:hAnsi="Cambria" w:cs="Times New Roman"/>
          <w:noProof/>
          <w:sz w:val="24"/>
          <w:szCs w:val="24"/>
          <w:lang w:eastAsia="en-ID"/>
        </w:rPr>
      </w:pPr>
      <w:r w:rsidRPr="00DC668C">
        <w:rPr>
          <w:rFonts w:ascii="Cambria" w:eastAsia="Times New Roman" w:hAnsi="Cambria" w:cs="Times New Roman"/>
          <w:noProof/>
          <w:sz w:val="24"/>
          <w:szCs w:val="24"/>
          <w:lang w:eastAsia="en-ID"/>
        </w:rPr>
        <w:t>Selama ini, sebagian besar kegiatan moderasi beragama hanya didanai melalui anggaran desa atau iuran masyarakat secara swadaya. Kondisi ini menjadikan pelaksanaan program bersifat insidental, tidak terencana secara rutin, dan kurang berkelanjutan.</w:t>
      </w:r>
    </w:p>
    <w:p w14:paraId="7E4691ED" w14:textId="3BCD8067" w:rsidR="000F3AF1" w:rsidRPr="00DC668C" w:rsidRDefault="000F3AF1" w:rsidP="00D90B26">
      <w:pPr>
        <w:spacing w:after="120" w:line="240" w:lineRule="auto"/>
        <w:ind w:firstLine="284"/>
        <w:jc w:val="both"/>
        <w:rPr>
          <w:rFonts w:ascii="Cambria" w:eastAsia="Times New Roman" w:hAnsi="Cambria" w:cs="Times New Roman"/>
          <w:noProof/>
          <w:sz w:val="24"/>
          <w:szCs w:val="24"/>
          <w:lang w:eastAsia="en-ID"/>
        </w:rPr>
      </w:pPr>
      <w:r w:rsidRPr="00DC668C">
        <w:rPr>
          <w:rFonts w:ascii="Cambria" w:eastAsia="Times New Roman" w:hAnsi="Cambria" w:cs="Times New Roman"/>
          <w:noProof/>
          <w:sz w:val="24"/>
          <w:szCs w:val="24"/>
          <w:lang w:eastAsia="en-ID"/>
        </w:rPr>
        <w:t xml:space="preserve">Merujuk pada </w:t>
      </w:r>
      <w:r w:rsidRPr="00DC668C">
        <w:rPr>
          <w:rFonts w:ascii="Cambria" w:eastAsia="Times New Roman" w:hAnsi="Cambria" w:cs="Times New Roman"/>
          <w:i/>
          <w:iCs/>
          <w:noProof/>
          <w:sz w:val="24"/>
          <w:szCs w:val="24"/>
          <w:lang w:eastAsia="en-ID"/>
        </w:rPr>
        <w:t>teori sistem</w:t>
      </w:r>
      <w:r w:rsidRPr="00DC668C">
        <w:rPr>
          <w:rFonts w:ascii="Cambria" w:eastAsia="Times New Roman" w:hAnsi="Cambria" w:cs="Times New Roman"/>
          <w:noProof/>
          <w:sz w:val="24"/>
          <w:szCs w:val="24"/>
          <w:lang w:eastAsia="en-ID"/>
        </w:rPr>
        <w:t xml:space="preserve"> yang dikemukakan oleh Ludwig von Bertalanffy (1968), sebuah program merupakan satu kesatuan sistem yang terdiri atas berbagai komponen yang saling bergantung. Apabila salah satu komponen, dalam hal ini pendanaan, tidak berjalan optimal, maka seluruh sistem program dapat mengalami gangguan atau ketidakefektifan.</w:t>
      </w:r>
      <w:r w:rsidR="002A75C8">
        <w:rPr>
          <w:rStyle w:val="FootnoteReference"/>
          <w:rFonts w:ascii="Cambria" w:eastAsia="Times New Roman" w:hAnsi="Cambria" w:cs="Times New Roman"/>
          <w:noProof/>
          <w:sz w:val="24"/>
          <w:szCs w:val="24"/>
          <w:lang w:eastAsia="en-ID"/>
        </w:rPr>
        <w:footnoteReference w:id="21"/>
      </w:r>
    </w:p>
    <w:p w14:paraId="74591F77" w14:textId="77777777" w:rsidR="000F3AF1" w:rsidRPr="00DC668C" w:rsidRDefault="000F3AF1" w:rsidP="00D90B26">
      <w:pPr>
        <w:numPr>
          <w:ilvl w:val="0"/>
          <w:numId w:val="3"/>
        </w:numPr>
        <w:tabs>
          <w:tab w:val="clear" w:pos="720"/>
        </w:tabs>
        <w:spacing w:after="120" w:line="240" w:lineRule="auto"/>
        <w:ind w:left="284"/>
        <w:jc w:val="both"/>
        <w:rPr>
          <w:rFonts w:ascii="Cambria" w:eastAsia="Times New Roman" w:hAnsi="Cambria" w:cs="Times New Roman"/>
          <w:noProof/>
          <w:sz w:val="24"/>
          <w:szCs w:val="24"/>
          <w:lang w:eastAsia="en-ID"/>
        </w:rPr>
      </w:pPr>
      <w:r w:rsidRPr="00DC668C">
        <w:rPr>
          <w:rFonts w:ascii="Cambria" w:eastAsia="Times New Roman" w:hAnsi="Cambria" w:cs="Times New Roman"/>
          <w:noProof/>
          <w:sz w:val="24"/>
          <w:szCs w:val="24"/>
          <w:lang w:eastAsia="en-ID"/>
        </w:rPr>
        <w:t>Kurangnya Pemahaman Masyarakat terhadap Konsep Moderasi Beragama</w:t>
      </w:r>
    </w:p>
    <w:p w14:paraId="1A190780" w14:textId="77777777" w:rsidR="000F3AF1" w:rsidRPr="00DC668C" w:rsidRDefault="000F3AF1" w:rsidP="00D90B26">
      <w:pPr>
        <w:spacing w:after="120" w:line="240" w:lineRule="auto"/>
        <w:ind w:firstLine="284"/>
        <w:jc w:val="both"/>
        <w:rPr>
          <w:rFonts w:ascii="Cambria" w:eastAsia="Times New Roman" w:hAnsi="Cambria" w:cs="Times New Roman"/>
          <w:noProof/>
          <w:sz w:val="24"/>
          <w:szCs w:val="24"/>
          <w:lang w:eastAsia="en-ID"/>
        </w:rPr>
      </w:pPr>
      <w:r w:rsidRPr="00DC668C">
        <w:rPr>
          <w:rFonts w:ascii="Cambria" w:eastAsia="Times New Roman" w:hAnsi="Cambria" w:cs="Times New Roman"/>
          <w:noProof/>
          <w:sz w:val="24"/>
          <w:szCs w:val="24"/>
          <w:lang w:eastAsia="en-ID"/>
        </w:rPr>
        <w:lastRenderedPageBreak/>
        <w:t>Sebagian masyarakat, khususnya kelompok yang belum pernah mengikuti sosialisasi langsung, masih memiliki pemahaman yang terbatas terhadap konsep moderasi beragama. Akibatnya, program ini kerap dianggap sebagai kegiatan seremonial semata, bahkan menimbulkan kecurigaan di kalangan tertentu.</w:t>
      </w:r>
    </w:p>
    <w:p w14:paraId="4D41894C" w14:textId="7455674C" w:rsidR="000F3AF1" w:rsidRPr="00DC668C" w:rsidRDefault="000F3AF1" w:rsidP="00D90B26">
      <w:pPr>
        <w:spacing w:after="120" w:line="240" w:lineRule="auto"/>
        <w:ind w:firstLine="284"/>
        <w:jc w:val="both"/>
        <w:rPr>
          <w:rFonts w:ascii="Cambria" w:eastAsia="Times New Roman" w:hAnsi="Cambria" w:cs="Times New Roman"/>
          <w:noProof/>
          <w:sz w:val="24"/>
          <w:szCs w:val="24"/>
          <w:lang w:eastAsia="en-ID"/>
        </w:rPr>
      </w:pPr>
      <w:r w:rsidRPr="00DC668C">
        <w:rPr>
          <w:rFonts w:ascii="Cambria" w:eastAsia="Times New Roman" w:hAnsi="Cambria" w:cs="Times New Roman"/>
          <w:noProof/>
          <w:sz w:val="24"/>
          <w:szCs w:val="24"/>
          <w:lang w:eastAsia="en-ID"/>
        </w:rPr>
        <w:t xml:space="preserve">Berdasarkan </w:t>
      </w:r>
      <w:r w:rsidRPr="00DC668C">
        <w:rPr>
          <w:rFonts w:ascii="Cambria" w:eastAsia="Times New Roman" w:hAnsi="Cambria" w:cs="Times New Roman"/>
          <w:i/>
          <w:iCs/>
          <w:noProof/>
          <w:sz w:val="24"/>
          <w:szCs w:val="24"/>
          <w:lang w:eastAsia="en-ID"/>
        </w:rPr>
        <w:t>teori perubahan sosial</w:t>
      </w:r>
      <w:r w:rsidRPr="00DC668C">
        <w:rPr>
          <w:rFonts w:ascii="Cambria" w:eastAsia="Times New Roman" w:hAnsi="Cambria" w:cs="Times New Roman"/>
          <w:noProof/>
          <w:sz w:val="24"/>
          <w:szCs w:val="24"/>
          <w:lang w:eastAsia="en-ID"/>
        </w:rPr>
        <w:t xml:space="preserve"> oleh Kurt Lewin (1951), setiap perubahan sosial cenderung menghadapi resistensi, terutama dari masyarakat yang belum memahami secara menyeluruh nilai-nilai perubahan tersebut. Dalam konteks ini, ketidaktahuan masyarakat terhadap esensi moderasi beragama menjadi hambatan serius dalam membangun dukungan dan partisipasi aktif dari warga.</w:t>
      </w:r>
      <w:r w:rsidR="002A75C8">
        <w:rPr>
          <w:rStyle w:val="FootnoteReference"/>
          <w:rFonts w:ascii="Cambria" w:eastAsia="Times New Roman" w:hAnsi="Cambria" w:cs="Times New Roman"/>
          <w:noProof/>
          <w:sz w:val="24"/>
          <w:szCs w:val="24"/>
          <w:lang w:eastAsia="en-ID"/>
        </w:rPr>
        <w:footnoteReference w:id="22"/>
      </w:r>
    </w:p>
    <w:p w14:paraId="663D139B" w14:textId="77777777" w:rsidR="000F3AF1" w:rsidRPr="00DC668C" w:rsidRDefault="000F3AF1" w:rsidP="00D90B26">
      <w:pPr>
        <w:numPr>
          <w:ilvl w:val="0"/>
          <w:numId w:val="3"/>
        </w:numPr>
        <w:tabs>
          <w:tab w:val="clear" w:pos="720"/>
        </w:tabs>
        <w:spacing w:after="120" w:line="240" w:lineRule="auto"/>
        <w:ind w:left="284"/>
        <w:jc w:val="both"/>
        <w:rPr>
          <w:rFonts w:ascii="Cambria" w:eastAsia="Times New Roman" w:hAnsi="Cambria" w:cs="Times New Roman"/>
          <w:noProof/>
          <w:sz w:val="24"/>
          <w:szCs w:val="24"/>
          <w:lang w:eastAsia="en-ID"/>
        </w:rPr>
      </w:pPr>
      <w:r w:rsidRPr="00DC668C">
        <w:rPr>
          <w:rFonts w:ascii="Cambria" w:eastAsia="Times New Roman" w:hAnsi="Cambria" w:cs="Times New Roman"/>
          <w:noProof/>
          <w:sz w:val="24"/>
          <w:szCs w:val="24"/>
          <w:lang w:eastAsia="en-ID"/>
        </w:rPr>
        <w:t>Keterbatasan Sumber Daya Manusia (SDM) yang Kompeten</w:t>
      </w:r>
    </w:p>
    <w:p w14:paraId="502609D5" w14:textId="77777777" w:rsidR="000F3AF1" w:rsidRPr="00DC668C" w:rsidRDefault="000F3AF1" w:rsidP="00D90B26">
      <w:pPr>
        <w:spacing w:after="120" w:line="240" w:lineRule="auto"/>
        <w:ind w:firstLine="284"/>
        <w:jc w:val="both"/>
        <w:rPr>
          <w:rFonts w:ascii="Cambria" w:eastAsia="Times New Roman" w:hAnsi="Cambria" w:cs="Times New Roman"/>
          <w:noProof/>
          <w:sz w:val="24"/>
          <w:szCs w:val="24"/>
          <w:lang w:eastAsia="en-ID"/>
        </w:rPr>
      </w:pPr>
      <w:r w:rsidRPr="00DC668C">
        <w:rPr>
          <w:rFonts w:ascii="Cambria" w:eastAsia="Times New Roman" w:hAnsi="Cambria" w:cs="Times New Roman"/>
          <w:noProof/>
          <w:sz w:val="24"/>
          <w:szCs w:val="24"/>
          <w:lang w:eastAsia="en-ID"/>
        </w:rPr>
        <w:t>Pelaksanaan program juga terkendala oleh minimnya jumlah pendamping atau fasilitator yang memahami secara komprehensif prinsip-prinsip moderasi beragama, serta mampu menyampaikannya dengan bahasa yang kontekstual dan mudah dipahami oleh masyarakat desa.</w:t>
      </w:r>
    </w:p>
    <w:p w14:paraId="338306B3" w14:textId="1721F687" w:rsidR="00D90B26" w:rsidRPr="00DC668C" w:rsidRDefault="000F3AF1" w:rsidP="007621FC">
      <w:pPr>
        <w:spacing w:after="120" w:line="240" w:lineRule="auto"/>
        <w:ind w:firstLine="284"/>
        <w:jc w:val="both"/>
        <w:rPr>
          <w:rFonts w:ascii="Cambria" w:eastAsia="Times New Roman" w:hAnsi="Cambria" w:cs="Times New Roman"/>
          <w:noProof/>
          <w:sz w:val="24"/>
          <w:szCs w:val="24"/>
          <w:lang w:eastAsia="en-ID"/>
        </w:rPr>
      </w:pPr>
      <w:r w:rsidRPr="00DC668C">
        <w:rPr>
          <w:rFonts w:ascii="Cambria" w:eastAsia="Times New Roman" w:hAnsi="Cambria" w:cs="Times New Roman"/>
          <w:noProof/>
          <w:sz w:val="24"/>
          <w:szCs w:val="24"/>
          <w:lang w:eastAsia="en-ID"/>
        </w:rPr>
        <w:t xml:space="preserve">Mengacu pada </w:t>
      </w:r>
      <w:r w:rsidRPr="00D90B26">
        <w:rPr>
          <w:rFonts w:ascii="Cambria" w:eastAsia="Times New Roman" w:hAnsi="Cambria" w:cs="Times New Roman"/>
          <w:noProof/>
          <w:sz w:val="24"/>
          <w:szCs w:val="24"/>
          <w:lang w:eastAsia="en-ID"/>
        </w:rPr>
        <w:t>teori implementasi kebijakan</w:t>
      </w:r>
      <w:r w:rsidRPr="00DC668C">
        <w:rPr>
          <w:rFonts w:ascii="Cambria" w:eastAsia="Times New Roman" w:hAnsi="Cambria" w:cs="Times New Roman"/>
          <w:noProof/>
          <w:sz w:val="24"/>
          <w:szCs w:val="24"/>
          <w:lang w:eastAsia="en-ID"/>
        </w:rPr>
        <w:t xml:space="preserve"> dari Pressman dan Wildavsky (1973), keberhasilan suatu program sangat ditentukan oleh pelaksana lapangan. Dalam hal ini, kekurangan SDM yang profesional dan terlatih dalam menyampaikan pesan moderasi beragama secara efektif menjadi salah satu titik lemah dalam pelaksanaan program.</w:t>
      </w:r>
      <w:r w:rsidR="002A75C8">
        <w:rPr>
          <w:rStyle w:val="FootnoteReference"/>
          <w:rFonts w:ascii="Cambria" w:eastAsia="Times New Roman" w:hAnsi="Cambria" w:cs="Times New Roman"/>
          <w:noProof/>
          <w:sz w:val="24"/>
          <w:szCs w:val="24"/>
          <w:lang w:eastAsia="en-ID"/>
        </w:rPr>
        <w:footnoteReference w:id="23"/>
      </w:r>
    </w:p>
    <w:p w14:paraId="5F95B5F8" w14:textId="77777777" w:rsidR="000F3AF1" w:rsidRPr="00DC668C" w:rsidRDefault="000F3AF1" w:rsidP="00B12B33">
      <w:pPr>
        <w:pStyle w:val="ListParagraph"/>
        <w:numPr>
          <w:ilvl w:val="0"/>
          <w:numId w:val="5"/>
        </w:numPr>
        <w:spacing w:after="120" w:line="240" w:lineRule="auto"/>
        <w:ind w:left="284" w:hanging="284"/>
        <w:jc w:val="both"/>
        <w:rPr>
          <w:rFonts w:ascii="Cambria" w:hAnsi="Cambria"/>
          <w:b/>
          <w:bCs/>
          <w:noProof/>
          <w:sz w:val="24"/>
          <w:szCs w:val="24"/>
        </w:rPr>
      </w:pPr>
      <w:r w:rsidRPr="00DC668C">
        <w:rPr>
          <w:rFonts w:ascii="Cambria" w:hAnsi="Cambria"/>
          <w:b/>
          <w:bCs/>
          <w:noProof/>
          <w:sz w:val="24"/>
          <w:szCs w:val="24"/>
        </w:rPr>
        <w:t>Program Penguatan Sikap Moderasi Beragama dalam Perspektif Pendidikan Islam</w:t>
      </w:r>
    </w:p>
    <w:p w14:paraId="0D72C1CA" w14:textId="77777777" w:rsidR="000F3AF1" w:rsidRPr="00DC668C" w:rsidRDefault="000F3AF1" w:rsidP="00B12B33">
      <w:pPr>
        <w:spacing w:after="120" w:line="240" w:lineRule="auto"/>
        <w:ind w:firstLine="284"/>
        <w:jc w:val="both"/>
        <w:rPr>
          <w:rFonts w:ascii="Cambria" w:hAnsi="Cambria"/>
          <w:noProof/>
          <w:sz w:val="24"/>
          <w:szCs w:val="24"/>
        </w:rPr>
      </w:pPr>
      <w:r w:rsidRPr="00DC668C">
        <w:rPr>
          <w:rFonts w:ascii="Cambria" w:hAnsi="Cambria"/>
          <w:noProof/>
          <w:sz w:val="24"/>
          <w:szCs w:val="24"/>
        </w:rPr>
        <w:t>Moderasi beragama merupakan nilai fundamental yang diyakini mampu membangun kemaslahatan di tengah masyarakat majemuk seperti Indonesia. Dalam konteks ini, sikap mental moderat, adil, dan berimbang menjadi prinsip utama dalam mengelola keberagaman. Nilai-nilai tersebut tidak hanya eksklusif dalam Islam, melainkan juga menjadi bagian integral dari ajaran teologis hampir semua agama dan peradaban dunia.</w:t>
      </w:r>
    </w:p>
    <w:p w14:paraId="06811BEE" w14:textId="77777777" w:rsidR="000F3AF1" w:rsidRPr="00DC668C" w:rsidRDefault="000F3AF1" w:rsidP="00DC668C">
      <w:pPr>
        <w:spacing w:after="120" w:line="240" w:lineRule="auto"/>
        <w:ind w:firstLine="284"/>
        <w:jc w:val="both"/>
        <w:rPr>
          <w:rFonts w:ascii="Cambria" w:hAnsi="Cambria"/>
          <w:noProof/>
          <w:sz w:val="24"/>
          <w:szCs w:val="24"/>
        </w:rPr>
      </w:pPr>
      <w:r w:rsidRPr="00DC668C">
        <w:rPr>
          <w:rFonts w:ascii="Cambria" w:hAnsi="Cambria"/>
          <w:noProof/>
          <w:sz w:val="24"/>
          <w:szCs w:val="24"/>
        </w:rPr>
        <w:t>Pendekatan teologis dalam berbagai agama menunjukkan bahwa seluruh ajaran agama mendorong pemeluknya untuk mengembangkan nilai-nilai seperti keadilan, toleransi, anti-kekerasan, dan penghormatan terhadap kearifan lokal. Tidak ada satu pun agama di dunia ini yang mengajarkan perilaku ekstrem, aniaya</w:t>
      </w:r>
      <w:r w:rsidRPr="006B54E6">
        <w:rPr>
          <w:rFonts w:ascii="Cambria" w:hAnsi="Cambria"/>
          <w:i/>
          <w:iCs/>
          <w:noProof/>
          <w:sz w:val="24"/>
          <w:szCs w:val="24"/>
        </w:rPr>
        <w:t xml:space="preserve"> (dhalim),</w:t>
      </w:r>
      <w:r w:rsidRPr="00DC668C">
        <w:rPr>
          <w:rFonts w:ascii="Cambria" w:hAnsi="Cambria"/>
          <w:noProof/>
          <w:sz w:val="24"/>
          <w:szCs w:val="24"/>
        </w:rPr>
        <w:t xml:space="preserve"> atau kekerasan sebagai bagian dari ekspresi keimanan.</w:t>
      </w:r>
    </w:p>
    <w:p w14:paraId="2219401F" w14:textId="77777777" w:rsidR="000F3AF1" w:rsidRPr="00DC668C" w:rsidRDefault="000F3AF1" w:rsidP="00DC668C">
      <w:pPr>
        <w:spacing w:after="120" w:line="240" w:lineRule="auto"/>
        <w:ind w:firstLine="284"/>
        <w:jc w:val="both"/>
        <w:rPr>
          <w:rFonts w:ascii="Cambria" w:hAnsi="Cambria"/>
          <w:noProof/>
          <w:sz w:val="24"/>
          <w:szCs w:val="24"/>
        </w:rPr>
      </w:pPr>
      <w:r w:rsidRPr="00DC668C">
        <w:rPr>
          <w:rFonts w:ascii="Cambria" w:hAnsi="Cambria"/>
          <w:noProof/>
          <w:sz w:val="24"/>
          <w:szCs w:val="24"/>
        </w:rPr>
        <w:t>Dalam Islam, moderasi (wasathiyah) merupakan ajaran inti yang mendorong umat untuk senantiasa menegakkan kebenaran dan keadilan, tanpa memandang latar belakang agama, suku, maupun golongan. Bahkan, dalam beberapa kasus, umat Islam diperintahkan untuk membela keadilan meskipun terhadap pihak yang berbeda keyakinan, asalkan demi tegaknya kebenaran universal.</w:t>
      </w:r>
    </w:p>
    <w:p w14:paraId="3DBDA3C1" w14:textId="77777777" w:rsidR="000F3AF1" w:rsidRPr="00DC668C" w:rsidRDefault="000F3AF1" w:rsidP="00DC668C">
      <w:pPr>
        <w:spacing w:after="120" w:line="240" w:lineRule="auto"/>
        <w:ind w:firstLine="284"/>
        <w:jc w:val="both"/>
        <w:rPr>
          <w:rFonts w:ascii="Cambria" w:hAnsi="Cambria"/>
          <w:noProof/>
          <w:sz w:val="24"/>
          <w:szCs w:val="24"/>
        </w:rPr>
      </w:pPr>
      <w:r w:rsidRPr="00DC668C">
        <w:rPr>
          <w:rFonts w:ascii="Cambria" w:hAnsi="Cambria"/>
          <w:noProof/>
          <w:sz w:val="24"/>
          <w:szCs w:val="24"/>
        </w:rPr>
        <w:t>Hal ini sejalan dengan firman Allah dalam Surah Al-Māidah ayat 8, yang menyatakan:</w:t>
      </w:r>
    </w:p>
    <w:p w14:paraId="2F3FE953" w14:textId="77777777" w:rsidR="000F3AF1" w:rsidRPr="00DC668C" w:rsidRDefault="000F3AF1" w:rsidP="00DC668C">
      <w:pPr>
        <w:spacing w:after="120" w:line="240" w:lineRule="auto"/>
        <w:ind w:firstLine="284"/>
        <w:jc w:val="both"/>
        <w:rPr>
          <w:rFonts w:ascii="Cambria" w:hAnsi="Cambria"/>
          <w:noProof/>
          <w:sz w:val="24"/>
          <w:szCs w:val="24"/>
        </w:rPr>
      </w:pPr>
      <w:r w:rsidRPr="00DC668C">
        <w:rPr>
          <w:rFonts w:ascii="Cambria" w:hAnsi="Cambria"/>
          <w:i/>
          <w:iCs/>
          <w:noProof/>
          <w:sz w:val="24"/>
          <w:szCs w:val="24"/>
        </w:rPr>
        <w:lastRenderedPageBreak/>
        <w:t xml:space="preserve">"Hai orang-orang yang beriman, </w:t>
      </w:r>
      <w:r w:rsidRPr="00DC668C">
        <w:rPr>
          <w:rFonts w:ascii="Cambria" w:hAnsi="Cambria"/>
          <w:noProof/>
          <w:sz w:val="24"/>
          <w:szCs w:val="24"/>
        </w:rPr>
        <w:t>hendaklah</w:t>
      </w:r>
      <w:r w:rsidRPr="00DC668C">
        <w:rPr>
          <w:rFonts w:ascii="Cambria" w:hAnsi="Cambria"/>
          <w:i/>
          <w:iCs/>
          <w:noProof/>
          <w:sz w:val="24"/>
          <w:szCs w:val="24"/>
        </w:rPr>
        <w:t xml:space="preserve"> kamu menjadi orang-orang yang selalu menegakkan (kebenaran) karena Allah, menjadi saksi dengan adil. Dan janganlah sekali-kali kebencianmu terhadap suatu kaum, mendorong kamu untuk berlaku tidak adil. Berlaku adillah, karena adil itu lebih dekat kepada takwa."</w:t>
      </w:r>
      <w:r w:rsidRPr="00DC668C">
        <w:rPr>
          <w:rFonts w:ascii="Cambria" w:hAnsi="Cambria"/>
          <w:noProof/>
          <w:sz w:val="24"/>
          <w:szCs w:val="24"/>
        </w:rPr>
        <w:t xml:space="preserve"> (Q.S. Al-Māidah: 8)</w:t>
      </w:r>
    </w:p>
    <w:p w14:paraId="41E6D032" w14:textId="77777777" w:rsidR="000F3AF1" w:rsidRPr="00DC668C" w:rsidRDefault="000F3AF1" w:rsidP="00DC668C">
      <w:pPr>
        <w:spacing w:after="120" w:line="240" w:lineRule="auto"/>
        <w:ind w:firstLine="284"/>
        <w:jc w:val="both"/>
        <w:rPr>
          <w:rFonts w:ascii="Cambria" w:hAnsi="Cambria"/>
          <w:noProof/>
          <w:sz w:val="24"/>
          <w:szCs w:val="24"/>
        </w:rPr>
      </w:pPr>
      <w:r w:rsidRPr="00DC668C">
        <w:rPr>
          <w:rFonts w:ascii="Cambria" w:hAnsi="Cambria"/>
          <w:noProof/>
          <w:sz w:val="24"/>
          <w:szCs w:val="24"/>
        </w:rPr>
        <w:t>Ayat ini menegaskan bahwa keadilan adalah prinsip yang tidak boleh dikompromikan, bahkan dalam kondisi relasi sosial yang penuh ketegangan. Inilah dasar etik moderasi beragama yang sangat relevan untuk dikembangkan dalam praktik pendidikan Islam, khususnya di lingkungan masyarakat akar rumput.</w:t>
      </w:r>
    </w:p>
    <w:p w14:paraId="4ECDED19" w14:textId="181706D4" w:rsidR="000F3AF1" w:rsidRPr="00DC668C" w:rsidRDefault="000F3AF1" w:rsidP="00DC668C">
      <w:pPr>
        <w:spacing w:after="120" w:line="240" w:lineRule="auto"/>
        <w:ind w:firstLine="284"/>
        <w:jc w:val="both"/>
        <w:rPr>
          <w:rFonts w:ascii="Cambria" w:hAnsi="Cambria"/>
          <w:noProof/>
          <w:sz w:val="24"/>
          <w:szCs w:val="24"/>
        </w:rPr>
      </w:pPr>
      <w:r w:rsidRPr="00DC668C">
        <w:rPr>
          <w:rFonts w:ascii="Cambria" w:hAnsi="Cambria"/>
          <w:noProof/>
          <w:sz w:val="24"/>
          <w:szCs w:val="24"/>
        </w:rPr>
        <w:t>Dalam perspektif pendidikan Islam, program penguatan sikap moderasi harus dilakukan secara holistik dan kontekstual. Penguatan ini melibatkan proses sosialisasi nilai-nilai wasathiyah yang tidak sekadar disampaikan secara tekstual, melainkan juga ditransformasikan melalui pendekatan kultural dan pedagogis yang sesuai dengan realitas masyarakat desa. Oleh karena itu, keberadaan pendamping atau fasilitator yang mampu menjelaskan konsep moderasi secara sederhana, komunikatif, dan membumi menjadi sangat penting agar pesan-pesan moderasi dapat dipahami dan diinternalisasi secara efektif oleh masyarakat.</w:t>
      </w:r>
    </w:p>
    <w:p w14:paraId="783C9832" w14:textId="77777777" w:rsidR="00996034" w:rsidRPr="00996034" w:rsidRDefault="00996034" w:rsidP="0038158E">
      <w:pPr>
        <w:spacing w:after="120" w:line="240" w:lineRule="auto"/>
        <w:ind w:firstLine="284"/>
        <w:jc w:val="both"/>
        <w:rPr>
          <w:rFonts w:ascii="Cambria" w:hAnsi="Cambria"/>
          <w:noProof/>
          <w:sz w:val="24"/>
          <w:szCs w:val="24"/>
        </w:rPr>
      </w:pPr>
      <w:r w:rsidRPr="00996034">
        <w:rPr>
          <w:rFonts w:ascii="Cambria" w:hAnsi="Cambria"/>
          <w:noProof/>
          <w:sz w:val="24"/>
          <w:szCs w:val="24"/>
        </w:rPr>
        <w:t>Selain perintah untuk berlaku adil, Islam juga melarang keras tindakan menjelekkan, menghina, atau memaki sembahan yang diagungkan oleh penganut agama lain. Larangan ini dimaksudkan untuk mencegah timbulnya rasa tersinggung dan tindakan balasan yang dapat memperkeruh hubungan antarumat beragama. Hal ini ditegaskan dalam firman Allah SWT dalam Surah Al-An’ām ayat 108:</w:t>
      </w:r>
    </w:p>
    <w:p w14:paraId="47A7A5A8" w14:textId="77777777" w:rsidR="00996034" w:rsidRPr="00996034" w:rsidRDefault="00996034" w:rsidP="0038158E">
      <w:pPr>
        <w:spacing w:after="120" w:line="240" w:lineRule="auto"/>
        <w:ind w:firstLine="284"/>
        <w:jc w:val="both"/>
        <w:rPr>
          <w:rFonts w:ascii="Cambria" w:hAnsi="Cambria"/>
          <w:noProof/>
          <w:sz w:val="24"/>
          <w:szCs w:val="24"/>
        </w:rPr>
      </w:pPr>
      <w:r w:rsidRPr="00996034">
        <w:rPr>
          <w:rFonts w:ascii="Cambria" w:hAnsi="Cambria"/>
          <w:i/>
          <w:iCs/>
          <w:noProof/>
          <w:sz w:val="24"/>
          <w:szCs w:val="24"/>
        </w:rPr>
        <w:t>“Dan janganlah kamu memaki sembahan-sembahan yang mereka sembah selain Allah, karena mereka nanti akan memaki Allah dengan melampaui batas tanpa pengetahuan...”</w:t>
      </w:r>
      <w:r w:rsidRPr="00996034">
        <w:rPr>
          <w:rFonts w:ascii="Cambria" w:hAnsi="Cambria"/>
          <w:noProof/>
          <w:sz w:val="24"/>
          <w:szCs w:val="24"/>
        </w:rPr>
        <w:t xml:space="preserve"> (Q.S. Al-An’ām: 108)</w:t>
      </w:r>
    </w:p>
    <w:p w14:paraId="058B02AA" w14:textId="77777777" w:rsidR="00996034" w:rsidRPr="00996034" w:rsidRDefault="00996034" w:rsidP="00DC668C">
      <w:pPr>
        <w:spacing w:after="120" w:line="240" w:lineRule="auto"/>
        <w:ind w:firstLine="284"/>
        <w:jc w:val="both"/>
        <w:rPr>
          <w:rFonts w:ascii="Cambria" w:hAnsi="Cambria"/>
          <w:noProof/>
          <w:sz w:val="24"/>
          <w:szCs w:val="24"/>
        </w:rPr>
      </w:pPr>
      <w:r w:rsidRPr="00996034">
        <w:rPr>
          <w:rFonts w:ascii="Cambria" w:hAnsi="Cambria"/>
          <w:noProof/>
          <w:sz w:val="24"/>
          <w:szCs w:val="24"/>
        </w:rPr>
        <w:t>Islam juga memberi ruang bagi terwujudnya toleransi dalam kehidupan beragama, dengan memberikan anjuran untuk berbuat baik dan berlaku adil terhadap umat agama lain, selama mereka menjaga dua prinsip utama: tidak memerangi umat Islam karena agama, dan tidak mengusir kaum Muslim dari negeri tempat tinggal mereka secara sah. Prinsip ini ditegaskan dalam Surah Al-Mumtahanah ayat 8, yang menyatakan bahwa:</w:t>
      </w:r>
    </w:p>
    <w:p w14:paraId="40F1E510" w14:textId="77777777" w:rsidR="00996034" w:rsidRPr="00996034" w:rsidRDefault="00996034" w:rsidP="00DC668C">
      <w:pPr>
        <w:spacing w:after="120" w:line="240" w:lineRule="auto"/>
        <w:ind w:firstLine="284"/>
        <w:jc w:val="both"/>
        <w:rPr>
          <w:rFonts w:ascii="Cambria" w:hAnsi="Cambria"/>
          <w:noProof/>
          <w:sz w:val="24"/>
          <w:szCs w:val="24"/>
        </w:rPr>
      </w:pPr>
      <w:r w:rsidRPr="00996034">
        <w:rPr>
          <w:rFonts w:ascii="Cambria" w:hAnsi="Cambria"/>
          <w:i/>
          <w:iCs/>
          <w:noProof/>
          <w:sz w:val="24"/>
          <w:szCs w:val="24"/>
        </w:rPr>
        <w:t xml:space="preserve">“Allah tidak melarang kamu untuk berbuat baik dan berlaku adil terhadap orang-orang yang tidak memerangimu karena </w:t>
      </w:r>
      <w:r w:rsidRPr="00996034">
        <w:rPr>
          <w:rFonts w:ascii="Cambria" w:hAnsi="Cambria"/>
          <w:noProof/>
          <w:sz w:val="24"/>
          <w:szCs w:val="24"/>
        </w:rPr>
        <w:t>agama</w:t>
      </w:r>
      <w:r w:rsidRPr="00996034">
        <w:rPr>
          <w:rFonts w:ascii="Cambria" w:hAnsi="Cambria"/>
          <w:i/>
          <w:iCs/>
          <w:noProof/>
          <w:sz w:val="24"/>
          <w:szCs w:val="24"/>
        </w:rPr>
        <w:t xml:space="preserve"> dan tidak (pula) mengusir kamu dari negerimu. Sesungguhnya Allah menyukai orang-orang yang berlaku adil.”</w:t>
      </w:r>
      <w:r w:rsidRPr="00996034">
        <w:rPr>
          <w:rFonts w:ascii="Cambria" w:hAnsi="Cambria"/>
          <w:noProof/>
          <w:sz w:val="24"/>
          <w:szCs w:val="24"/>
        </w:rPr>
        <w:t xml:space="preserve"> (Q.S. Al-Mumtahanah: 8)</w:t>
      </w:r>
    </w:p>
    <w:p w14:paraId="1AED5E39" w14:textId="77777777" w:rsidR="00996034" w:rsidRPr="00996034" w:rsidRDefault="00996034" w:rsidP="00DC668C">
      <w:pPr>
        <w:spacing w:after="120" w:line="240" w:lineRule="auto"/>
        <w:ind w:firstLine="284"/>
        <w:jc w:val="both"/>
        <w:rPr>
          <w:rFonts w:ascii="Cambria" w:hAnsi="Cambria"/>
          <w:noProof/>
          <w:sz w:val="24"/>
          <w:szCs w:val="24"/>
        </w:rPr>
      </w:pPr>
      <w:r w:rsidRPr="00996034">
        <w:rPr>
          <w:rFonts w:ascii="Cambria" w:hAnsi="Cambria"/>
          <w:noProof/>
          <w:sz w:val="24"/>
          <w:szCs w:val="24"/>
        </w:rPr>
        <w:t>Sikap moderasi beragama yang luhur dalam Islam merupakan perintah universal untuk menegakkan kebenaran dan keadilan, kapan pun, di mana pun, dan terhadap siapa pun, termasuk terhadap pemeluk agama yang berbeda. Tegaknya keadilan bukan hanya menjadi kepentingan umat Islam, tetapi juga menjadi prinsip universal untuk menciptakan harmoni sosial lintas agama.</w:t>
      </w:r>
    </w:p>
    <w:p w14:paraId="1F446828" w14:textId="77777777" w:rsidR="00996034" w:rsidRPr="00996034" w:rsidRDefault="00996034" w:rsidP="0038158E">
      <w:pPr>
        <w:spacing w:after="120" w:line="240" w:lineRule="auto"/>
        <w:ind w:firstLine="284"/>
        <w:jc w:val="both"/>
        <w:rPr>
          <w:rFonts w:ascii="Cambria" w:hAnsi="Cambria"/>
          <w:noProof/>
          <w:sz w:val="24"/>
          <w:szCs w:val="24"/>
        </w:rPr>
      </w:pPr>
      <w:r w:rsidRPr="00996034">
        <w:rPr>
          <w:rFonts w:ascii="Cambria" w:hAnsi="Cambria"/>
          <w:noProof/>
          <w:sz w:val="24"/>
          <w:szCs w:val="24"/>
        </w:rPr>
        <w:t>Perintah untuk berlaku adil secara umum telah termaktub dalam Surah Al-Māidah ayat 8, sebagaimana telah dijelaskan sebelumnya. Nilai-nilai tersebut semakin diperkuat dalam Piagam Madinah yang disusun oleh Rasulullah SAW saat hijrah ke Madinah. Piagam tersebut menjadi fondasi bagi kehidupan masyarakat multikultural dan multiagama dalam satu komunitas negara-kota (city-state).</w:t>
      </w:r>
    </w:p>
    <w:p w14:paraId="41CA9E61" w14:textId="3FAF51A2" w:rsidR="00996034" w:rsidRPr="00DC668C" w:rsidRDefault="00996034" w:rsidP="0038158E">
      <w:pPr>
        <w:spacing w:after="120" w:line="240" w:lineRule="auto"/>
        <w:ind w:firstLine="284"/>
        <w:jc w:val="both"/>
        <w:rPr>
          <w:rFonts w:ascii="Cambria" w:hAnsi="Cambria"/>
          <w:noProof/>
          <w:sz w:val="24"/>
          <w:szCs w:val="24"/>
        </w:rPr>
      </w:pPr>
      <w:r w:rsidRPr="00996034">
        <w:rPr>
          <w:rFonts w:ascii="Cambria" w:hAnsi="Cambria"/>
          <w:noProof/>
          <w:sz w:val="24"/>
          <w:szCs w:val="24"/>
        </w:rPr>
        <w:t xml:space="preserve">Piagam Madinah memuat ketentuan-ketentuan yang mencerminkan prinsip moderasi beragama, termasuk kewajiban untuk hidup damai, menjunjung keadilan, </w:t>
      </w:r>
      <w:r w:rsidRPr="00996034">
        <w:rPr>
          <w:rFonts w:ascii="Cambria" w:hAnsi="Cambria"/>
          <w:noProof/>
          <w:sz w:val="24"/>
          <w:szCs w:val="24"/>
        </w:rPr>
        <w:lastRenderedPageBreak/>
        <w:t>serta menjaga kesetaraan hak dan kewajiban antarwarga, tanpa membedakan latar belakang agama. Artinya, perbedaan agama tidak menjadi penghalang bagi terciptanya kehidupan yang harmonis di tengah masyarakat.</w:t>
      </w:r>
    </w:p>
    <w:p w14:paraId="582DC2EF" w14:textId="694785A1" w:rsidR="0038158E" w:rsidRPr="0038158E" w:rsidRDefault="0038158E" w:rsidP="0038158E">
      <w:pPr>
        <w:spacing w:after="120" w:line="240" w:lineRule="auto"/>
        <w:jc w:val="both"/>
        <w:rPr>
          <w:rFonts w:ascii="Cambria" w:hAnsi="Cambria"/>
          <w:b/>
          <w:bCs/>
          <w:noProof/>
          <w:sz w:val="24"/>
          <w:szCs w:val="24"/>
        </w:rPr>
      </w:pPr>
      <w:r w:rsidRPr="0038158E">
        <w:rPr>
          <w:rFonts w:ascii="Cambria" w:hAnsi="Cambria"/>
          <w:b/>
          <w:bCs/>
          <w:noProof/>
          <w:sz w:val="24"/>
          <w:szCs w:val="24"/>
        </w:rPr>
        <w:t>Ke</w:t>
      </w:r>
      <w:r w:rsidR="005E2497">
        <w:rPr>
          <w:rFonts w:ascii="Cambria" w:hAnsi="Cambria"/>
          <w:b/>
          <w:bCs/>
          <w:noProof/>
          <w:sz w:val="24"/>
          <w:szCs w:val="24"/>
        </w:rPr>
        <w:t>s</w:t>
      </w:r>
      <w:r w:rsidRPr="0038158E">
        <w:rPr>
          <w:rFonts w:ascii="Cambria" w:hAnsi="Cambria"/>
          <w:b/>
          <w:bCs/>
          <w:noProof/>
          <w:sz w:val="24"/>
          <w:szCs w:val="24"/>
        </w:rPr>
        <w:t>impulan</w:t>
      </w:r>
    </w:p>
    <w:p w14:paraId="1A9DADD8" w14:textId="6964B983" w:rsidR="00996034" w:rsidRPr="00996034" w:rsidRDefault="00996034" w:rsidP="0038158E">
      <w:pPr>
        <w:spacing w:after="120" w:line="240" w:lineRule="auto"/>
        <w:ind w:firstLine="284"/>
        <w:jc w:val="both"/>
        <w:rPr>
          <w:rFonts w:ascii="Cambria" w:hAnsi="Cambria"/>
          <w:noProof/>
          <w:sz w:val="24"/>
          <w:szCs w:val="24"/>
        </w:rPr>
      </w:pPr>
      <w:r w:rsidRPr="00996034">
        <w:rPr>
          <w:rFonts w:ascii="Cambria" w:hAnsi="Cambria"/>
          <w:noProof/>
          <w:sz w:val="24"/>
          <w:szCs w:val="24"/>
        </w:rPr>
        <w:t xml:space="preserve">Berdasarkan hasil penelitian dan pembahasan yang telah dilakukan dalam kajian berjudul </w:t>
      </w:r>
      <w:r w:rsidRPr="00996034">
        <w:rPr>
          <w:rFonts w:ascii="Cambria" w:hAnsi="Cambria"/>
          <w:i/>
          <w:iCs/>
          <w:noProof/>
          <w:sz w:val="24"/>
          <w:szCs w:val="24"/>
        </w:rPr>
        <w:t xml:space="preserve">“Program Penguatan Sikap Moderasi Beragama pada Masyarakat Perspektif Pendidikan Islam (Studi Kasus di </w:t>
      </w:r>
      <w:r w:rsidR="00DC668C" w:rsidRPr="00DC668C">
        <w:rPr>
          <w:rFonts w:ascii="Cambria" w:hAnsi="Cambria"/>
          <w:i/>
          <w:iCs/>
          <w:noProof/>
          <w:sz w:val="24"/>
          <w:szCs w:val="24"/>
        </w:rPr>
        <w:t>Kab. Bengkulu Utara</w:t>
      </w:r>
      <w:r w:rsidRPr="00996034">
        <w:rPr>
          <w:rFonts w:ascii="Cambria" w:hAnsi="Cambria"/>
          <w:i/>
          <w:iCs/>
          <w:noProof/>
          <w:sz w:val="24"/>
          <w:szCs w:val="24"/>
        </w:rPr>
        <w:t xml:space="preserve"> Kabupaten Bengkulu Utara)”</w:t>
      </w:r>
      <w:r w:rsidRPr="00996034">
        <w:rPr>
          <w:rFonts w:ascii="Cambria" w:hAnsi="Cambria"/>
          <w:noProof/>
          <w:sz w:val="24"/>
          <w:szCs w:val="24"/>
        </w:rPr>
        <w:t>, dapat disimpulkan beberapa hal sebagai berikut:</w:t>
      </w:r>
    </w:p>
    <w:p w14:paraId="49E671AB" w14:textId="72198077" w:rsidR="00996034" w:rsidRPr="0038158E" w:rsidRDefault="00996034" w:rsidP="0038158E">
      <w:pPr>
        <w:numPr>
          <w:ilvl w:val="0"/>
          <w:numId w:val="4"/>
        </w:numPr>
        <w:tabs>
          <w:tab w:val="clear" w:pos="720"/>
        </w:tabs>
        <w:spacing w:after="120" w:line="240" w:lineRule="auto"/>
        <w:ind w:left="284" w:hanging="284"/>
        <w:jc w:val="both"/>
        <w:rPr>
          <w:rFonts w:ascii="Cambria" w:hAnsi="Cambria"/>
          <w:noProof/>
          <w:sz w:val="24"/>
          <w:szCs w:val="24"/>
        </w:rPr>
      </w:pPr>
      <w:r w:rsidRPr="00996034">
        <w:rPr>
          <w:rFonts w:ascii="Cambria" w:hAnsi="Cambria"/>
          <w:noProof/>
          <w:sz w:val="24"/>
          <w:szCs w:val="24"/>
        </w:rPr>
        <w:t>Implementasi Program Moderasi Beragama</w:t>
      </w:r>
    </w:p>
    <w:p w14:paraId="2E230266" w14:textId="6A375A9D" w:rsidR="00996034" w:rsidRPr="00996034" w:rsidRDefault="00996034" w:rsidP="0038158E">
      <w:pPr>
        <w:spacing w:after="120" w:line="240" w:lineRule="auto"/>
        <w:ind w:firstLine="284"/>
        <w:jc w:val="both"/>
        <w:rPr>
          <w:rFonts w:ascii="Cambria" w:hAnsi="Cambria"/>
          <w:noProof/>
          <w:sz w:val="24"/>
          <w:szCs w:val="24"/>
        </w:rPr>
      </w:pPr>
      <w:r w:rsidRPr="00996034">
        <w:rPr>
          <w:rFonts w:ascii="Cambria" w:hAnsi="Cambria"/>
          <w:noProof/>
          <w:sz w:val="24"/>
          <w:szCs w:val="24"/>
        </w:rPr>
        <w:t xml:space="preserve">Program penguatan sikap moderasi beragama di </w:t>
      </w:r>
      <w:r w:rsidR="00DC668C" w:rsidRPr="00DC668C">
        <w:rPr>
          <w:rFonts w:ascii="Cambria" w:hAnsi="Cambria"/>
          <w:noProof/>
          <w:sz w:val="24"/>
          <w:szCs w:val="24"/>
        </w:rPr>
        <w:t>Kab. Bengkulu Utara</w:t>
      </w:r>
      <w:r w:rsidRPr="00996034">
        <w:rPr>
          <w:rFonts w:ascii="Cambria" w:hAnsi="Cambria"/>
          <w:noProof/>
          <w:sz w:val="24"/>
          <w:szCs w:val="24"/>
        </w:rPr>
        <w:t xml:space="preserve"> ditunjukkan melalui berbagai kegiatan yang berorientasi pada penguatan nilai-nilai kerukunan umat beragama. Beberapa program yang telah dijalankan antara lain: pembentukan </w:t>
      </w:r>
      <w:r w:rsidRPr="00996034">
        <w:rPr>
          <w:rFonts w:ascii="Cambria" w:hAnsi="Cambria"/>
          <w:i/>
          <w:iCs/>
          <w:noProof/>
          <w:sz w:val="24"/>
          <w:szCs w:val="24"/>
        </w:rPr>
        <w:t>Forum Perwakilan Umat Beragama (FPUB)</w:t>
      </w:r>
      <w:r w:rsidRPr="00996034">
        <w:rPr>
          <w:rFonts w:ascii="Cambria" w:hAnsi="Cambria"/>
          <w:noProof/>
          <w:sz w:val="24"/>
          <w:szCs w:val="24"/>
        </w:rPr>
        <w:t>, sosialisasi nilai-nilai moderasi, kemah kerukunan, pawai kerukunan, doa bersama lintas agama, serta pengantaran jenazah antaragama. Program-program tersebut merepresentasikan implementasi prinsip-prinsip utama moderasi beragama, seperti komitmen kebangsaan, penolakan terhadap kekerasan (</w:t>
      </w:r>
      <w:r w:rsidRPr="00996034">
        <w:rPr>
          <w:rFonts w:ascii="Cambria" w:hAnsi="Cambria"/>
          <w:i/>
          <w:iCs/>
          <w:noProof/>
          <w:sz w:val="24"/>
          <w:szCs w:val="24"/>
        </w:rPr>
        <w:t>anti-kekerasan</w:t>
      </w:r>
      <w:r w:rsidRPr="00996034">
        <w:rPr>
          <w:rFonts w:ascii="Cambria" w:hAnsi="Cambria"/>
          <w:noProof/>
          <w:sz w:val="24"/>
          <w:szCs w:val="24"/>
        </w:rPr>
        <w:t>), penghargaan terhadap budaya lokal, dan penguatan nilai toleransi antarumat beragama.</w:t>
      </w:r>
    </w:p>
    <w:p w14:paraId="23CB250F" w14:textId="0FFBCC4B" w:rsidR="00996034" w:rsidRPr="0038158E" w:rsidRDefault="00996034" w:rsidP="0038158E">
      <w:pPr>
        <w:numPr>
          <w:ilvl w:val="0"/>
          <w:numId w:val="4"/>
        </w:numPr>
        <w:tabs>
          <w:tab w:val="clear" w:pos="720"/>
        </w:tabs>
        <w:spacing w:after="120" w:line="240" w:lineRule="auto"/>
        <w:ind w:left="284" w:hanging="284"/>
        <w:jc w:val="both"/>
        <w:rPr>
          <w:rFonts w:ascii="Cambria" w:hAnsi="Cambria"/>
          <w:noProof/>
          <w:sz w:val="24"/>
          <w:szCs w:val="24"/>
        </w:rPr>
      </w:pPr>
      <w:r w:rsidRPr="00996034">
        <w:rPr>
          <w:rFonts w:ascii="Cambria" w:hAnsi="Cambria"/>
          <w:noProof/>
          <w:sz w:val="24"/>
          <w:szCs w:val="24"/>
        </w:rPr>
        <w:t>Kesesuaian dengan Nilai-Nilai Pendidikan Islam</w:t>
      </w:r>
    </w:p>
    <w:p w14:paraId="101FCF1C" w14:textId="48F13180" w:rsidR="00996034" w:rsidRPr="00996034" w:rsidRDefault="00996034" w:rsidP="0038158E">
      <w:pPr>
        <w:spacing w:after="120" w:line="240" w:lineRule="auto"/>
        <w:ind w:firstLine="284"/>
        <w:jc w:val="both"/>
        <w:rPr>
          <w:rFonts w:ascii="Cambria" w:hAnsi="Cambria"/>
          <w:noProof/>
          <w:sz w:val="24"/>
          <w:szCs w:val="24"/>
        </w:rPr>
      </w:pPr>
      <w:r w:rsidRPr="00996034">
        <w:rPr>
          <w:rFonts w:ascii="Cambria" w:hAnsi="Cambria"/>
          <w:noProof/>
          <w:sz w:val="24"/>
          <w:szCs w:val="24"/>
        </w:rPr>
        <w:t xml:space="preserve">Dalam perspektif pendidikan Islam, program moderasi beragama di </w:t>
      </w:r>
      <w:r w:rsidR="00DC668C" w:rsidRPr="00DC668C">
        <w:rPr>
          <w:rFonts w:ascii="Cambria" w:hAnsi="Cambria"/>
          <w:noProof/>
          <w:sz w:val="24"/>
          <w:szCs w:val="24"/>
        </w:rPr>
        <w:t>Kab. Bengkulu Utara</w:t>
      </w:r>
      <w:r w:rsidRPr="00996034">
        <w:rPr>
          <w:rFonts w:ascii="Cambria" w:hAnsi="Cambria"/>
          <w:noProof/>
          <w:sz w:val="24"/>
          <w:szCs w:val="24"/>
        </w:rPr>
        <w:t xml:space="preserve"> memiliki keselarasan yang kuat dengan nilai-nilai ajaran Islam. Nilai-nilai seperti toleransi, persaudaraan kemanusiaan, dan penghargaan terhadap perbedaan merupakan bagian integral dari pendidikan Islam yang bersumber dari Al-Qur’an dan hadis. Bentuk sosialisasi nilai-nilai moderasi beragama, seperti melalui kegiatan edukatif (kemah kerukunan, pawai kerukunan, doa bersama), mencerminkan praktik pendidikan Islam kontekstual yang membangun kesadaran kolektif dalam menjaga kerukunan dan keharmonisan sosial di tengah masyarakat yang majemuk.</w:t>
      </w:r>
    </w:p>
    <w:p w14:paraId="1184A05A" w14:textId="2AF0C726" w:rsidR="00927BD4" w:rsidRPr="00B8750B" w:rsidRDefault="00B8750B" w:rsidP="00996034">
      <w:pPr>
        <w:spacing w:after="120" w:line="240" w:lineRule="auto"/>
        <w:jc w:val="both"/>
        <w:rPr>
          <w:rFonts w:ascii="Cambria" w:hAnsi="Cambria"/>
          <w:b/>
          <w:bCs/>
          <w:noProof/>
          <w:sz w:val="24"/>
          <w:szCs w:val="24"/>
        </w:rPr>
      </w:pPr>
      <w:r w:rsidRPr="00B8750B">
        <w:rPr>
          <w:rFonts w:ascii="Cambria" w:hAnsi="Cambria"/>
          <w:b/>
          <w:bCs/>
          <w:noProof/>
          <w:sz w:val="24"/>
          <w:szCs w:val="24"/>
        </w:rPr>
        <w:t>Daftar Pustaka</w:t>
      </w:r>
    </w:p>
    <w:p w14:paraId="272C72FA" w14:textId="0D901720" w:rsidR="006F6F43" w:rsidRPr="006F6F43" w:rsidRDefault="006F6F43" w:rsidP="00A4555E">
      <w:pPr>
        <w:spacing w:after="120" w:line="240" w:lineRule="auto"/>
        <w:ind w:left="709" w:hanging="709"/>
        <w:jc w:val="both"/>
        <w:rPr>
          <w:rFonts w:ascii="Cambria" w:hAnsi="Cambria"/>
          <w:noProof/>
          <w:sz w:val="24"/>
          <w:szCs w:val="24"/>
        </w:rPr>
      </w:pPr>
      <w:r w:rsidRPr="006F6F43">
        <w:rPr>
          <w:rFonts w:ascii="Cambria" w:hAnsi="Cambria"/>
          <w:noProof/>
          <w:sz w:val="24"/>
          <w:szCs w:val="24"/>
        </w:rPr>
        <w:t xml:space="preserve">Bertalanffy, L. von. (1968). </w:t>
      </w:r>
      <w:r w:rsidRPr="006F6F43">
        <w:rPr>
          <w:rFonts w:ascii="Cambria" w:hAnsi="Cambria"/>
          <w:i/>
          <w:iCs/>
          <w:noProof/>
          <w:sz w:val="24"/>
          <w:szCs w:val="24"/>
        </w:rPr>
        <w:t>General System Theory: Foundations, Development, Applications</w:t>
      </w:r>
      <w:r w:rsidRPr="006F6F43">
        <w:rPr>
          <w:rFonts w:ascii="Cambria" w:hAnsi="Cambria"/>
          <w:noProof/>
          <w:sz w:val="24"/>
          <w:szCs w:val="24"/>
        </w:rPr>
        <w:t>. New York: George Braziller.</w:t>
      </w:r>
    </w:p>
    <w:p w14:paraId="6F43A7B3" w14:textId="5D3931AB" w:rsidR="006F6F43" w:rsidRPr="006F6F43" w:rsidRDefault="006F6F43" w:rsidP="00A4555E">
      <w:pPr>
        <w:spacing w:after="120" w:line="240" w:lineRule="auto"/>
        <w:ind w:left="709" w:hanging="709"/>
        <w:jc w:val="both"/>
        <w:rPr>
          <w:rFonts w:ascii="Cambria" w:hAnsi="Cambria"/>
          <w:noProof/>
          <w:sz w:val="24"/>
          <w:szCs w:val="24"/>
        </w:rPr>
      </w:pPr>
      <w:r w:rsidRPr="006F6F43">
        <w:rPr>
          <w:rFonts w:ascii="Cambria" w:hAnsi="Cambria"/>
          <w:noProof/>
          <w:sz w:val="24"/>
          <w:szCs w:val="24"/>
        </w:rPr>
        <w:t xml:space="preserve">Deni, &amp; Salamuddin. (2022). Peran Kementerian Agama dalam Moderasi Beragama. </w:t>
      </w:r>
      <w:r w:rsidRPr="006F6F43">
        <w:rPr>
          <w:rFonts w:ascii="Cambria" w:hAnsi="Cambria"/>
          <w:i/>
          <w:iCs/>
          <w:noProof/>
          <w:sz w:val="24"/>
          <w:szCs w:val="24"/>
        </w:rPr>
        <w:t>Jurnal Al-Qiyam</w:t>
      </w:r>
      <w:r w:rsidRPr="006F6F43">
        <w:rPr>
          <w:rFonts w:ascii="Cambria" w:hAnsi="Cambria"/>
          <w:noProof/>
          <w:sz w:val="24"/>
          <w:szCs w:val="24"/>
        </w:rPr>
        <w:t>, 3(1), 22.</w:t>
      </w:r>
    </w:p>
    <w:p w14:paraId="118577CA" w14:textId="157FB25E" w:rsidR="006F6F43" w:rsidRPr="006F6F43" w:rsidRDefault="006F6F43" w:rsidP="00A4555E">
      <w:pPr>
        <w:spacing w:after="120" w:line="240" w:lineRule="auto"/>
        <w:ind w:left="709" w:hanging="709"/>
        <w:jc w:val="both"/>
        <w:rPr>
          <w:rFonts w:ascii="Cambria" w:hAnsi="Cambria"/>
          <w:noProof/>
          <w:sz w:val="24"/>
          <w:szCs w:val="24"/>
        </w:rPr>
      </w:pPr>
      <w:r w:rsidRPr="006F6F43">
        <w:rPr>
          <w:rFonts w:ascii="Cambria" w:hAnsi="Cambria"/>
          <w:noProof/>
          <w:sz w:val="24"/>
          <w:szCs w:val="24"/>
        </w:rPr>
        <w:t xml:space="preserve">Djainudin, H. (2024). The Conception of Religious Moderation in Interfaith Dialogue in Indonesia: Case Study in Flores Nusa Tenggara Timur. </w:t>
      </w:r>
      <w:r w:rsidRPr="006F6F43">
        <w:rPr>
          <w:rFonts w:ascii="Cambria" w:hAnsi="Cambria"/>
          <w:i/>
          <w:iCs/>
          <w:noProof/>
          <w:sz w:val="24"/>
          <w:szCs w:val="24"/>
        </w:rPr>
        <w:t>Humanika: Kajian Ilmiah Mata Kuliah Umum</w:t>
      </w:r>
      <w:r w:rsidRPr="006F6F43">
        <w:rPr>
          <w:rFonts w:ascii="Cambria" w:hAnsi="Cambria"/>
          <w:noProof/>
          <w:sz w:val="24"/>
          <w:szCs w:val="24"/>
        </w:rPr>
        <w:t>, Universitas Negeri Yogyakarta.</w:t>
      </w:r>
    </w:p>
    <w:p w14:paraId="48513A4D" w14:textId="52FEE19F" w:rsidR="006F6F43" w:rsidRPr="006F6F43" w:rsidRDefault="006F6F43" w:rsidP="00A4555E">
      <w:pPr>
        <w:spacing w:after="120" w:line="240" w:lineRule="auto"/>
        <w:ind w:left="709" w:hanging="709"/>
        <w:jc w:val="both"/>
        <w:rPr>
          <w:rFonts w:ascii="Cambria" w:hAnsi="Cambria"/>
          <w:noProof/>
          <w:sz w:val="24"/>
          <w:szCs w:val="24"/>
        </w:rPr>
      </w:pPr>
      <w:r w:rsidRPr="006F6F43">
        <w:rPr>
          <w:rFonts w:ascii="Cambria" w:hAnsi="Cambria"/>
          <w:noProof/>
          <w:sz w:val="24"/>
          <w:szCs w:val="24"/>
        </w:rPr>
        <w:t xml:space="preserve">Fahreza, I. (2023). Religious Harmony Forum: Ideal Religious Moderation in the Frame of FKUB in Medan City. </w:t>
      </w:r>
      <w:r w:rsidRPr="006F6F43">
        <w:rPr>
          <w:rFonts w:ascii="Cambria" w:hAnsi="Cambria"/>
          <w:i/>
          <w:iCs/>
          <w:noProof/>
          <w:sz w:val="24"/>
          <w:szCs w:val="24"/>
        </w:rPr>
        <w:t>Pharos Journal of Theology</w:t>
      </w:r>
      <w:r w:rsidRPr="006F6F43">
        <w:rPr>
          <w:rFonts w:ascii="Cambria" w:hAnsi="Cambria"/>
          <w:noProof/>
          <w:sz w:val="24"/>
          <w:szCs w:val="24"/>
        </w:rPr>
        <w:t>, 104(4), 1–15.</w:t>
      </w:r>
    </w:p>
    <w:p w14:paraId="6F368578" w14:textId="7110994B" w:rsidR="006F6F43" w:rsidRPr="006F6F43" w:rsidRDefault="006F6F43" w:rsidP="00A4555E">
      <w:pPr>
        <w:spacing w:after="120" w:line="240" w:lineRule="auto"/>
        <w:ind w:left="709" w:hanging="709"/>
        <w:jc w:val="both"/>
        <w:rPr>
          <w:rFonts w:ascii="Cambria" w:hAnsi="Cambria"/>
          <w:noProof/>
          <w:sz w:val="24"/>
          <w:szCs w:val="24"/>
        </w:rPr>
      </w:pPr>
      <w:r w:rsidRPr="006F6F43">
        <w:rPr>
          <w:rFonts w:ascii="Cambria" w:hAnsi="Cambria"/>
          <w:noProof/>
          <w:sz w:val="24"/>
          <w:szCs w:val="24"/>
        </w:rPr>
        <w:t xml:space="preserve">Higgins, R., &amp; Bourne, M. (2018). People are usually wary of change... </w:t>
      </w:r>
      <w:r w:rsidRPr="006F6F43">
        <w:rPr>
          <w:rFonts w:ascii="Cambria" w:hAnsi="Cambria"/>
          <w:i/>
          <w:iCs/>
          <w:noProof/>
          <w:sz w:val="24"/>
          <w:szCs w:val="24"/>
        </w:rPr>
        <w:t>Social Science and Humanities Journal (SSHJ)</w:t>
      </w:r>
      <w:r w:rsidRPr="006F6F43">
        <w:rPr>
          <w:rFonts w:ascii="Cambria" w:hAnsi="Cambria"/>
          <w:noProof/>
          <w:sz w:val="24"/>
          <w:szCs w:val="24"/>
        </w:rPr>
        <w:t>.</w:t>
      </w:r>
    </w:p>
    <w:p w14:paraId="19AB4335" w14:textId="76A8489D" w:rsidR="006F6F43" w:rsidRPr="006F6F43" w:rsidRDefault="006F6F43" w:rsidP="00A4555E">
      <w:pPr>
        <w:spacing w:after="120" w:line="240" w:lineRule="auto"/>
        <w:ind w:left="709" w:hanging="709"/>
        <w:jc w:val="both"/>
        <w:rPr>
          <w:rFonts w:ascii="Cambria" w:hAnsi="Cambria"/>
          <w:noProof/>
          <w:sz w:val="24"/>
          <w:szCs w:val="24"/>
        </w:rPr>
      </w:pPr>
      <w:r w:rsidRPr="006F6F43">
        <w:rPr>
          <w:rFonts w:ascii="Cambria" w:hAnsi="Cambria"/>
          <w:noProof/>
          <w:sz w:val="24"/>
          <w:szCs w:val="24"/>
        </w:rPr>
        <w:t xml:space="preserve">Ilham. (2024, April 23). Dialog Antar Umat Beragama, Cara Pemdes Jaga Kerukunan Warga. </w:t>
      </w:r>
      <w:r w:rsidRPr="006F6F43">
        <w:rPr>
          <w:rFonts w:ascii="Cambria" w:hAnsi="Cambria"/>
          <w:i/>
          <w:iCs/>
          <w:noProof/>
          <w:sz w:val="24"/>
          <w:szCs w:val="24"/>
        </w:rPr>
        <w:t>Kolom Desa</w:t>
      </w:r>
      <w:r w:rsidRPr="006F6F43">
        <w:rPr>
          <w:rFonts w:ascii="Cambria" w:hAnsi="Cambria"/>
          <w:noProof/>
          <w:sz w:val="24"/>
          <w:szCs w:val="24"/>
        </w:rPr>
        <w:t>.</w:t>
      </w:r>
    </w:p>
    <w:p w14:paraId="5A3E1069" w14:textId="0B77B1DD" w:rsidR="006F6F43" w:rsidRPr="006F6F43" w:rsidRDefault="006F6F43" w:rsidP="00A4555E">
      <w:pPr>
        <w:spacing w:after="120" w:line="240" w:lineRule="auto"/>
        <w:ind w:left="709" w:hanging="709"/>
        <w:jc w:val="both"/>
        <w:rPr>
          <w:rFonts w:ascii="Cambria" w:hAnsi="Cambria"/>
          <w:noProof/>
          <w:sz w:val="24"/>
          <w:szCs w:val="24"/>
        </w:rPr>
      </w:pPr>
      <w:r w:rsidRPr="006F6F43">
        <w:rPr>
          <w:rFonts w:ascii="Cambria" w:hAnsi="Cambria"/>
          <w:noProof/>
          <w:sz w:val="24"/>
          <w:szCs w:val="24"/>
        </w:rPr>
        <w:t xml:space="preserve">Javanmardi, M., &amp; Liu, S. (2020). Validity of the General Systems Theory for Applications in Management. </w:t>
      </w:r>
      <w:r w:rsidRPr="006F6F43">
        <w:rPr>
          <w:rFonts w:ascii="Cambria" w:hAnsi="Cambria"/>
          <w:i/>
          <w:iCs/>
          <w:noProof/>
          <w:sz w:val="24"/>
          <w:szCs w:val="24"/>
        </w:rPr>
        <w:t>International Journal of Organizational Analysis</w:t>
      </w:r>
      <w:r w:rsidRPr="006F6F43">
        <w:rPr>
          <w:rFonts w:ascii="Cambria" w:hAnsi="Cambria"/>
          <w:noProof/>
          <w:sz w:val="24"/>
          <w:szCs w:val="24"/>
        </w:rPr>
        <w:t>, 28(1).</w:t>
      </w:r>
    </w:p>
    <w:p w14:paraId="1A0862EA" w14:textId="0248080D" w:rsidR="006F6F43" w:rsidRPr="006F6F43" w:rsidRDefault="006F6F43" w:rsidP="00A4555E">
      <w:pPr>
        <w:spacing w:after="120" w:line="240" w:lineRule="auto"/>
        <w:ind w:left="709" w:hanging="709"/>
        <w:jc w:val="both"/>
        <w:rPr>
          <w:rFonts w:ascii="Cambria" w:hAnsi="Cambria"/>
          <w:noProof/>
          <w:sz w:val="24"/>
          <w:szCs w:val="24"/>
        </w:rPr>
      </w:pPr>
      <w:r w:rsidRPr="006F6F43">
        <w:rPr>
          <w:rFonts w:ascii="Cambria" w:hAnsi="Cambria"/>
          <w:noProof/>
          <w:sz w:val="24"/>
          <w:szCs w:val="24"/>
        </w:rPr>
        <w:lastRenderedPageBreak/>
        <w:t xml:space="preserve">Kementerian Agama RI. (2019). </w:t>
      </w:r>
      <w:r w:rsidRPr="006F6F43">
        <w:rPr>
          <w:rFonts w:ascii="Cambria" w:hAnsi="Cambria"/>
          <w:i/>
          <w:iCs/>
          <w:noProof/>
          <w:sz w:val="24"/>
          <w:szCs w:val="24"/>
        </w:rPr>
        <w:t>Buku Saku Moderasi Beragama</w:t>
      </w:r>
      <w:r w:rsidRPr="006F6F43">
        <w:rPr>
          <w:rFonts w:ascii="Cambria" w:hAnsi="Cambria"/>
          <w:noProof/>
          <w:sz w:val="24"/>
          <w:szCs w:val="24"/>
        </w:rPr>
        <w:t>. Jakarta: Balitbang dan Diklat Kemenag.</w:t>
      </w:r>
    </w:p>
    <w:p w14:paraId="4EC76B85" w14:textId="5DCEDD2D" w:rsidR="006F6F43" w:rsidRPr="006F6F43" w:rsidRDefault="006F6F43" w:rsidP="00A4555E">
      <w:pPr>
        <w:spacing w:after="120" w:line="240" w:lineRule="auto"/>
        <w:ind w:left="709" w:hanging="709"/>
        <w:jc w:val="both"/>
        <w:rPr>
          <w:rFonts w:ascii="Cambria" w:hAnsi="Cambria"/>
          <w:noProof/>
          <w:sz w:val="24"/>
          <w:szCs w:val="24"/>
        </w:rPr>
      </w:pPr>
      <w:r w:rsidRPr="006F6F43">
        <w:rPr>
          <w:rFonts w:ascii="Cambria" w:hAnsi="Cambria"/>
          <w:noProof/>
          <w:sz w:val="24"/>
          <w:szCs w:val="24"/>
        </w:rPr>
        <w:t xml:space="preserve">Kurhayadi. (2023). Public Policy Implementation: A Theoretical Review. </w:t>
      </w:r>
      <w:r w:rsidRPr="006F6F43">
        <w:rPr>
          <w:rFonts w:ascii="Cambria" w:hAnsi="Cambria"/>
          <w:i/>
          <w:iCs/>
          <w:noProof/>
          <w:sz w:val="24"/>
          <w:szCs w:val="24"/>
        </w:rPr>
        <w:t>Jurnal Birokrasi &amp; Pemerintahan Daerah</w:t>
      </w:r>
      <w:r w:rsidRPr="006F6F43">
        <w:rPr>
          <w:rFonts w:ascii="Cambria" w:hAnsi="Cambria"/>
          <w:noProof/>
          <w:sz w:val="24"/>
          <w:szCs w:val="24"/>
        </w:rPr>
        <w:t>, 5(1), 1–15.</w:t>
      </w:r>
    </w:p>
    <w:p w14:paraId="5374B637" w14:textId="11A0FFA5" w:rsidR="006F6F43" w:rsidRPr="006F6F43" w:rsidRDefault="006F6F43" w:rsidP="00A4555E">
      <w:pPr>
        <w:spacing w:after="120" w:line="240" w:lineRule="auto"/>
        <w:ind w:left="709" w:hanging="709"/>
        <w:jc w:val="both"/>
        <w:rPr>
          <w:rFonts w:ascii="Cambria" w:hAnsi="Cambria"/>
          <w:noProof/>
          <w:sz w:val="24"/>
          <w:szCs w:val="24"/>
        </w:rPr>
      </w:pPr>
      <w:r w:rsidRPr="006F6F43">
        <w:rPr>
          <w:rFonts w:ascii="Cambria" w:hAnsi="Cambria"/>
          <w:noProof/>
          <w:sz w:val="24"/>
          <w:szCs w:val="24"/>
        </w:rPr>
        <w:t xml:space="preserve">Latifah, S., &amp; Rohman, F. (2021). Moderasi Beragama dan Peran Pemerintah dalam Menangkal Radikalisme. </w:t>
      </w:r>
      <w:r w:rsidRPr="006F6F43">
        <w:rPr>
          <w:rFonts w:ascii="Cambria" w:hAnsi="Cambria"/>
          <w:i/>
          <w:iCs/>
          <w:noProof/>
          <w:sz w:val="24"/>
          <w:szCs w:val="24"/>
        </w:rPr>
        <w:t>Al-Tahrir</w:t>
      </w:r>
      <w:r w:rsidRPr="006F6F43">
        <w:rPr>
          <w:rFonts w:ascii="Cambria" w:hAnsi="Cambria"/>
          <w:noProof/>
          <w:sz w:val="24"/>
          <w:szCs w:val="24"/>
        </w:rPr>
        <w:t>, 21(1), 89–103.</w:t>
      </w:r>
    </w:p>
    <w:p w14:paraId="3F7F4135" w14:textId="687C05ED" w:rsidR="006F6F43" w:rsidRPr="006F6F43" w:rsidRDefault="006F6F43" w:rsidP="00A4555E">
      <w:pPr>
        <w:spacing w:after="120" w:line="240" w:lineRule="auto"/>
        <w:ind w:left="709" w:hanging="709"/>
        <w:jc w:val="both"/>
        <w:rPr>
          <w:rFonts w:ascii="Cambria" w:hAnsi="Cambria"/>
          <w:noProof/>
          <w:sz w:val="24"/>
          <w:szCs w:val="24"/>
        </w:rPr>
      </w:pPr>
      <w:r w:rsidRPr="006F6F43">
        <w:rPr>
          <w:rFonts w:ascii="Cambria" w:hAnsi="Cambria"/>
          <w:noProof/>
          <w:sz w:val="24"/>
          <w:szCs w:val="24"/>
        </w:rPr>
        <w:t xml:space="preserve">Lewin, K. (1951). </w:t>
      </w:r>
      <w:r w:rsidRPr="006F6F43">
        <w:rPr>
          <w:rFonts w:ascii="Cambria" w:hAnsi="Cambria"/>
          <w:i/>
          <w:iCs/>
          <w:noProof/>
          <w:sz w:val="24"/>
          <w:szCs w:val="24"/>
        </w:rPr>
        <w:t>Field Theory in Social Science</w:t>
      </w:r>
      <w:r w:rsidRPr="006F6F43">
        <w:rPr>
          <w:rFonts w:ascii="Cambria" w:hAnsi="Cambria"/>
          <w:noProof/>
          <w:sz w:val="24"/>
          <w:szCs w:val="24"/>
        </w:rPr>
        <w:t>. New York: Harper &amp; Row.</w:t>
      </w:r>
    </w:p>
    <w:p w14:paraId="0FF5774E" w14:textId="78FC3CA5" w:rsidR="006F6F43" w:rsidRPr="006F6F43" w:rsidRDefault="006F6F43" w:rsidP="00A4555E">
      <w:pPr>
        <w:spacing w:after="120" w:line="240" w:lineRule="auto"/>
        <w:ind w:left="709" w:hanging="709"/>
        <w:jc w:val="both"/>
        <w:rPr>
          <w:rFonts w:ascii="Cambria" w:hAnsi="Cambria"/>
          <w:noProof/>
          <w:sz w:val="24"/>
          <w:szCs w:val="24"/>
        </w:rPr>
      </w:pPr>
      <w:r w:rsidRPr="006F6F43">
        <w:rPr>
          <w:rFonts w:ascii="Cambria" w:hAnsi="Cambria"/>
          <w:noProof/>
          <w:sz w:val="24"/>
          <w:szCs w:val="24"/>
        </w:rPr>
        <w:t xml:space="preserve">Mahfud, C. (2019). Moderasi Beragama dalam Pendidikan Islam: Studi atas Pemikiran M. Quraish Shihab. </w:t>
      </w:r>
      <w:r w:rsidRPr="006F6F43">
        <w:rPr>
          <w:rFonts w:ascii="Cambria" w:hAnsi="Cambria"/>
          <w:i/>
          <w:iCs/>
          <w:noProof/>
          <w:sz w:val="24"/>
          <w:szCs w:val="24"/>
        </w:rPr>
        <w:t>Jurnal Pendidikan Islam</w:t>
      </w:r>
      <w:r w:rsidRPr="006F6F43">
        <w:rPr>
          <w:rFonts w:ascii="Cambria" w:hAnsi="Cambria"/>
          <w:noProof/>
          <w:sz w:val="24"/>
          <w:szCs w:val="24"/>
        </w:rPr>
        <w:t>, 8(1), 1–18.</w:t>
      </w:r>
    </w:p>
    <w:p w14:paraId="56EEB823" w14:textId="7FAF8730" w:rsidR="006F6F43" w:rsidRPr="006F6F43" w:rsidRDefault="006F6F43" w:rsidP="00A4555E">
      <w:pPr>
        <w:spacing w:after="120" w:line="240" w:lineRule="auto"/>
        <w:ind w:left="709" w:hanging="709"/>
        <w:jc w:val="both"/>
        <w:rPr>
          <w:rFonts w:ascii="Cambria" w:hAnsi="Cambria"/>
          <w:noProof/>
          <w:sz w:val="24"/>
          <w:szCs w:val="24"/>
        </w:rPr>
      </w:pPr>
      <w:r w:rsidRPr="006F6F43">
        <w:rPr>
          <w:rFonts w:ascii="Cambria" w:hAnsi="Cambria"/>
          <w:noProof/>
          <w:sz w:val="24"/>
          <w:szCs w:val="24"/>
        </w:rPr>
        <w:t xml:space="preserve">Novalinda, R., Ambiyar, &amp; Rizal, F. (2020). Pendekatan Evaluasi Program Tyler: Goal Oriented. </w:t>
      </w:r>
      <w:r w:rsidRPr="006F6F43">
        <w:rPr>
          <w:rFonts w:ascii="Cambria" w:hAnsi="Cambria"/>
          <w:i/>
          <w:iCs/>
          <w:noProof/>
          <w:sz w:val="24"/>
          <w:szCs w:val="24"/>
        </w:rPr>
        <w:t>Edukasi: Jurnal Pendidikan</w:t>
      </w:r>
      <w:r w:rsidRPr="006F6F43">
        <w:rPr>
          <w:rFonts w:ascii="Cambria" w:hAnsi="Cambria"/>
          <w:noProof/>
          <w:sz w:val="24"/>
          <w:szCs w:val="24"/>
        </w:rPr>
        <w:t>, 18(1), 137–146.</w:t>
      </w:r>
    </w:p>
    <w:p w14:paraId="1F1AF786" w14:textId="0BE24962" w:rsidR="006F6F43" w:rsidRPr="006F6F43" w:rsidRDefault="006F6F43" w:rsidP="00A4555E">
      <w:pPr>
        <w:spacing w:after="120" w:line="240" w:lineRule="auto"/>
        <w:ind w:left="709" w:hanging="709"/>
        <w:jc w:val="both"/>
        <w:rPr>
          <w:rFonts w:ascii="Cambria" w:hAnsi="Cambria"/>
          <w:noProof/>
          <w:sz w:val="24"/>
          <w:szCs w:val="24"/>
        </w:rPr>
      </w:pPr>
      <w:r w:rsidRPr="006F6F43">
        <w:rPr>
          <w:rFonts w:ascii="Cambria" w:hAnsi="Cambria"/>
          <w:noProof/>
          <w:sz w:val="24"/>
          <w:szCs w:val="24"/>
        </w:rPr>
        <w:t xml:space="preserve">Pemdes Dadapayu. (2019, Mei 17). Pembinaan Forum Kerukunan Umat Beragama. </w:t>
      </w:r>
      <w:r w:rsidRPr="006F6F43">
        <w:rPr>
          <w:rFonts w:ascii="Cambria" w:hAnsi="Cambria"/>
          <w:i/>
          <w:iCs/>
          <w:noProof/>
          <w:sz w:val="24"/>
          <w:szCs w:val="24"/>
        </w:rPr>
        <w:t>Website Resmi Desa Dadapayu</w:t>
      </w:r>
      <w:r w:rsidRPr="006F6F43">
        <w:rPr>
          <w:rFonts w:ascii="Cambria" w:hAnsi="Cambria"/>
          <w:noProof/>
          <w:sz w:val="24"/>
          <w:szCs w:val="24"/>
        </w:rPr>
        <w:t>, Gunungkidul.</w:t>
      </w:r>
    </w:p>
    <w:p w14:paraId="68969D3A" w14:textId="0325DB58" w:rsidR="006F6F43" w:rsidRPr="006F6F43" w:rsidRDefault="006F6F43" w:rsidP="00A4555E">
      <w:pPr>
        <w:spacing w:after="120" w:line="240" w:lineRule="auto"/>
        <w:ind w:left="709" w:hanging="709"/>
        <w:jc w:val="both"/>
        <w:rPr>
          <w:rFonts w:ascii="Cambria" w:hAnsi="Cambria"/>
          <w:noProof/>
          <w:sz w:val="24"/>
          <w:szCs w:val="24"/>
        </w:rPr>
      </w:pPr>
      <w:r w:rsidRPr="006F6F43">
        <w:rPr>
          <w:rFonts w:ascii="Cambria" w:hAnsi="Cambria"/>
          <w:noProof/>
          <w:sz w:val="24"/>
          <w:szCs w:val="24"/>
        </w:rPr>
        <w:t xml:space="preserve">Pressman, J. L., &amp; Wildavsky, A. B. (1973). </w:t>
      </w:r>
      <w:r w:rsidRPr="006F6F43">
        <w:rPr>
          <w:rFonts w:ascii="Cambria" w:hAnsi="Cambria"/>
          <w:i/>
          <w:iCs/>
          <w:noProof/>
          <w:sz w:val="24"/>
          <w:szCs w:val="24"/>
        </w:rPr>
        <w:t>Implementation: How Great Expectations in Washington Are Dashed in Oakland</w:t>
      </w:r>
      <w:r w:rsidRPr="006F6F43">
        <w:rPr>
          <w:rFonts w:ascii="Cambria" w:hAnsi="Cambria"/>
          <w:noProof/>
          <w:sz w:val="24"/>
          <w:szCs w:val="24"/>
        </w:rPr>
        <w:t>. University of California Press.</w:t>
      </w:r>
    </w:p>
    <w:p w14:paraId="751ABA32" w14:textId="5E5C6EEC" w:rsidR="006F6F43" w:rsidRPr="006F6F43" w:rsidRDefault="006F6F43" w:rsidP="00A4555E">
      <w:pPr>
        <w:spacing w:after="120" w:line="240" w:lineRule="auto"/>
        <w:ind w:left="709" w:hanging="709"/>
        <w:jc w:val="both"/>
        <w:rPr>
          <w:rFonts w:ascii="Cambria" w:hAnsi="Cambria"/>
          <w:noProof/>
          <w:sz w:val="24"/>
          <w:szCs w:val="24"/>
        </w:rPr>
      </w:pPr>
      <w:r w:rsidRPr="006F6F43">
        <w:rPr>
          <w:rFonts w:ascii="Cambria" w:hAnsi="Cambria"/>
          <w:noProof/>
          <w:sz w:val="24"/>
          <w:szCs w:val="24"/>
        </w:rPr>
        <w:t xml:space="preserve">Roșca, V. I. (2020). Implications of Lewin’s Field Theory on Social Change. </w:t>
      </w:r>
      <w:r w:rsidRPr="006F6F43">
        <w:rPr>
          <w:rFonts w:ascii="Cambria" w:hAnsi="Cambria"/>
          <w:i/>
          <w:iCs/>
          <w:noProof/>
          <w:sz w:val="24"/>
          <w:szCs w:val="24"/>
        </w:rPr>
        <w:t>Proceedings of the International Conference on Business Excellence</w:t>
      </w:r>
      <w:r w:rsidRPr="006F6F43">
        <w:rPr>
          <w:rFonts w:ascii="Cambria" w:hAnsi="Cambria"/>
          <w:noProof/>
          <w:sz w:val="24"/>
          <w:szCs w:val="24"/>
        </w:rPr>
        <w:t>, 14(1), 617–625.</w:t>
      </w:r>
    </w:p>
    <w:p w14:paraId="1D66013C" w14:textId="7BCA4697" w:rsidR="006F6F43" w:rsidRPr="006F6F43" w:rsidRDefault="006F6F43" w:rsidP="00A4555E">
      <w:pPr>
        <w:spacing w:after="120" w:line="240" w:lineRule="auto"/>
        <w:ind w:left="709" w:hanging="709"/>
        <w:jc w:val="both"/>
        <w:rPr>
          <w:rFonts w:ascii="Cambria" w:hAnsi="Cambria"/>
          <w:noProof/>
          <w:sz w:val="24"/>
          <w:szCs w:val="24"/>
        </w:rPr>
      </w:pPr>
      <w:r w:rsidRPr="006F6F43">
        <w:rPr>
          <w:rFonts w:ascii="Cambria" w:hAnsi="Cambria"/>
          <w:noProof/>
          <w:sz w:val="24"/>
          <w:szCs w:val="24"/>
        </w:rPr>
        <w:t xml:space="preserve">Setara Institute. (2023). </w:t>
      </w:r>
      <w:r w:rsidRPr="006F6F43">
        <w:rPr>
          <w:rFonts w:ascii="Cambria" w:hAnsi="Cambria"/>
          <w:i/>
          <w:iCs/>
          <w:noProof/>
          <w:sz w:val="24"/>
          <w:szCs w:val="24"/>
        </w:rPr>
        <w:t>Laporan Tahunan Kebebasan Beragama dan Berkeyakinan di Indonesia Tahun 2022</w:t>
      </w:r>
      <w:r w:rsidRPr="006F6F43">
        <w:rPr>
          <w:rFonts w:ascii="Cambria" w:hAnsi="Cambria"/>
          <w:noProof/>
          <w:sz w:val="24"/>
          <w:szCs w:val="24"/>
        </w:rPr>
        <w:t>. Jakarta: Setara Institute.</w:t>
      </w:r>
    </w:p>
    <w:p w14:paraId="6D4A1204" w14:textId="2726B446" w:rsidR="006F6F43" w:rsidRPr="006F6F43" w:rsidRDefault="006F6F43" w:rsidP="00A4555E">
      <w:pPr>
        <w:spacing w:after="120" w:line="240" w:lineRule="auto"/>
        <w:ind w:left="709" w:hanging="709"/>
        <w:jc w:val="both"/>
        <w:rPr>
          <w:rFonts w:ascii="Cambria" w:hAnsi="Cambria"/>
          <w:noProof/>
          <w:sz w:val="24"/>
          <w:szCs w:val="24"/>
        </w:rPr>
      </w:pPr>
      <w:r w:rsidRPr="006F6F43">
        <w:rPr>
          <w:rFonts w:ascii="Cambria" w:hAnsi="Cambria"/>
          <w:noProof/>
          <w:sz w:val="24"/>
          <w:szCs w:val="24"/>
        </w:rPr>
        <w:t xml:space="preserve">Trein, P., Maor, M., &amp; Howlett, M. (2022). Empirical Research on Policy Integration: A Review and New Directions. </w:t>
      </w:r>
      <w:r w:rsidRPr="006F6F43">
        <w:rPr>
          <w:rFonts w:ascii="Cambria" w:hAnsi="Cambria"/>
          <w:i/>
          <w:iCs/>
          <w:noProof/>
          <w:sz w:val="24"/>
          <w:szCs w:val="24"/>
        </w:rPr>
        <w:t>Policy Sciences</w:t>
      </w:r>
      <w:r w:rsidRPr="006F6F43">
        <w:rPr>
          <w:rFonts w:ascii="Cambria" w:hAnsi="Cambria"/>
          <w:noProof/>
          <w:sz w:val="24"/>
          <w:szCs w:val="24"/>
        </w:rPr>
        <w:t>.</w:t>
      </w:r>
    </w:p>
    <w:p w14:paraId="4DA21EA2" w14:textId="2778F399" w:rsidR="006F6F43" w:rsidRPr="006F6F43" w:rsidRDefault="006F6F43" w:rsidP="00A4555E">
      <w:pPr>
        <w:spacing w:after="120" w:line="240" w:lineRule="auto"/>
        <w:ind w:left="709" w:hanging="709"/>
        <w:jc w:val="both"/>
        <w:rPr>
          <w:rFonts w:ascii="Cambria" w:hAnsi="Cambria"/>
          <w:noProof/>
          <w:sz w:val="24"/>
          <w:szCs w:val="24"/>
        </w:rPr>
      </w:pPr>
      <w:r w:rsidRPr="006F6F43">
        <w:rPr>
          <w:rFonts w:ascii="Cambria" w:hAnsi="Cambria"/>
          <w:noProof/>
          <w:sz w:val="24"/>
          <w:szCs w:val="24"/>
        </w:rPr>
        <w:t xml:space="preserve">Wati, N. S., dkk. (2022). Pemberdayaan Forum Dialog Antaragama untuk Meningkatkan Toleransi Beragama di Desa Rajabasa Lama II. </w:t>
      </w:r>
      <w:r w:rsidRPr="006F6F43">
        <w:rPr>
          <w:rFonts w:ascii="Cambria" w:hAnsi="Cambria"/>
          <w:i/>
          <w:iCs/>
          <w:noProof/>
          <w:sz w:val="24"/>
          <w:szCs w:val="24"/>
        </w:rPr>
        <w:t>DEDIKASI: Jurnal Pengabdian Masyarakat</w:t>
      </w:r>
      <w:r w:rsidRPr="006F6F43">
        <w:rPr>
          <w:rFonts w:ascii="Cambria" w:hAnsi="Cambria"/>
          <w:noProof/>
          <w:sz w:val="24"/>
          <w:szCs w:val="24"/>
        </w:rPr>
        <w:t>, IAIN Metro.</w:t>
      </w:r>
    </w:p>
    <w:p w14:paraId="5F7E1E5E" w14:textId="40210B0E" w:rsidR="006F6F43" w:rsidRPr="006F6F43" w:rsidRDefault="006F6F43" w:rsidP="00A4555E">
      <w:pPr>
        <w:spacing w:after="120" w:line="240" w:lineRule="auto"/>
        <w:ind w:left="709" w:hanging="709"/>
        <w:jc w:val="both"/>
        <w:rPr>
          <w:rFonts w:ascii="Cambria" w:hAnsi="Cambria"/>
          <w:noProof/>
          <w:sz w:val="24"/>
          <w:szCs w:val="24"/>
        </w:rPr>
      </w:pPr>
      <w:r w:rsidRPr="006F6F43">
        <w:rPr>
          <w:rFonts w:ascii="Cambria" w:hAnsi="Cambria"/>
          <w:noProof/>
          <w:sz w:val="24"/>
          <w:szCs w:val="24"/>
        </w:rPr>
        <w:t xml:space="preserve">Widya, G. (2024). Moderasi Beragama dalam Harmoni Sosial: Studi Kasus. </w:t>
      </w:r>
      <w:r w:rsidRPr="006F6F43">
        <w:rPr>
          <w:rFonts w:ascii="Cambria" w:hAnsi="Cambria"/>
          <w:i/>
          <w:iCs/>
          <w:noProof/>
          <w:sz w:val="24"/>
          <w:szCs w:val="24"/>
        </w:rPr>
        <w:t>e-ISSN: 3031-8246</w:t>
      </w:r>
      <w:r w:rsidRPr="006F6F43">
        <w:rPr>
          <w:rFonts w:ascii="Cambria" w:hAnsi="Cambria"/>
          <w:noProof/>
          <w:sz w:val="24"/>
          <w:szCs w:val="24"/>
        </w:rPr>
        <w:t>, hlm. 54.</w:t>
      </w:r>
    </w:p>
    <w:p w14:paraId="1A98A2C5" w14:textId="77777777" w:rsidR="00520709" w:rsidRDefault="006F6F43" w:rsidP="00A4555E">
      <w:pPr>
        <w:spacing w:after="120" w:line="240" w:lineRule="auto"/>
        <w:ind w:left="709" w:hanging="709"/>
        <w:jc w:val="both"/>
        <w:rPr>
          <w:rFonts w:ascii="Cambria" w:hAnsi="Cambria"/>
          <w:noProof/>
          <w:sz w:val="24"/>
          <w:szCs w:val="24"/>
        </w:rPr>
        <w:sectPr w:rsidR="00520709" w:rsidSect="00A4555E">
          <w:type w:val="continuous"/>
          <w:pgSz w:w="11906" w:h="16838"/>
          <w:pgMar w:top="1440" w:right="1440" w:bottom="1440" w:left="1440" w:header="708" w:footer="708" w:gutter="0"/>
          <w:cols w:space="708"/>
          <w:docGrid w:linePitch="360"/>
        </w:sectPr>
      </w:pPr>
      <w:r w:rsidRPr="006F6F43">
        <w:rPr>
          <w:rFonts w:ascii="Cambria" w:hAnsi="Cambria"/>
          <w:noProof/>
          <w:sz w:val="24"/>
          <w:szCs w:val="24"/>
        </w:rPr>
        <w:t xml:space="preserve">Zenaida, Y. (2023). Implementasi Moderasi Beragama di Desa dan </w:t>
      </w:r>
    </w:p>
    <w:p w14:paraId="045FDD1C" w14:textId="0EE24C5F" w:rsidR="006F6F43" w:rsidRPr="006F6F43" w:rsidRDefault="006F6F43" w:rsidP="00A4555E">
      <w:pPr>
        <w:spacing w:after="120" w:line="240" w:lineRule="auto"/>
        <w:ind w:left="709" w:hanging="709"/>
        <w:jc w:val="both"/>
        <w:rPr>
          <w:rFonts w:ascii="Cambria" w:hAnsi="Cambria"/>
          <w:noProof/>
          <w:sz w:val="24"/>
          <w:szCs w:val="24"/>
        </w:rPr>
      </w:pPr>
      <w:r w:rsidRPr="006F6F43">
        <w:rPr>
          <w:rFonts w:ascii="Cambria" w:hAnsi="Cambria"/>
          <w:noProof/>
          <w:sz w:val="24"/>
          <w:szCs w:val="24"/>
        </w:rPr>
        <w:lastRenderedPageBreak/>
        <w:t xml:space="preserve">Kelurahan. </w:t>
      </w:r>
      <w:r w:rsidRPr="006F6F43">
        <w:rPr>
          <w:rFonts w:ascii="Cambria" w:hAnsi="Cambria"/>
          <w:i/>
          <w:iCs/>
          <w:noProof/>
          <w:sz w:val="24"/>
          <w:szCs w:val="24"/>
        </w:rPr>
        <w:t>Jurnal Pengabdian Masyarakat</w:t>
      </w:r>
      <w:r w:rsidRPr="006F6F43">
        <w:rPr>
          <w:rFonts w:ascii="Cambria" w:hAnsi="Cambria"/>
          <w:noProof/>
          <w:sz w:val="24"/>
          <w:szCs w:val="24"/>
        </w:rPr>
        <w:t>, 4(4), 8311–8319.</w:t>
      </w:r>
    </w:p>
    <w:p w14:paraId="5900BE92" w14:textId="77777777" w:rsidR="00927BD4" w:rsidRPr="00DC668C" w:rsidRDefault="00927BD4" w:rsidP="00996034">
      <w:pPr>
        <w:spacing w:after="120" w:line="240" w:lineRule="auto"/>
        <w:jc w:val="both"/>
        <w:rPr>
          <w:rFonts w:ascii="Cambria" w:hAnsi="Cambria"/>
          <w:noProof/>
          <w:sz w:val="24"/>
          <w:szCs w:val="24"/>
        </w:rPr>
      </w:pPr>
    </w:p>
    <w:p w14:paraId="0DDF5C32" w14:textId="77777777" w:rsidR="005652BB" w:rsidRPr="00DC668C" w:rsidRDefault="005652BB" w:rsidP="00996034">
      <w:pPr>
        <w:spacing w:after="120" w:line="240" w:lineRule="auto"/>
        <w:jc w:val="both"/>
        <w:rPr>
          <w:rFonts w:ascii="Cambria" w:hAnsi="Cambria"/>
          <w:noProof/>
          <w:sz w:val="24"/>
          <w:szCs w:val="24"/>
        </w:rPr>
      </w:pPr>
    </w:p>
    <w:p w14:paraId="2296737D" w14:textId="77777777" w:rsidR="00AE5A5A" w:rsidRPr="00DC668C" w:rsidRDefault="00AE5A5A" w:rsidP="00996034">
      <w:pPr>
        <w:spacing w:after="120" w:line="240" w:lineRule="auto"/>
        <w:jc w:val="both"/>
        <w:rPr>
          <w:rFonts w:ascii="Cambria" w:hAnsi="Cambria"/>
          <w:noProof/>
          <w:sz w:val="24"/>
          <w:szCs w:val="24"/>
        </w:rPr>
      </w:pPr>
    </w:p>
    <w:p w14:paraId="2DF3C28B" w14:textId="536B3A42" w:rsidR="00916494" w:rsidRPr="00DC668C" w:rsidRDefault="00916494" w:rsidP="00996034">
      <w:pPr>
        <w:spacing w:after="120" w:line="240" w:lineRule="auto"/>
        <w:jc w:val="both"/>
        <w:rPr>
          <w:rFonts w:ascii="Cambria" w:hAnsi="Cambria"/>
          <w:noProof/>
          <w:sz w:val="24"/>
          <w:szCs w:val="24"/>
        </w:rPr>
      </w:pPr>
    </w:p>
    <w:sectPr w:rsidR="00916494" w:rsidRPr="00DC668C" w:rsidSect="00A4555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311DEF" w14:textId="77777777" w:rsidR="00772649" w:rsidRDefault="00772649" w:rsidP="003126B9">
      <w:pPr>
        <w:spacing w:after="0" w:line="240" w:lineRule="auto"/>
      </w:pPr>
      <w:r>
        <w:separator/>
      </w:r>
    </w:p>
  </w:endnote>
  <w:endnote w:type="continuationSeparator" w:id="0">
    <w:p w14:paraId="00D4E940" w14:textId="77777777" w:rsidR="00772649" w:rsidRDefault="00772649" w:rsidP="00312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0B4F13" w14:textId="77777777" w:rsidR="00772649" w:rsidRDefault="00772649" w:rsidP="003126B9">
      <w:pPr>
        <w:spacing w:after="0" w:line="240" w:lineRule="auto"/>
      </w:pPr>
      <w:r>
        <w:separator/>
      </w:r>
    </w:p>
  </w:footnote>
  <w:footnote w:type="continuationSeparator" w:id="0">
    <w:p w14:paraId="56E34678" w14:textId="77777777" w:rsidR="00772649" w:rsidRDefault="00772649" w:rsidP="003126B9">
      <w:pPr>
        <w:spacing w:after="0" w:line="240" w:lineRule="auto"/>
      </w:pPr>
      <w:r>
        <w:continuationSeparator/>
      </w:r>
    </w:p>
  </w:footnote>
  <w:footnote w:id="1">
    <w:p w14:paraId="6BC72119" w14:textId="3070A65B" w:rsidR="00FE7709" w:rsidRPr="007621FC" w:rsidRDefault="00FE7709" w:rsidP="007E0830">
      <w:pPr>
        <w:pStyle w:val="FootnoteText"/>
        <w:jc w:val="both"/>
        <w:rPr>
          <w:rFonts w:ascii="Cambria" w:hAnsi="Cambria"/>
          <w:noProof/>
          <w:lang w:val="en-US"/>
        </w:rPr>
      </w:pPr>
      <w:r w:rsidRPr="007621FC">
        <w:rPr>
          <w:rStyle w:val="FootnoteReference"/>
          <w:rFonts w:ascii="Cambria" w:hAnsi="Cambria"/>
          <w:noProof/>
        </w:rPr>
        <w:footnoteRef/>
      </w:r>
      <w:r w:rsidRPr="007621FC">
        <w:rPr>
          <w:rFonts w:ascii="Cambria" w:hAnsi="Cambria"/>
          <w:noProof/>
        </w:rPr>
        <w:t xml:space="preserve"> Setara Institute, </w:t>
      </w:r>
      <w:r w:rsidRPr="007621FC">
        <w:rPr>
          <w:rFonts w:ascii="Cambria" w:hAnsi="Cambria"/>
          <w:i/>
          <w:iCs/>
          <w:noProof/>
        </w:rPr>
        <w:t>Laporan Tahunan Kebebasan Beragama dan Berkeyakinan di Indonesia Tahun 2022</w:t>
      </w:r>
      <w:r w:rsidRPr="007621FC">
        <w:rPr>
          <w:rFonts w:ascii="Cambria" w:hAnsi="Cambria"/>
          <w:noProof/>
        </w:rPr>
        <w:t>, (Jakarta: Setara Institute, 2023), h. 15.</w:t>
      </w:r>
    </w:p>
  </w:footnote>
  <w:footnote w:id="2">
    <w:p w14:paraId="0291FB87" w14:textId="48F8D5EB" w:rsidR="000F6DA6" w:rsidRPr="007621FC" w:rsidRDefault="000F6DA6" w:rsidP="007E0830">
      <w:pPr>
        <w:pStyle w:val="FootnoteText"/>
        <w:jc w:val="both"/>
        <w:rPr>
          <w:rFonts w:ascii="Cambria" w:hAnsi="Cambria"/>
          <w:noProof/>
          <w:lang w:val="en-US"/>
        </w:rPr>
      </w:pPr>
      <w:r w:rsidRPr="007621FC">
        <w:rPr>
          <w:rStyle w:val="FootnoteReference"/>
          <w:rFonts w:ascii="Cambria" w:hAnsi="Cambria"/>
          <w:noProof/>
        </w:rPr>
        <w:footnoteRef/>
      </w:r>
      <w:r w:rsidRPr="007621FC">
        <w:rPr>
          <w:rFonts w:ascii="Cambria" w:hAnsi="Cambria"/>
          <w:noProof/>
        </w:rPr>
        <w:t xml:space="preserve"> Kementerian Agama RI, </w:t>
      </w:r>
      <w:r w:rsidRPr="007621FC">
        <w:rPr>
          <w:rFonts w:ascii="Cambria" w:hAnsi="Cambria"/>
          <w:i/>
          <w:iCs/>
          <w:noProof/>
        </w:rPr>
        <w:t>Buku Saku Moderasi Beragama</w:t>
      </w:r>
      <w:r w:rsidRPr="007621FC">
        <w:rPr>
          <w:rFonts w:ascii="Cambria" w:hAnsi="Cambria"/>
          <w:noProof/>
        </w:rPr>
        <w:t>, (Jakarta: Balitbang dan Diklat Kemenag, 2019), hlm. 4.</w:t>
      </w:r>
    </w:p>
  </w:footnote>
  <w:footnote w:id="3">
    <w:p w14:paraId="2D657F2B" w14:textId="69A14B17" w:rsidR="007A5D22" w:rsidRPr="007621FC" w:rsidRDefault="007A5D22" w:rsidP="007E0830">
      <w:pPr>
        <w:pStyle w:val="FootnoteText"/>
        <w:jc w:val="both"/>
        <w:rPr>
          <w:rFonts w:ascii="Cambria" w:hAnsi="Cambria"/>
          <w:noProof/>
          <w:lang w:val="en-US"/>
        </w:rPr>
      </w:pPr>
      <w:r w:rsidRPr="007621FC">
        <w:rPr>
          <w:rStyle w:val="FootnoteReference"/>
          <w:rFonts w:ascii="Cambria" w:hAnsi="Cambria"/>
          <w:noProof/>
        </w:rPr>
        <w:footnoteRef/>
      </w:r>
      <w:r w:rsidRPr="007621FC">
        <w:rPr>
          <w:rFonts w:ascii="Cambria" w:hAnsi="Cambria"/>
          <w:noProof/>
        </w:rPr>
        <w:t xml:space="preserve"> Latifah, Siti, dan Fahrur Rohman. “Moderasi Beragama dan Peran Pemerintah dalam Menangkal Radikalisme.” </w:t>
      </w:r>
      <w:r w:rsidRPr="007621FC">
        <w:rPr>
          <w:rFonts w:ascii="Cambria" w:hAnsi="Cambria"/>
          <w:i/>
          <w:iCs/>
          <w:noProof/>
        </w:rPr>
        <w:t>Al-Tahrir</w:t>
      </w:r>
      <w:r w:rsidRPr="007621FC">
        <w:rPr>
          <w:rFonts w:ascii="Cambria" w:hAnsi="Cambria"/>
          <w:noProof/>
        </w:rPr>
        <w:t xml:space="preserve"> 21, no. 1 (2021): 89–103.</w:t>
      </w:r>
    </w:p>
  </w:footnote>
  <w:footnote w:id="4">
    <w:p w14:paraId="0B2E26A3" w14:textId="663B88EA" w:rsidR="007A5D22" w:rsidRPr="007621FC" w:rsidRDefault="007A5D22" w:rsidP="007E0830">
      <w:pPr>
        <w:pStyle w:val="FootnoteText"/>
        <w:jc w:val="both"/>
        <w:rPr>
          <w:rFonts w:ascii="Cambria" w:hAnsi="Cambria"/>
          <w:noProof/>
          <w:lang w:val="en-US"/>
        </w:rPr>
      </w:pPr>
      <w:r w:rsidRPr="007621FC">
        <w:rPr>
          <w:rStyle w:val="FootnoteReference"/>
          <w:rFonts w:ascii="Cambria" w:hAnsi="Cambria"/>
          <w:noProof/>
        </w:rPr>
        <w:footnoteRef/>
      </w:r>
      <w:r w:rsidRPr="007621FC">
        <w:rPr>
          <w:rFonts w:ascii="Cambria" w:hAnsi="Cambria"/>
          <w:noProof/>
        </w:rPr>
        <w:t xml:space="preserve"> Setara Institute. </w:t>
      </w:r>
      <w:r w:rsidRPr="007621FC">
        <w:rPr>
          <w:rFonts w:ascii="Cambria" w:hAnsi="Cambria"/>
          <w:i/>
          <w:iCs/>
          <w:noProof/>
        </w:rPr>
        <w:t>Laporan Tahunan Kebebasan Beragama dan Berkeyakinan di Indonesia Tahun 2022</w:t>
      </w:r>
      <w:r w:rsidRPr="007621FC">
        <w:rPr>
          <w:rFonts w:ascii="Cambria" w:hAnsi="Cambria"/>
          <w:noProof/>
        </w:rPr>
        <w:t>. Jakarta: Setara Institute, 2023.</w:t>
      </w:r>
    </w:p>
  </w:footnote>
  <w:footnote w:id="5">
    <w:p w14:paraId="41B96649" w14:textId="5D7F516B" w:rsidR="00073D16" w:rsidRPr="007621FC" w:rsidRDefault="00073D16" w:rsidP="007E0830">
      <w:pPr>
        <w:pStyle w:val="FootnoteText"/>
        <w:jc w:val="both"/>
        <w:rPr>
          <w:rFonts w:ascii="Cambria" w:hAnsi="Cambria"/>
          <w:noProof/>
          <w:lang w:val="en-US"/>
        </w:rPr>
      </w:pPr>
      <w:r w:rsidRPr="007621FC">
        <w:rPr>
          <w:rStyle w:val="FootnoteReference"/>
          <w:rFonts w:ascii="Cambria" w:hAnsi="Cambria"/>
          <w:noProof/>
        </w:rPr>
        <w:footnoteRef/>
      </w:r>
      <w:r w:rsidRPr="007621FC">
        <w:rPr>
          <w:rFonts w:ascii="Cambria" w:hAnsi="Cambria"/>
          <w:noProof/>
        </w:rPr>
        <w:t xml:space="preserve"> Siti Muwahidah, </w:t>
      </w:r>
      <w:r w:rsidRPr="007621FC">
        <w:rPr>
          <w:rFonts w:ascii="Cambria" w:hAnsi="Cambria"/>
          <w:i/>
          <w:iCs/>
          <w:noProof/>
        </w:rPr>
        <w:t>Interfaith Dialogue at the Grassroots Level: A Case Study of an Interfaith Empowerment Program in East Java</w:t>
      </w:r>
      <w:r w:rsidRPr="007621FC">
        <w:rPr>
          <w:rFonts w:ascii="Cambria" w:hAnsi="Cambria"/>
          <w:noProof/>
        </w:rPr>
        <w:t xml:space="preserve">, </w:t>
      </w:r>
      <w:r w:rsidRPr="007621FC">
        <w:rPr>
          <w:rFonts w:ascii="Cambria" w:hAnsi="Cambria"/>
          <w:i/>
          <w:iCs/>
          <w:noProof/>
        </w:rPr>
        <w:t>Political Theology</w:t>
      </w:r>
      <w:r w:rsidRPr="007621FC">
        <w:rPr>
          <w:rFonts w:ascii="Cambria" w:hAnsi="Cambria"/>
          <w:noProof/>
        </w:rPr>
        <w:t>, Vol. 9, No. 1 (2015).</w:t>
      </w:r>
    </w:p>
  </w:footnote>
  <w:footnote w:id="6">
    <w:p w14:paraId="52C3F5E9" w14:textId="14081A2F" w:rsidR="00073D16" w:rsidRPr="007621FC" w:rsidRDefault="00073D16" w:rsidP="007E0830">
      <w:pPr>
        <w:pStyle w:val="FootnoteText"/>
        <w:jc w:val="both"/>
        <w:rPr>
          <w:rFonts w:ascii="Cambria" w:hAnsi="Cambria"/>
          <w:noProof/>
          <w:lang w:val="en-US"/>
        </w:rPr>
      </w:pPr>
      <w:r w:rsidRPr="007621FC">
        <w:rPr>
          <w:rStyle w:val="FootnoteReference"/>
          <w:rFonts w:ascii="Cambria" w:hAnsi="Cambria"/>
          <w:noProof/>
        </w:rPr>
        <w:footnoteRef/>
      </w:r>
      <w:r w:rsidRPr="007621FC">
        <w:rPr>
          <w:rFonts w:ascii="Cambria" w:hAnsi="Cambria"/>
          <w:noProof/>
        </w:rPr>
        <w:t xml:space="preserve"> Hamdhan Djainudin, </w:t>
      </w:r>
      <w:r w:rsidRPr="007621FC">
        <w:rPr>
          <w:rFonts w:ascii="Cambria" w:hAnsi="Cambria"/>
          <w:i/>
          <w:iCs/>
          <w:noProof/>
        </w:rPr>
        <w:t>The Conception of Religious Moderation in Interfaith Dialogue in Indonesia: Case Study in Flores Nusa Tenggara Timur</w:t>
      </w:r>
      <w:r w:rsidRPr="007621FC">
        <w:rPr>
          <w:rFonts w:ascii="Cambria" w:hAnsi="Cambria"/>
          <w:noProof/>
        </w:rPr>
        <w:t xml:space="preserve">, </w:t>
      </w:r>
      <w:r w:rsidRPr="007621FC">
        <w:rPr>
          <w:rFonts w:ascii="Cambria" w:hAnsi="Cambria"/>
          <w:i/>
          <w:iCs/>
          <w:noProof/>
        </w:rPr>
        <w:t>Humanika: Kajian Ilmiah Mata Kuliah Umum</w:t>
      </w:r>
      <w:r w:rsidRPr="007621FC">
        <w:rPr>
          <w:rFonts w:ascii="Cambria" w:hAnsi="Cambria"/>
          <w:noProof/>
        </w:rPr>
        <w:t>, Universitas Negeri Yogyakarta, 2024.</w:t>
      </w:r>
    </w:p>
  </w:footnote>
  <w:footnote w:id="7">
    <w:p w14:paraId="1CCF184C" w14:textId="5E204A41" w:rsidR="00073D16" w:rsidRPr="007621FC" w:rsidRDefault="00073D16" w:rsidP="007E0830">
      <w:pPr>
        <w:pStyle w:val="FootnoteText"/>
        <w:jc w:val="both"/>
        <w:rPr>
          <w:rFonts w:ascii="Cambria" w:hAnsi="Cambria"/>
          <w:noProof/>
          <w:lang w:val="en-US"/>
        </w:rPr>
      </w:pPr>
      <w:r w:rsidRPr="007621FC">
        <w:rPr>
          <w:rStyle w:val="FootnoteReference"/>
          <w:rFonts w:ascii="Cambria" w:hAnsi="Cambria"/>
          <w:noProof/>
        </w:rPr>
        <w:footnoteRef/>
      </w:r>
      <w:r w:rsidRPr="007621FC">
        <w:rPr>
          <w:rFonts w:ascii="Cambria" w:hAnsi="Cambria"/>
          <w:noProof/>
        </w:rPr>
        <w:t xml:space="preserve"> Ning Setio Wati dkk., </w:t>
      </w:r>
      <w:r w:rsidRPr="007621FC">
        <w:rPr>
          <w:rFonts w:ascii="Cambria" w:hAnsi="Cambria"/>
          <w:i/>
          <w:iCs/>
          <w:noProof/>
        </w:rPr>
        <w:t>Pemberdayaan Forum Dialog Antaragama untuk Meningkatkan Toleransi Beragama di Desa Rajabasa Lama II</w:t>
      </w:r>
      <w:r w:rsidRPr="007621FC">
        <w:rPr>
          <w:rFonts w:ascii="Cambria" w:hAnsi="Cambria"/>
          <w:noProof/>
        </w:rPr>
        <w:t xml:space="preserve">, </w:t>
      </w:r>
      <w:r w:rsidRPr="007621FC">
        <w:rPr>
          <w:rFonts w:ascii="Cambria" w:hAnsi="Cambria"/>
          <w:i/>
          <w:iCs/>
          <w:noProof/>
        </w:rPr>
        <w:t>DEDIKASI: Jurnal Pengabdian Masyarakat</w:t>
      </w:r>
      <w:r w:rsidRPr="007621FC">
        <w:rPr>
          <w:rFonts w:ascii="Cambria" w:hAnsi="Cambria"/>
          <w:noProof/>
        </w:rPr>
        <w:t>, IAIN Metro, 2022.</w:t>
      </w:r>
    </w:p>
  </w:footnote>
  <w:footnote w:id="8">
    <w:p w14:paraId="0FFCDF89" w14:textId="73B3C202" w:rsidR="00073D16" w:rsidRPr="007621FC" w:rsidRDefault="00073D16" w:rsidP="007E0830">
      <w:pPr>
        <w:pStyle w:val="FootnoteText"/>
        <w:jc w:val="both"/>
        <w:rPr>
          <w:rFonts w:ascii="Cambria" w:hAnsi="Cambria"/>
          <w:noProof/>
          <w:lang w:val="en-US"/>
        </w:rPr>
      </w:pPr>
      <w:r w:rsidRPr="007621FC">
        <w:rPr>
          <w:rStyle w:val="FootnoteReference"/>
          <w:rFonts w:ascii="Cambria" w:hAnsi="Cambria"/>
          <w:noProof/>
        </w:rPr>
        <w:footnoteRef/>
      </w:r>
      <w:r w:rsidRPr="007621FC">
        <w:rPr>
          <w:rFonts w:ascii="Cambria" w:hAnsi="Cambria"/>
          <w:noProof/>
        </w:rPr>
        <w:t xml:space="preserve"> Ning Setio Wati dkk.,</w:t>
      </w:r>
    </w:p>
  </w:footnote>
  <w:footnote w:id="9">
    <w:p w14:paraId="3CC1C25F" w14:textId="2269E5EE" w:rsidR="00073D16" w:rsidRPr="007621FC" w:rsidRDefault="00073D16" w:rsidP="007E0830">
      <w:pPr>
        <w:pStyle w:val="FootnoteText"/>
        <w:jc w:val="both"/>
        <w:rPr>
          <w:rFonts w:ascii="Cambria" w:hAnsi="Cambria"/>
          <w:noProof/>
          <w:lang w:val="en-US"/>
        </w:rPr>
      </w:pPr>
      <w:r w:rsidRPr="007621FC">
        <w:rPr>
          <w:rStyle w:val="FootnoteReference"/>
          <w:rFonts w:ascii="Cambria" w:hAnsi="Cambria"/>
          <w:noProof/>
        </w:rPr>
        <w:footnoteRef/>
      </w:r>
      <w:r w:rsidRPr="007621FC">
        <w:rPr>
          <w:rFonts w:ascii="Cambria" w:hAnsi="Cambria"/>
          <w:noProof/>
        </w:rPr>
        <w:t xml:space="preserve"> Ilham, </w:t>
      </w:r>
      <w:r w:rsidRPr="007621FC">
        <w:rPr>
          <w:rFonts w:ascii="Cambria" w:hAnsi="Cambria"/>
          <w:i/>
          <w:iCs/>
          <w:noProof/>
        </w:rPr>
        <w:t>Dialog Antar Umat Beragama, Cara Pemdes Jaga Kerukunan Warga</w:t>
      </w:r>
      <w:r w:rsidRPr="007621FC">
        <w:rPr>
          <w:rFonts w:ascii="Cambria" w:hAnsi="Cambria"/>
          <w:noProof/>
        </w:rPr>
        <w:t xml:space="preserve">, </w:t>
      </w:r>
      <w:r w:rsidRPr="007621FC">
        <w:rPr>
          <w:rFonts w:ascii="Cambria" w:hAnsi="Cambria"/>
          <w:i/>
          <w:iCs/>
          <w:noProof/>
        </w:rPr>
        <w:t>Kolom Desa</w:t>
      </w:r>
      <w:r w:rsidRPr="007621FC">
        <w:rPr>
          <w:rFonts w:ascii="Cambria" w:hAnsi="Cambria"/>
          <w:noProof/>
        </w:rPr>
        <w:t>, 23 April 2024.</w:t>
      </w:r>
    </w:p>
  </w:footnote>
  <w:footnote w:id="10">
    <w:p w14:paraId="3D53C8E4" w14:textId="6A2C311B" w:rsidR="00073D16" w:rsidRPr="007621FC" w:rsidRDefault="00073D16" w:rsidP="007E0830">
      <w:pPr>
        <w:pStyle w:val="FootnoteText"/>
        <w:jc w:val="both"/>
        <w:rPr>
          <w:rFonts w:ascii="Cambria" w:hAnsi="Cambria"/>
          <w:noProof/>
          <w:lang w:val="en-US"/>
        </w:rPr>
      </w:pPr>
      <w:r w:rsidRPr="007621FC">
        <w:rPr>
          <w:rStyle w:val="FootnoteReference"/>
          <w:rFonts w:ascii="Cambria" w:hAnsi="Cambria"/>
          <w:noProof/>
        </w:rPr>
        <w:footnoteRef/>
      </w:r>
      <w:r w:rsidRPr="007621FC">
        <w:rPr>
          <w:rFonts w:ascii="Cambria" w:hAnsi="Cambria"/>
          <w:noProof/>
        </w:rPr>
        <w:t xml:space="preserve"> Ilham</w:t>
      </w:r>
    </w:p>
  </w:footnote>
  <w:footnote w:id="11">
    <w:p w14:paraId="1E6CAF38" w14:textId="3BC2290E" w:rsidR="00073D16" w:rsidRPr="007621FC" w:rsidRDefault="00073D16" w:rsidP="007E0830">
      <w:pPr>
        <w:pStyle w:val="FootnoteText"/>
        <w:jc w:val="both"/>
        <w:rPr>
          <w:rFonts w:ascii="Cambria" w:hAnsi="Cambria"/>
          <w:noProof/>
          <w:lang w:val="en-US"/>
        </w:rPr>
      </w:pPr>
      <w:r w:rsidRPr="007621FC">
        <w:rPr>
          <w:rStyle w:val="FootnoteReference"/>
          <w:rFonts w:ascii="Cambria" w:hAnsi="Cambria"/>
          <w:noProof/>
        </w:rPr>
        <w:footnoteRef/>
      </w:r>
      <w:r w:rsidRPr="007621FC">
        <w:rPr>
          <w:rFonts w:ascii="Cambria" w:hAnsi="Cambria"/>
          <w:noProof/>
        </w:rPr>
        <w:t xml:space="preserve"> Pemdes Dadapayu, </w:t>
      </w:r>
      <w:r w:rsidRPr="007621FC">
        <w:rPr>
          <w:rFonts w:ascii="Cambria" w:hAnsi="Cambria"/>
          <w:i/>
          <w:iCs/>
          <w:noProof/>
        </w:rPr>
        <w:t>Pembinaan Forum Kerukunan Umat Beragama</w:t>
      </w:r>
      <w:r w:rsidRPr="007621FC">
        <w:rPr>
          <w:rFonts w:ascii="Cambria" w:hAnsi="Cambria"/>
          <w:noProof/>
        </w:rPr>
        <w:t>, Website Resmi Desa Dadapayu, Gunungkidul, 17 Mei 2019.</w:t>
      </w:r>
    </w:p>
  </w:footnote>
  <w:footnote w:id="12">
    <w:p w14:paraId="3B3E86E7" w14:textId="720CA2C6" w:rsidR="00F32406" w:rsidRPr="007621FC" w:rsidRDefault="00F32406" w:rsidP="007E0830">
      <w:pPr>
        <w:pStyle w:val="FootnoteText"/>
        <w:jc w:val="both"/>
        <w:rPr>
          <w:rFonts w:ascii="Cambria" w:hAnsi="Cambria"/>
          <w:noProof/>
          <w:lang w:val="en-US"/>
        </w:rPr>
      </w:pPr>
      <w:r w:rsidRPr="007621FC">
        <w:rPr>
          <w:rStyle w:val="FootnoteReference"/>
          <w:rFonts w:ascii="Cambria" w:hAnsi="Cambria"/>
          <w:noProof/>
        </w:rPr>
        <w:footnoteRef/>
      </w:r>
      <w:r w:rsidRPr="007621FC">
        <w:rPr>
          <w:rFonts w:ascii="Cambria" w:hAnsi="Cambria"/>
          <w:noProof/>
        </w:rPr>
        <w:t xml:space="preserve"> Deni dan Salamuddin, </w:t>
      </w:r>
      <w:r w:rsidRPr="007621FC">
        <w:rPr>
          <w:rFonts w:ascii="Cambria" w:hAnsi="Cambria"/>
          <w:i/>
          <w:iCs/>
          <w:noProof/>
        </w:rPr>
        <w:t>Peran Kementerian Agama dalam Moderasi Beragama</w:t>
      </w:r>
      <w:r w:rsidRPr="007621FC">
        <w:rPr>
          <w:rFonts w:ascii="Cambria" w:hAnsi="Cambria"/>
          <w:noProof/>
        </w:rPr>
        <w:t xml:space="preserve">, </w:t>
      </w:r>
      <w:r w:rsidRPr="007621FC">
        <w:rPr>
          <w:rFonts w:ascii="Cambria" w:hAnsi="Cambria"/>
          <w:i/>
          <w:iCs/>
          <w:noProof/>
        </w:rPr>
        <w:t>Jurnal Al</w:t>
      </w:r>
      <w:r w:rsidRPr="007621FC">
        <w:rPr>
          <w:rFonts w:ascii="Cambria" w:hAnsi="Cambria"/>
          <w:i/>
          <w:iCs/>
          <w:noProof/>
        </w:rPr>
        <w:noBreakHyphen/>
        <w:t>Qiyam</w:t>
      </w:r>
      <w:r w:rsidRPr="007621FC">
        <w:rPr>
          <w:rFonts w:ascii="Cambria" w:hAnsi="Cambria"/>
          <w:noProof/>
        </w:rPr>
        <w:t xml:space="preserve"> 3, no. 1 (2022): 22; Widya, G., </w:t>
      </w:r>
      <w:r w:rsidRPr="007621FC">
        <w:rPr>
          <w:rFonts w:ascii="Cambria" w:hAnsi="Cambria"/>
          <w:i/>
          <w:iCs/>
          <w:noProof/>
        </w:rPr>
        <w:t>Moderasi Beragama dalam Harmoni Sosial: Studi Kasus</w:t>
      </w:r>
      <w:r w:rsidRPr="007621FC">
        <w:rPr>
          <w:rFonts w:ascii="Cambria" w:hAnsi="Cambria"/>
          <w:noProof/>
        </w:rPr>
        <w:t>, e</w:t>
      </w:r>
      <w:r w:rsidRPr="007621FC">
        <w:rPr>
          <w:rFonts w:ascii="Cambria" w:hAnsi="Cambria"/>
          <w:noProof/>
        </w:rPr>
        <w:noBreakHyphen/>
        <w:t>ISSN:3031</w:t>
      </w:r>
      <w:r w:rsidRPr="007621FC">
        <w:rPr>
          <w:rFonts w:ascii="Cambria" w:hAnsi="Cambria"/>
          <w:noProof/>
        </w:rPr>
        <w:noBreakHyphen/>
        <w:t>8246, hal. 54.</w:t>
      </w:r>
    </w:p>
  </w:footnote>
  <w:footnote w:id="13">
    <w:p w14:paraId="70594C5D" w14:textId="1EFB6552" w:rsidR="00F32406" w:rsidRPr="007621FC" w:rsidRDefault="00F32406" w:rsidP="007E0830">
      <w:pPr>
        <w:pStyle w:val="FootnoteText"/>
        <w:jc w:val="both"/>
        <w:rPr>
          <w:rFonts w:ascii="Cambria" w:hAnsi="Cambria"/>
          <w:noProof/>
          <w:lang w:val="en-US"/>
        </w:rPr>
      </w:pPr>
      <w:r w:rsidRPr="007621FC">
        <w:rPr>
          <w:rStyle w:val="FootnoteReference"/>
          <w:rFonts w:ascii="Cambria" w:hAnsi="Cambria"/>
          <w:noProof/>
        </w:rPr>
        <w:footnoteRef/>
      </w:r>
      <w:r w:rsidRPr="007621FC">
        <w:rPr>
          <w:rFonts w:ascii="Cambria" w:hAnsi="Cambria"/>
          <w:noProof/>
        </w:rPr>
        <w:t xml:space="preserve"> Logical Framework Approach (LFA) adalah metodologi internasional yang digunakan untuk merancang, memantau, dan mengevaluasi program pembangunan—terutama digunakan oleh lembaga donor dan organisasi sosial.</w:t>
      </w:r>
    </w:p>
  </w:footnote>
  <w:footnote w:id="14">
    <w:p w14:paraId="1C90E2BE" w14:textId="2CA82D85" w:rsidR="00F32406" w:rsidRPr="007621FC" w:rsidRDefault="00F32406" w:rsidP="007E0830">
      <w:pPr>
        <w:pStyle w:val="FootnoteText"/>
        <w:jc w:val="both"/>
        <w:rPr>
          <w:rFonts w:ascii="Cambria" w:hAnsi="Cambria"/>
          <w:noProof/>
          <w:lang w:val="en-US"/>
        </w:rPr>
      </w:pPr>
      <w:r w:rsidRPr="007621FC">
        <w:rPr>
          <w:rStyle w:val="FootnoteReference"/>
          <w:rFonts w:ascii="Cambria" w:hAnsi="Cambria"/>
          <w:noProof/>
        </w:rPr>
        <w:footnoteRef/>
      </w:r>
      <w:r w:rsidRPr="007621FC">
        <w:rPr>
          <w:rFonts w:ascii="Cambria" w:hAnsi="Cambria"/>
          <w:noProof/>
        </w:rPr>
        <w:t xml:space="preserve"> </w:t>
      </w:r>
      <w:r w:rsidRPr="007621FC">
        <w:rPr>
          <w:rFonts w:ascii="Cambria" w:hAnsi="Cambria"/>
          <w:i/>
          <w:iCs/>
          <w:noProof/>
        </w:rPr>
        <w:t>Moderasi Beragama dalam Harmoni Sosial: Studi Kasus di Desa</w:t>
      </w:r>
      <w:r w:rsidRPr="007621FC">
        <w:rPr>
          <w:rFonts w:ascii="Cambria" w:hAnsi="Cambria"/>
          <w:noProof/>
        </w:rPr>
        <w:t xml:space="preserve"> (2024) menyatakan bahwa lingkungan masyarakat desa yang plural memiliki potensi besar sebagai ruang moderasi sosial, karena interaksi walau berbeda agama berjalan harmonis.</w:t>
      </w:r>
    </w:p>
  </w:footnote>
  <w:footnote w:id="15">
    <w:p w14:paraId="224F8264" w14:textId="432F18B6" w:rsidR="00F32406" w:rsidRPr="007621FC" w:rsidRDefault="00F32406" w:rsidP="007E0830">
      <w:pPr>
        <w:pStyle w:val="FootnoteText"/>
        <w:jc w:val="both"/>
        <w:rPr>
          <w:rFonts w:ascii="Cambria" w:hAnsi="Cambria"/>
          <w:noProof/>
          <w:lang w:val="en-US"/>
        </w:rPr>
      </w:pPr>
      <w:r w:rsidRPr="007621FC">
        <w:rPr>
          <w:rStyle w:val="FootnoteReference"/>
          <w:rFonts w:ascii="Cambria" w:hAnsi="Cambria"/>
          <w:noProof/>
        </w:rPr>
        <w:footnoteRef/>
      </w:r>
      <w:r w:rsidRPr="007621FC">
        <w:rPr>
          <w:rFonts w:ascii="Cambria" w:hAnsi="Cambria"/>
          <w:noProof/>
        </w:rPr>
        <w:t xml:space="preserve"> Imam Fahreza, “Religious Harmony Forum: Ideal Religious Moderation in the Frame of FKUB in Medan City,” </w:t>
      </w:r>
      <w:r w:rsidRPr="007621FC">
        <w:rPr>
          <w:rFonts w:ascii="Cambria" w:hAnsi="Cambria"/>
          <w:i/>
          <w:iCs/>
          <w:noProof/>
        </w:rPr>
        <w:t>Pharos Journal of Theology</w:t>
      </w:r>
      <w:r w:rsidRPr="007621FC">
        <w:rPr>
          <w:rFonts w:ascii="Cambria" w:hAnsi="Cambria"/>
          <w:noProof/>
        </w:rPr>
        <w:t xml:space="preserve"> 104, no. 4 (2023): 1–15; Yusuf Zenaida, </w:t>
      </w:r>
      <w:r w:rsidRPr="007621FC">
        <w:rPr>
          <w:rFonts w:ascii="Cambria" w:hAnsi="Cambria"/>
          <w:i/>
          <w:iCs/>
          <w:noProof/>
        </w:rPr>
        <w:t>Implementasi Moderasi Beragama di Desa dan Kelurahan</w:t>
      </w:r>
      <w:r w:rsidRPr="007621FC">
        <w:rPr>
          <w:rFonts w:ascii="Cambria" w:hAnsi="Cambria"/>
          <w:noProof/>
        </w:rPr>
        <w:t>, Jurnal Pengabdian Masyarakat 4, no. 4 (2023): 8311–8319.</w:t>
      </w:r>
    </w:p>
  </w:footnote>
  <w:footnote w:id="16">
    <w:p w14:paraId="2FD0D7E5" w14:textId="4B23DDE9" w:rsidR="007E0830" w:rsidRPr="007621FC" w:rsidRDefault="007E0830" w:rsidP="007E0830">
      <w:pPr>
        <w:pStyle w:val="FootnoteText"/>
        <w:jc w:val="both"/>
        <w:rPr>
          <w:rFonts w:ascii="Cambria" w:hAnsi="Cambria"/>
          <w:noProof/>
          <w:lang w:val="en-US"/>
        </w:rPr>
      </w:pPr>
      <w:r w:rsidRPr="007621FC">
        <w:rPr>
          <w:rStyle w:val="FootnoteReference"/>
          <w:rFonts w:ascii="Cambria" w:hAnsi="Cambria"/>
          <w:noProof/>
        </w:rPr>
        <w:footnoteRef/>
      </w:r>
      <w:r w:rsidRPr="007621FC">
        <w:rPr>
          <w:rFonts w:ascii="Cambria" w:hAnsi="Cambria"/>
          <w:noProof/>
        </w:rPr>
        <w:t xml:space="preserve"> Rina Novalinda, Ambiyar, &amp; Fahmi Rizal, “Pendekatan Evaluasi Program Tyler: Goal</w:t>
      </w:r>
      <w:r w:rsidRPr="007621FC">
        <w:rPr>
          <w:rFonts w:ascii="Cambria" w:hAnsi="Cambria"/>
          <w:noProof/>
        </w:rPr>
        <w:noBreakHyphen/>
        <w:t>Oriented,” Edukasi: Jurnal Pendidikan 18, no. 1 (2020): 137–146, menjelaskan secara sistematis praktik penerapan model Tyler di konteks evaluasi program pendidikan dengan indikator terukur dan tahap evaluasi berbasis tujuan.</w:t>
      </w:r>
    </w:p>
  </w:footnote>
  <w:footnote w:id="17">
    <w:p w14:paraId="19912B20" w14:textId="0FD8EF68" w:rsidR="00F82BB7" w:rsidRPr="007621FC" w:rsidRDefault="00F82BB7">
      <w:pPr>
        <w:pStyle w:val="FootnoteText"/>
        <w:rPr>
          <w:rFonts w:ascii="Cambria" w:hAnsi="Cambria"/>
          <w:noProof/>
          <w:lang w:val="en-US"/>
        </w:rPr>
      </w:pPr>
      <w:r w:rsidRPr="007621FC">
        <w:rPr>
          <w:rStyle w:val="FootnoteReference"/>
          <w:rFonts w:ascii="Cambria" w:hAnsi="Cambria"/>
          <w:noProof/>
        </w:rPr>
        <w:footnoteRef/>
      </w:r>
      <w:r w:rsidRPr="007621FC">
        <w:rPr>
          <w:rFonts w:ascii="Cambria" w:hAnsi="Cambria"/>
          <w:noProof/>
        </w:rPr>
        <w:t xml:space="preserve"> </w:t>
      </w:r>
      <w:r w:rsidR="002A75C8" w:rsidRPr="007621FC">
        <w:rPr>
          <w:rFonts w:ascii="Cambria" w:hAnsi="Cambria"/>
          <w:noProof/>
        </w:rPr>
        <w:t xml:space="preserve">Javanmardi &amp; Liu (2020) dalam </w:t>
      </w:r>
      <w:r w:rsidR="002A75C8" w:rsidRPr="007621FC">
        <w:rPr>
          <w:rFonts w:ascii="Cambria" w:hAnsi="Cambria"/>
          <w:i/>
          <w:iCs/>
          <w:noProof/>
        </w:rPr>
        <w:t>Validity of the general systems theory for applications in management</w:t>
      </w:r>
      <w:r w:rsidR="002A75C8" w:rsidRPr="007621FC">
        <w:rPr>
          <w:rFonts w:ascii="Cambria" w:hAnsi="Cambria"/>
          <w:noProof/>
        </w:rPr>
        <w:t xml:space="preserve"> menegaskan bahwa Bertalanffy mendefinisikan sistem sebagai “a set of elements in interaction,” yang membutuhkan hubungan stabil antar komponen agar sistem dapat berfungsi dengan baik — terutama dalam konteks program atau intervensi sosial.</w:t>
      </w:r>
    </w:p>
  </w:footnote>
  <w:footnote w:id="18">
    <w:p w14:paraId="57DD7511" w14:textId="4C9EC1D4" w:rsidR="00F82BB7" w:rsidRPr="007621FC" w:rsidRDefault="00F82BB7">
      <w:pPr>
        <w:pStyle w:val="FootnoteText"/>
        <w:rPr>
          <w:rFonts w:ascii="Cambria" w:hAnsi="Cambria"/>
          <w:noProof/>
          <w:lang w:val="en-US"/>
        </w:rPr>
      </w:pPr>
      <w:r w:rsidRPr="007621FC">
        <w:rPr>
          <w:rStyle w:val="FootnoteReference"/>
          <w:rFonts w:ascii="Cambria" w:hAnsi="Cambria"/>
          <w:noProof/>
        </w:rPr>
        <w:footnoteRef/>
      </w:r>
      <w:r w:rsidRPr="007621FC">
        <w:rPr>
          <w:rFonts w:ascii="Cambria" w:hAnsi="Cambria"/>
          <w:noProof/>
        </w:rPr>
        <w:t xml:space="preserve"> </w:t>
      </w:r>
      <w:r w:rsidR="002A75C8" w:rsidRPr="007621FC">
        <w:rPr>
          <w:rFonts w:ascii="Cambria" w:hAnsi="Cambria"/>
          <w:noProof/>
        </w:rPr>
        <w:t xml:space="preserve">Roșca, V. I. (2020). </w:t>
      </w:r>
      <w:r w:rsidR="002A75C8" w:rsidRPr="007621FC">
        <w:rPr>
          <w:rFonts w:ascii="Cambria" w:hAnsi="Cambria"/>
          <w:i/>
          <w:iCs/>
          <w:noProof/>
        </w:rPr>
        <w:t>Implications of Lewin’s Field Theory on Social Change</w:t>
      </w:r>
      <w:r w:rsidR="002A75C8" w:rsidRPr="007621FC">
        <w:rPr>
          <w:rFonts w:ascii="Cambria" w:hAnsi="Cambria"/>
          <w:noProof/>
        </w:rPr>
        <w:t xml:space="preserve">. </w:t>
      </w:r>
      <w:r w:rsidR="002A75C8" w:rsidRPr="007621FC">
        <w:rPr>
          <w:rFonts w:ascii="Cambria" w:hAnsi="Cambria"/>
          <w:i/>
          <w:iCs/>
          <w:noProof/>
        </w:rPr>
        <w:t>Proceedings of the International Conference on Business Excellence</w:t>
      </w:r>
      <w:r w:rsidR="002A75C8" w:rsidRPr="007621FC">
        <w:rPr>
          <w:rFonts w:ascii="Cambria" w:hAnsi="Cambria"/>
          <w:noProof/>
        </w:rPr>
        <w:t>, 14(1), 617–625. Lewin's model emphasizes that behavior results from a dynamic tension in a person’s “field” (life space), di mana resistensi terhadap perubahan muncul jika kekuatan penahan (status quo) lebih besar daripada kekuatan pendorong perubahan. Di lingkungan masyarakat, apabila kekuatan penolakan (nilai lama) lebih dominan dibanding nilai baru (moderasi), maka perubahan keberagamaan sukar terjadi.</w:t>
      </w:r>
    </w:p>
  </w:footnote>
  <w:footnote w:id="19">
    <w:p w14:paraId="5E594484" w14:textId="38382A30" w:rsidR="00F82BB7" w:rsidRPr="007621FC" w:rsidRDefault="00F82BB7">
      <w:pPr>
        <w:pStyle w:val="FootnoteText"/>
        <w:rPr>
          <w:rFonts w:ascii="Cambria" w:hAnsi="Cambria"/>
          <w:noProof/>
          <w:lang w:val="en-US"/>
        </w:rPr>
      </w:pPr>
      <w:r w:rsidRPr="007621FC">
        <w:rPr>
          <w:rStyle w:val="FootnoteReference"/>
          <w:rFonts w:ascii="Cambria" w:hAnsi="Cambria"/>
          <w:noProof/>
        </w:rPr>
        <w:footnoteRef/>
      </w:r>
      <w:r w:rsidRPr="007621FC">
        <w:rPr>
          <w:rFonts w:ascii="Cambria" w:hAnsi="Cambria"/>
          <w:noProof/>
        </w:rPr>
        <w:t xml:space="preserve"> </w:t>
      </w:r>
      <w:r w:rsidR="007621FC" w:rsidRPr="007621FC">
        <w:rPr>
          <w:rFonts w:ascii="Cambria" w:hAnsi="Cambria"/>
          <w:noProof/>
        </w:rPr>
        <w:t xml:space="preserve">Kurhayadi. (2023). </w:t>
      </w:r>
      <w:r w:rsidR="007621FC" w:rsidRPr="007621FC">
        <w:rPr>
          <w:rFonts w:ascii="Cambria" w:hAnsi="Cambria"/>
          <w:i/>
          <w:iCs/>
          <w:noProof/>
        </w:rPr>
        <w:t>Public Policy Implementation: A Theoretical Review</w:t>
      </w:r>
      <w:r w:rsidR="007621FC" w:rsidRPr="007621FC">
        <w:rPr>
          <w:rFonts w:ascii="Cambria" w:hAnsi="Cambria"/>
          <w:noProof/>
        </w:rPr>
        <w:t xml:space="preserve">. </w:t>
      </w:r>
      <w:r w:rsidR="007621FC" w:rsidRPr="007621FC">
        <w:rPr>
          <w:rFonts w:ascii="Cambria" w:hAnsi="Cambria"/>
          <w:i/>
          <w:iCs/>
          <w:noProof/>
        </w:rPr>
        <w:t>Jurnal Birokrasi &amp; Pemerintahan Daerah</w:t>
      </w:r>
      <w:r w:rsidR="007621FC" w:rsidRPr="007621FC">
        <w:rPr>
          <w:rFonts w:ascii="Cambria" w:hAnsi="Cambria"/>
          <w:noProof/>
        </w:rPr>
        <w:t>, 5(1), 1–15</w:t>
      </w:r>
    </w:p>
  </w:footnote>
  <w:footnote w:id="20">
    <w:p w14:paraId="6A14F8BF" w14:textId="292800BA" w:rsidR="00F82BB7" w:rsidRPr="007621FC" w:rsidRDefault="00F82BB7">
      <w:pPr>
        <w:pStyle w:val="FootnoteText"/>
        <w:rPr>
          <w:rFonts w:ascii="Cambria" w:hAnsi="Cambria"/>
          <w:noProof/>
          <w:lang w:val="en-US"/>
        </w:rPr>
      </w:pPr>
      <w:r w:rsidRPr="007621FC">
        <w:rPr>
          <w:rStyle w:val="FootnoteReference"/>
          <w:rFonts w:ascii="Cambria" w:hAnsi="Cambria"/>
          <w:noProof/>
        </w:rPr>
        <w:footnoteRef/>
      </w:r>
      <w:r w:rsidRPr="007621FC">
        <w:rPr>
          <w:rFonts w:ascii="Cambria" w:hAnsi="Cambria"/>
          <w:noProof/>
        </w:rPr>
        <w:t xml:space="preserve"> Mahfud, C. (2019). Moderasi Beragama dalam Pendidikan Islam: Studi atas Pemikiran M. Quraish Shihab. </w:t>
      </w:r>
      <w:r w:rsidRPr="007621FC">
        <w:rPr>
          <w:rFonts w:ascii="Cambria" w:hAnsi="Cambria"/>
          <w:i/>
          <w:iCs/>
          <w:noProof/>
        </w:rPr>
        <w:t>Jurnal Pendidikan Islam</w:t>
      </w:r>
      <w:r w:rsidRPr="007621FC">
        <w:rPr>
          <w:rFonts w:ascii="Cambria" w:hAnsi="Cambria"/>
          <w:noProof/>
        </w:rPr>
        <w:t>, 8(1), 1–18.</w:t>
      </w:r>
    </w:p>
  </w:footnote>
  <w:footnote w:id="21">
    <w:p w14:paraId="55C3BC5E" w14:textId="0413555D" w:rsidR="002A75C8" w:rsidRPr="007621FC" w:rsidRDefault="002A75C8">
      <w:pPr>
        <w:pStyle w:val="FootnoteText"/>
        <w:rPr>
          <w:rFonts w:ascii="Cambria" w:hAnsi="Cambria"/>
          <w:noProof/>
          <w:lang w:val="en-US"/>
        </w:rPr>
      </w:pPr>
      <w:r w:rsidRPr="007621FC">
        <w:rPr>
          <w:rStyle w:val="FootnoteReference"/>
          <w:rFonts w:ascii="Cambria" w:hAnsi="Cambria"/>
          <w:noProof/>
        </w:rPr>
        <w:footnoteRef/>
      </w:r>
      <w:r w:rsidRPr="007621FC">
        <w:rPr>
          <w:rFonts w:ascii="Cambria" w:hAnsi="Cambria"/>
          <w:noProof/>
        </w:rPr>
        <w:t xml:space="preserve"> Ludwig von Bertalanffy, </w:t>
      </w:r>
      <w:r w:rsidRPr="007621FC">
        <w:rPr>
          <w:rFonts w:ascii="Cambria" w:hAnsi="Cambria"/>
          <w:i/>
          <w:iCs/>
          <w:noProof/>
        </w:rPr>
        <w:t>General System Theory: Foundations, Development, Applications</w:t>
      </w:r>
      <w:r w:rsidRPr="007621FC">
        <w:rPr>
          <w:rFonts w:ascii="Cambria" w:hAnsi="Cambria"/>
          <w:noProof/>
        </w:rPr>
        <w:t xml:space="preserve"> (New York: George Braziller, 1968), hlm. 30–34.</w:t>
      </w:r>
    </w:p>
  </w:footnote>
  <w:footnote w:id="22">
    <w:p w14:paraId="0B68BE08" w14:textId="5E9D9F53" w:rsidR="002A75C8" w:rsidRPr="007621FC" w:rsidRDefault="002A75C8">
      <w:pPr>
        <w:pStyle w:val="FootnoteText"/>
        <w:rPr>
          <w:rFonts w:ascii="Cambria" w:hAnsi="Cambria"/>
          <w:noProof/>
          <w:lang w:val="en-US"/>
        </w:rPr>
      </w:pPr>
      <w:r w:rsidRPr="007621FC">
        <w:rPr>
          <w:rStyle w:val="FootnoteReference"/>
          <w:rFonts w:ascii="Cambria" w:hAnsi="Cambria"/>
          <w:noProof/>
        </w:rPr>
        <w:footnoteRef/>
      </w:r>
      <w:r w:rsidRPr="007621FC">
        <w:rPr>
          <w:rFonts w:ascii="Cambria" w:hAnsi="Cambria"/>
          <w:noProof/>
        </w:rPr>
        <w:t xml:space="preserve"> Higgins, R., &amp; Bourne, M. (2018). People are usually wary of change and this is manifested in increased tension, resistance, anger and emotional stress because of the unknown that change brings (Lewin, 1952). </w:t>
      </w:r>
      <w:r w:rsidRPr="007621FC">
        <w:rPr>
          <w:rFonts w:ascii="Cambria" w:hAnsi="Cambria"/>
          <w:i/>
          <w:iCs/>
          <w:noProof/>
        </w:rPr>
        <w:t>Social Science and Humanities Journal (SSHJ)</w:t>
      </w:r>
      <w:r w:rsidRPr="007621FC">
        <w:rPr>
          <w:rFonts w:ascii="Cambria" w:hAnsi="Cambria"/>
          <w:noProof/>
        </w:rPr>
        <w:t>. Lewin’s foundational model (1947/1951) of unfreezing–changing–refreezing included diagnosis bahwa resistensi terhadap perubahan muncul karena kekhawatiran tentang masa depan yang tidak pasti dan ketidakmampuan untuk mengendalikan peralihan kondisi sosial.²</w:t>
      </w:r>
    </w:p>
  </w:footnote>
  <w:footnote w:id="23">
    <w:p w14:paraId="64AA278F" w14:textId="3C220A52" w:rsidR="002A75C8" w:rsidRPr="007621FC" w:rsidRDefault="002A75C8">
      <w:pPr>
        <w:pStyle w:val="FootnoteText"/>
        <w:rPr>
          <w:rFonts w:ascii="Cambria" w:hAnsi="Cambria"/>
          <w:noProof/>
          <w:lang w:val="en-US"/>
        </w:rPr>
      </w:pPr>
      <w:r w:rsidRPr="007621FC">
        <w:rPr>
          <w:rStyle w:val="FootnoteReference"/>
          <w:rFonts w:ascii="Cambria" w:hAnsi="Cambria"/>
          <w:noProof/>
        </w:rPr>
        <w:footnoteRef/>
      </w:r>
      <w:r w:rsidRPr="007621FC">
        <w:rPr>
          <w:rFonts w:ascii="Cambria" w:hAnsi="Cambria"/>
          <w:noProof/>
        </w:rPr>
        <w:t xml:space="preserve"> Trein, P., Maor, M., &amp; Howlett, M. (2022). </w:t>
      </w:r>
      <w:r w:rsidRPr="007621FC">
        <w:rPr>
          <w:rFonts w:ascii="Cambria" w:hAnsi="Cambria"/>
          <w:i/>
          <w:iCs/>
          <w:noProof/>
        </w:rPr>
        <w:t>Empirical Research on Policy Integration: A Review and New Directions</w:t>
      </w:r>
      <w:r w:rsidRPr="007621FC">
        <w:rPr>
          <w:rFonts w:ascii="Cambria" w:hAnsi="Cambria"/>
          <w:noProof/>
        </w:rPr>
        <w:t xml:space="preserve">, </w:t>
      </w:r>
      <w:r w:rsidRPr="007621FC">
        <w:rPr>
          <w:rFonts w:ascii="Cambria" w:hAnsi="Cambria"/>
          <w:i/>
          <w:iCs/>
          <w:noProof/>
        </w:rPr>
        <w:t>Policy Sciences</w:t>
      </w:r>
      <w:r w:rsidRPr="007621FC">
        <w:rPr>
          <w:rFonts w:ascii="Cambria" w:hAnsi="Cambria"/>
          <w:noProof/>
        </w:rPr>
        <w:t>, menyoroti bahwa hambatan implementasi sering muncul karena kurangnya kapasitas lokal dalam mengelola integrasi kebijakan, meskipun kebijakan pusat sudah jelas dirumuskan di atas.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C5859"/>
    <w:multiLevelType w:val="multilevel"/>
    <w:tmpl w:val="449EB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526095"/>
    <w:multiLevelType w:val="hybridMultilevel"/>
    <w:tmpl w:val="DA8CD53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4AF2282"/>
    <w:multiLevelType w:val="multilevel"/>
    <w:tmpl w:val="2E5CD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244C19"/>
    <w:multiLevelType w:val="multilevel"/>
    <w:tmpl w:val="09C64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1C0410"/>
    <w:multiLevelType w:val="hybridMultilevel"/>
    <w:tmpl w:val="CF84A1F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7DAC73DA"/>
    <w:multiLevelType w:val="multilevel"/>
    <w:tmpl w:val="1BDC0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F49"/>
    <w:rsid w:val="00073D16"/>
    <w:rsid w:val="000F2A52"/>
    <w:rsid w:val="000F3AF1"/>
    <w:rsid w:val="000F6DA6"/>
    <w:rsid w:val="0011428B"/>
    <w:rsid w:val="001505A4"/>
    <w:rsid w:val="001D10E5"/>
    <w:rsid w:val="00220247"/>
    <w:rsid w:val="00266758"/>
    <w:rsid w:val="002A75C8"/>
    <w:rsid w:val="002D462E"/>
    <w:rsid w:val="00302204"/>
    <w:rsid w:val="003126B9"/>
    <w:rsid w:val="0031445F"/>
    <w:rsid w:val="003200CE"/>
    <w:rsid w:val="0038158E"/>
    <w:rsid w:val="00400F49"/>
    <w:rsid w:val="0043010F"/>
    <w:rsid w:val="004A13DC"/>
    <w:rsid w:val="004B01AB"/>
    <w:rsid w:val="004C0A1B"/>
    <w:rsid w:val="004C0CCE"/>
    <w:rsid w:val="004E3B9E"/>
    <w:rsid w:val="004E63FF"/>
    <w:rsid w:val="004F6F6D"/>
    <w:rsid w:val="00520709"/>
    <w:rsid w:val="005454CF"/>
    <w:rsid w:val="005652BB"/>
    <w:rsid w:val="00587B25"/>
    <w:rsid w:val="005E2497"/>
    <w:rsid w:val="005F58A3"/>
    <w:rsid w:val="00610138"/>
    <w:rsid w:val="0065363A"/>
    <w:rsid w:val="0069573C"/>
    <w:rsid w:val="00695AD7"/>
    <w:rsid w:val="006B54E6"/>
    <w:rsid w:val="006D72CE"/>
    <w:rsid w:val="006F1544"/>
    <w:rsid w:val="006F6F43"/>
    <w:rsid w:val="00742F1D"/>
    <w:rsid w:val="007471C0"/>
    <w:rsid w:val="007532B2"/>
    <w:rsid w:val="007621FC"/>
    <w:rsid w:val="00772649"/>
    <w:rsid w:val="00790529"/>
    <w:rsid w:val="007A5D22"/>
    <w:rsid w:val="007E0830"/>
    <w:rsid w:val="0080310E"/>
    <w:rsid w:val="008043AF"/>
    <w:rsid w:val="0081359E"/>
    <w:rsid w:val="00816EAF"/>
    <w:rsid w:val="00842801"/>
    <w:rsid w:val="00916494"/>
    <w:rsid w:val="00927BD4"/>
    <w:rsid w:val="00940474"/>
    <w:rsid w:val="00983363"/>
    <w:rsid w:val="00987703"/>
    <w:rsid w:val="00996034"/>
    <w:rsid w:val="009D614D"/>
    <w:rsid w:val="00A01761"/>
    <w:rsid w:val="00A4555E"/>
    <w:rsid w:val="00AC1006"/>
    <w:rsid w:val="00AE5A5A"/>
    <w:rsid w:val="00B12B33"/>
    <w:rsid w:val="00B34DF0"/>
    <w:rsid w:val="00B51A6B"/>
    <w:rsid w:val="00B53710"/>
    <w:rsid w:val="00B8750B"/>
    <w:rsid w:val="00C07C53"/>
    <w:rsid w:val="00C46936"/>
    <w:rsid w:val="00C80E04"/>
    <w:rsid w:val="00D31688"/>
    <w:rsid w:val="00D345A7"/>
    <w:rsid w:val="00D670CD"/>
    <w:rsid w:val="00D90B26"/>
    <w:rsid w:val="00DA0FC9"/>
    <w:rsid w:val="00DC0830"/>
    <w:rsid w:val="00DC668C"/>
    <w:rsid w:val="00E95570"/>
    <w:rsid w:val="00EE05CD"/>
    <w:rsid w:val="00F32406"/>
    <w:rsid w:val="00F82BB7"/>
    <w:rsid w:val="00FE770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30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957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957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F3AF1"/>
    <w:pPr>
      <w:spacing w:before="100" w:beforeAutospacing="1" w:after="100" w:afterAutospacing="1" w:line="240" w:lineRule="auto"/>
      <w:outlineLvl w:val="2"/>
    </w:pPr>
    <w:rPr>
      <w:rFonts w:ascii="Times New Roman" w:eastAsia="Times New Roman" w:hAnsi="Times New Roman" w:cs="Times New Roman"/>
      <w:b/>
      <w:bCs/>
      <w:sz w:val="27"/>
      <w:szCs w:val="27"/>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3AF1"/>
    <w:rPr>
      <w:rFonts w:ascii="Times New Roman" w:hAnsi="Times New Roman" w:cs="Times New Roman"/>
      <w:sz w:val="24"/>
      <w:szCs w:val="24"/>
    </w:rPr>
  </w:style>
  <w:style w:type="character" w:customStyle="1" w:styleId="Heading3Char">
    <w:name w:val="Heading 3 Char"/>
    <w:basedOn w:val="DefaultParagraphFont"/>
    <w:link w:val="Heading3"/>
    <w:uiPriority w:val="9"/>
    <w:rsid w:val="000F3AF1"/>
    <w:rPr>
      <w:rFonts w:ascii="Times New Roman" w:eastAsia="Times New Roman" w:hAnsi="Times New Roman" w:cs="Times New Roman"/>
      <w:b/>
      <w:bCs/>
      <w:sz w:val="27"/>
      <w:szCs w:val="27"/>
      <w:lang w:eastAsia="en-ID"/>
    </w:rPr>
  </w:style>
  <w:style w:type="character" w:styleId="Strong">
    <w:name w:val="Strong"/>
    <w:basedOn w:val="DefaultParagraphFont"/>
    <w:uiPriority w:val="22"/>
    <w:qFormat/>
    <w:rsid w:val="000F3AF1"/>
    <w:rPr>
      <w:b/>
      <w:bCs/>
    </w:rPr>
  </w:style>
  <w:style w:type="character" w:styleId="Emphasis">
    <w:name w:val="Emphasis"/>
    <w:basedOn w:val="DefaultParagraphFont"/>
    <w:uiPriority w:val="20"/>
    <w:qFormat/>
    <w:rsid w:val="000F3AF1"/>
    <w:rPr>
      <w:i/>
      <w:iCs/>
    </w:rPr>
  </w:style>
  <w:style w:type="character" w:customStyle="1" w:styleId="Heading1Char">
    <w:name w:val="Heading 1 Char"/>
    <w:basedOn w:val="DefaultParagraphFont"/>
    <w:link w:val="Heading1"/>
    <w:uiPriority w:val="9"/>
    <w:rsid w:val="0069573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9573C"/>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8043AF"/>
    <w:rPr>
      <w:color w:val="0563C1" w:themeColor="hyperlink"/>
      <w:u w:val="single"/>
    </w:rPr>
  </w:style>
  <w:style w:type="character" w:customStyle="1" w:styleId="UnresolvedMention">
    <w:name w:val="Unresolved Mention"/>
    <w:basedOn w:val="DefaultParagraphFont"/>
    <w:uiPriority w:val="99"/>
    <w:semiHidden/>
    <w:unhideWhenUsed/>
    <w:rsid w:val="008043AF"/>
    <w:rPr>
      <w:color w:val="605E5C"/>
      <w:shd w:val="clear" w:color="auto" w:fill="E1DFDD"/>
    </w:rPr>
  </w:style>
  <w:style w:type="character" w:styleId="PlaceholderText">
    <w:name w:val="Placeholder Text"/>
    <w:basedOn w:val="DefaultParagraphFont"/>
    <w:uiPriority w:val="99"/>
    <w:semiHidden/>
    <w:rsid w:val="003126B9"/>
    <w:rPr>
      <w:color w:val="808080"/>
    </w:rPr>
  </w:style>
  <w:style w:type="paragraph" w:styleId="FootnoteText">
    <w:name w:val="footnote text"/>
    <w:basedOn w:val="Normal"/>
    <w:link w:val="FootnoteTextChar"/>
    <w:uiPriority w:val="99"/>
    <w:semiHidden/>
    <w:unhideWhenUsed/>
    <w:rsid w:val="003126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26B9"/>
    <w:rPr>
      <w:sz w:val="20"/>
      <w:szCs w:val="20"/>
    </w:rPr>
  </w:style>
  <w:style w:type="character" w:styleId="FootnoteReference">
    <w:name w:val="footnote reference"/>
    <w:basedOn w:val="DefaultParagraphFont"/>
    <w:uiPriority w:val="99"/>
    <w:semiHidden/>
    <w:unhideWhenUsed/>
    <w:rsid w:val="003126B9"/>
    <w:rPr>
      <w:vertAlign w:val="superscript"/>
    </w:rPr>
  </w:style>
  <w:style w:type="paragraph" w:styleId="ListParagraph">
    <w:name w:val="List Paragraph"/>
    <w:basedOn w:val="Normal"/>
    <w:uiPriority w:val="34"/>
    <w:qFormat/>
    <w:rsid w:val="007A5D22"/>
    <w:pPr>
      <w:ind w:left="720"/>
      <w:contextualSpacing/>
    </w:pPr>
  </w:style>
  <w:style w:type="paragraph" w:styleId="Header">
    <w:name w:val="header"/>
    <w:basedOn w:val="Normal"/>
    <w:link w:val="HeaderChar"/>
    <w:uiPriority w:val="99"/>
    <w:unhideWhenUsed/>
    <w:rsid w:val="005207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09"/>
  </w:style>
  <w:style w:type="paragraph" w:styleId="Footer">
    <w:name w:val="footer"/>
    <w:basedOn w:val="Normal"/>
    <w:link w:val="FooterChar"/>
    <w:uiPriority w:val="99"/>
    <w:unhideWhenUsed/>
    <w:rsid w:val="005207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7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957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957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F3AF1"/>
    <w:pPr>
      <w:spacing w:before="100" w:beforeAutospacing="1" w:after="100" w:afterAutospacing="1" w:line="240" w:lineRule="auto"/>
      <w:outlineLvl w:val="2"/>
    </w:pPr>
    <w:rPr>
      <w:rFonts w:ascii="Times New Roman" w:eastAsia="Times New Roman" w:hAnsi="Times New Roman" w:cs="Times New Roman"/>
      <w:b/>
      <w:bCs/>
      <w:sz w:val="27"/>
      <w:szCs w:val="27"/>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3AF1"/>
    <w:rPr>
      <w:rFonts w:ascii="Times New Roman" w:hAnsi="Times New Roman" w:cs="Times New Roman"/>
      <w:sz w:val="24"/>
      <w:szCs w:val="24"/>
    </w:rPr>
  </w:style>
  <w:style w:type="character" w:customStyle="1" w:styleId="Heading3Char">
    <w:name w:val="Heading 3 Char"/>
    <w:basedOn w:val="DefaultParagraphFont"/>
    <w:link w:val="Heading3"/>
    <w:uiPriority w:val="9"/>
    <w:rsid w:val="000F3AF1"/>
    <w:rPr>
      <w:rFonts w:ascii="Times New Roman" w:eastAsia="Times New Roman" w:hAnsi="Times New Roman" w:cs="Times New Roman"/>
      <w:b/>
      <w:bCs/>
      <w:sz w:val="27"/>
      <w:szCs w:val="27"/>
      <w:lang w:eastAsia="en-ID"/>
    </w:rPr>
  </w:style>
  <w:style w:type="character" w:styleId="Strong">
    <w:name w:val="Strong"/>
    <w:basedOn w:val="DefaultParagraphFont"/>
    <w:uiPriority w:val="22"/>
    <w:qFormat/>
    <w:rsid w:val="000F3AF1"/>
    <w:rPr>
      <w:b/>
      <w:bCs/>
    </w:rPr>
  </w:style>
  <w:style w:type="character" w:styleId="Emphasis">
    <w:name w:val="Emphasis"/>
    <w:basedOn w:val="DefaultParagraphFont"/>
    <w:uiPriority w:val="20"/>
    <w:qFormat/>
    <w:rsid w:val="000F3AF1"/>
    <w:rPr>
      <w:i/>
      <w:iCs/>
    </w:rPr>
  </w:style>
  <w:style w:type="character" w:customStyle="1" w:styleId="Heading1Char">
    <w:name w:val="Heading 1 Char"/>
    <w:basedOn w:val="DefaultParagraphFont"/>
    <w:link w:val="Heading1"/>
    <w:uiPriority w:val="9"/>
    <w:rsid w:val="0069573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9573C"/>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8043AF"/>
    <w:rPr>
      <w:color w:val="0563C1" w:themeColor="hyperlink"/>
      <w:u w:val="single"/>
    </w:rPr>
  </w:style>
  <w:style w:type="character" w:customStyle="1" w:styleId="UnresolvedMention">
    <w:name w:val="Unresolved Mention"/>
    <w:basedOn w:val="DefaultParagraphFont"/>
    <w:uiPriority w:val="99"/>
    <w:semiHidden/>
    <w:unhideWhenUsed/>
    <w:rsid w:val="008043AF"/>
    <w:rPr>
      <w:color w:val="605E5C"/>
      <w:shd w:val="clear" w:color="auto" w:fill="E1DFDD"/>
    </w:rPr>
  </w:style>
  <w:style w:type="character" w:styleId="PlaceholderText">
    <w:name w:val="Placeholder Text"/>
    <w:basedOn w:val="DefaultParagraphFont"/>
    <w:uiPriority w:val="99"/>
    <w:semiHidden/>
    <w:rsid w:val="003126B9"/>
    <w:rPr>
      <w:color w:val="808080"/>
    </w:rPr>
  </w:style>
  <w:style w:type="paragraph" w:styleId="FootnoteText">
    <w:name w:val="footnote text"/>
    <w:basedOn w:val="Normal"/>
    <w:link w:val="FootnoteTextChar"/>
    <w:uiPriority w:val="99"/>
    <w:semiHidden/>
    <w:unhideWhenUsed/>
    <w:rsid w:val="003126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26B9"/>
    <w:rPr>
      <w:sz w:val="20"/>
      <w:szCs w:val="20"/>
    </w:rPr>
  </w:style>
  <w:style w:type="character" w:styleId="FootnoteReference">
    <w:name w:val="footnote reference"/>
    <w:basedOn w:val="DefaultParagraphFont"/>
    <w:uiPriority w:val="99"/>
    <w:semiHidden/>
    <w:unhideWhenUsed/>
    <w:rsid w:val="003126B9"/>
    <w:rPr>
      <w:vertAlign w:val="superscript"/>
    </w:rPr>
  </w:style>
  <w:style w:type="paragraph" w:styleId="ListParagraph">
    <w:name w:val="List Paragraph"/>
    <w:basedOn w:val="Normal"/>
    <w:uiPriority w:val="34"/>
    <w:qFormat/>
    <w:rsid w:val="007A5D22"/>
    <w:pPr>
      <w:ind w:left="720"/>
      <w:contextualSpacing/>
    </w:pPr>
  </w:style>
  <w:style w:type="paragraph" w:styleId="Header">
    <w:name w:val="header"/>
    <w:basedOn w:val="Normal"/>
    <w:link w:val="HeaderChar"/>
    <w:uiPriority w:val="99"/>
    <w:unhideWhenUsed/>
    <w:rsid w:val="005207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09"/>
  </w:style>
  <w:style w:type="paragraph" w:styleId="Footer">
    <w:name w:val="footer"/>
    <w:basedOn w:val="Normal"/>
    <w:link w:val="FooterChar"/>
    <w:uiPriority w:val="99"/>
    <w:unhideWhenUsed/>
    <w:rsid w:val="005207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76415">
      <w:bodyDiv w:val="1"/>
      <w:marLeft w:val="0"/>
      <w:marRight w:val="0"/>
      <w:marTop w:val="0"/>
      <w:marBottom w:val="0"/>
      <w:divBdr>
        <w:top w:val="none" w:sz="0" w:space="0" w:color="auto"/>
        <w:left w:val="none" w:sz="0" w:space="0" w:color="auto"/>
        <w:bottom w:val="none" w:sz="0" w:space="0" w:color="auto"/>
        <w:right w:val="none" w:sz="0" w:space="0" w:color="auto"/>
      </w:divBdr>
    </w:div>
    <w:div w:id="182284543">
      <w:bodyDiv w:val="1"/>
      <w:marLeft w:val="0"/>
      <w:marRight w:val="0"/>
      <w:marTop w:val="0"/>
      <w:marBottom w:val="0"/>
      <w:divBdr>
        <w:top w:val="none" w:sz="0" w:space="0" w:color="auto"/>
        <w:left w:val="none" w:sz="0" w:space="0" w:color="auto"/>
        <w:bottom w:val="none" w:sz="0" w:space="0" w:color="auto"/>
        <w:right w:val="none" w:sz="0" w:space="0" w:color="auto"/>
      </w:divBdr>
    </w:div>
    <w:div w:id="214465034">
      <w:bodyDiv w:val="1"/>
      <w:marLeft w:val="0"/>
      <w:marRight w:val="0"/>
      <w:marTop w:val="0"/>
      <w:marBottom w:val="0"/>
      <w:divBdr>
        <w:top w:val="none" w:sz="0" w:space="0" w:color="auto"/>
        <w:left w:val="none" w:sz="0" w:space="0" w:color="auto"/>
        <w:bottom w:val="none" w:sz="0" w:space="0" w:color="auto"/>
        <w:right w:val="none" w:sz="0" w:space="0" w:color="auto"/>
      </w:divBdr>
    </w:div>
    <w:div w:id="264463586">
      <w:bodyDiv w:val="1"/>
      <w:marLeft w:val="0"/>
      <w:marRight w:val="0"/>
      <w:marTop w:val="0"/>
      <w:marBottom w:val="0"/>
      <w:divBdr>
        <w:top w:val="none" w:sz="0" w:space="0" w:color="auto"/>
        <w:left w:val="none" w:sz="0" w:space="0" w:color="auto"/>
        <w:bottom w:val="none" w:sz="0" w:space="0" w:color="auto"/>
        <w:right w:val="none" w:sz="0" w:space="0" w:color="auto"/>
      </w:divBdr>
    </w:div>
    <w:div w:id="314115247">
      <w:bodyDiv w:val="1"/>
      <w:marLeft w:val="0"/>
      <w:marRight w:val="0"/>
      <w:marTop w:val="0"/>
      <w:marBottom w:val="0"/>
      <w:divBdr>
        <w:top w:val="none" w:sz="0" w:space="0" w:color="auto"/>
        <w:left w:val="none" w:sz="0" w:space="0" w:color="auto"/>
        <w:bottom w:val="none" w:sz="0" w:space="0" w:color="auto"/>
        <w:right w:val="none" w:sz="0" w:space="0" w:color="auto"/>
      </w:divBdr>
    </w:div>
    <w:div w:id="477652299">
      <w:bodyDiv w:val="1"/>
      <w:marLeft w:val="0"/>
      <w:marRight w:val="0"/>
      <w:marTop w:val="0"/>
      <w:marBottom w:val="0"/>
      <w:divBdr>
        <w:top w:val="none" w:sz="0" w:space="0" w:color="auto"/>
        <w:left w:val="none" w:sz="0" w:space="0" w:color="auto"/>
        <w:bottom w:val="none" w:sz="0" w:space="0" w:color="auto"/>
        <w:right w:val="none" w:sz="0" w:space="0" w:color="auto"/>
      </w:divBdr>
    </w:div>
    <w:div w:id="678507484">
      <w:bodyDiv w:val="1"/>
      <w:marLeft w:val="0"/>
      <w:marRight w:val="0"/>
      <w:marTop w:val="0"/>
      <w:marBottom w:val="0"/>
      <w:divBdr>
        <w:top w:val="none" w:sz="0" w:space="0" w:color="auto"/>
        <w:left w:val="none" w:sz="0" w:space="0" w:color="auto"/>
        <w:bottom w:val="none" w:sz="0" w:space="0" w:color="auto"/>
        <w:right w:val="none" w:sz="0" w:space="0" w:color="auto"/>
      </w:divBdr>
    </w:div>
    <w:div w:id="1047215740">
      <w:bodyDiv w:val="1"/>
      <w:marLeft w:val="0"/>
      <w:marRight w:val="0"/>
      <w:marTop w:val="0"/>
      <w:marBottom w:val="0"/>
      <w:divBdr>
        <w:top w:val="none" w:sz="0" w:space="0" w:color="auto"/>
        <w:left w:val="none" w:sz="0" w:space="0" w:color="auto"/>
        <w:bottom w:val="none" w:sz="0" w:space="0" w:color="auto"/>
        <w:right w:val="none" w:sz="0" w:space="0" w:color="auto"/>
      </w:divBdr>
      <w:divsChild>
        <w:div w:id="1038312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8141046">
      <w:bodyDiv w:val="1"/>
      <w:marLeft w:val="0"/>
      <w:marRight w:val="0"/>
      <w:marTop w:val="0"/>
      <w:marBottom w:val="0"/>
      <w:divBdr>
        <w:top w:val="none" w:sz="0" w:space="0" w:color="auto"/>
        <w:left w:val="none" w:sz="0" w:space="0" w:color="auto"/>
        <w:bottom w:val="none" w:sz="0" w:space="0" w:color="auto"/>
        <w:right w:val="none" w:sz="0" w:space="0" w:color="auto"/>
      </w:divBdr>
    </w:div>
    <w:div w:id="1366442375">
      <w:bodyDiv w:val="1"/>
      <w:marLeft w:val="0"/>
      <w:marRight w:val="0"/>
      <w:marTop w:val="0"/>
      <w:marBottom w:val="0"/>
      <w:divBdr>
        <w:top w:val="none" w:sz="0" w:space="0" w:color="auto"/>
        <w:left w:val="none" w:sz="0" w:space="0" w:color="auto"/>
        <w:bottom w:val="none" w:sz="0" w:space="0" w:color="auto"/>
        <w:right w:val="none" w:sz="0" w:space="0" w:color="auto"/>
      </w:divBdr>
      <w:divsChild>
        <w:div w:id="124919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916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1095899">
      <w:bodyDiv w:val="1"/>
      <w:marLeft w:val="0"/>
      <w:marRight w:val="0"/>
      <w:marTop w:val="0"/>
      <w:marBottom w:val="0"/>
      <w:divBdr>
        <w:top w:val="none" w:sz="0" w:space="0" w:color="auto"/>
        <w:left w:val="none" w:sz="0" w:space="0" w:color="auto"/>
        <w:bottom w:val="none" w:sz="0" w:space="0" w:color="auto"/>
        <w:right w:val="none" w:sz="0" w:space="0" w:color="auto"/>
      </w:divBdr>
    </w:div>
    <w:div w:id="1558593624">
      <w:bodyDiv w:val="1"/>
      <w:marLeft w:val="0"/>
      <w:marRight w:val="0"/>
      <w:marTop w:val="0"/>
      <w:marBottom w:val="0"/>
      <w:divBdr>
        <w:top w:val="none" w:sz="0" w:space="0" w:color="auto"/>
        <w:left w:val="none" w:sz="0" w:space="0" w:color="auto"/>
        <w:bottom w:val="none" w:sz="0" w:space="0" w:color="auto"/>
        <w:right w:val="none" w:sz="0" w:space="0" w:color="auto"/>
      </w:divBdr>
    </w:div>
    <w:div w:id="1628009101">
      <w:bodyDiv w:val="1"/>
      <w:marLeft w:val="0"/>
      <w:marRight w:val="0"/>
      <w:marTop w:val="0"/>
      <w:marBottom w:val="0"/>
      <w:divBdr>
        <w:top w:val="none" w:sz="0" w:space="0" w:color="auto"/>
        <w:left w:val="none" w:sz="0" w:space="0" w:color="auto"/>
        <w:bottom w:val="none" w:sz="0" w:space="0" w:color="auto"/>
        <w:right w:val="none" w:sz="0" w:space="0" w:color="auto"/>
      </w:divBdr>
    </w:div>
    <w:div w:id="1660959064">
      <w:bodyDiv w:val="1"/>
      <w:marLeft w:val="0"/>
      <w:marRight w:val="0"/>
      <w:marTop w:val="0"/>
      <w:marBottom w:val="0"/>
      <w:divBdr>
        <w:top w:val="none" w:sz="0" w:space="0" w:color="auto"/>
        <w:left w:val="none" w:sz="0" w:space="0" w:color="auto"/>
        <w:bottom w:val="none" w:sz="0" w:space="0" w:color="auto"/>
        <w:right w:val="none" w:sz="0" w:space="0" w:color="auto"/>
      </w:divBdr>
    </w:div>
    <w:div w:id="1702129397">
      <w:bodyDiv w:val="1"/>
      <w:marLeft w:val="0"/>
      <w:marRight w:val="0"/>
      <w:marTop w:val="0"/>
      <w:marBottom w:val="0"/>
      <w:divBdr>
        <w:top w:val="none" w:sz="0" w:space="0" w:color="auto"/>
        <w:left w:val="none" w:sz="0" w:space="0" w:color="auto"/>
        <w:bottom w:val="none" w:sz="0" w:space="0" w:color="auto"/>
        <w:right w:val="none" w:sz="0" w:space="0" w:color="auto"/>
      </w:divBdr>
    </w:div>
    <w:div w:id="1780878220">
      <w:bodyDiv w:val="1"/>
      <w:marLeft w:val="0"/>
      <w:marRight w:val="0"/>
      <w:marTop w:val="0"/>
      <w:marBottom w:val="0"/>
      <w:divBdr>
        <w:top w:val="none" w:sz="0" w:space="0" w:color="auto"/>
        <w:left w:val="none" w:sz="0" w:space="0" w:color="auto"/>
        <w:bottom w:val="none" w:sz="0" w:space="0" w:color="auto"/>
        <w:right w:val="none" w:sz="0" w:space="0" w:color="auto"/>
      </w:divBdr>
    </w:div>
    <w:div w:id="1855611351">
      <w:bodyDiv w:val="1"/>
      <w:marLeft w:val="0"/>
      <w:marRight w:val="0"/>
      <w:marTop w:val="0"/>
      <w:marBottom w:val="0"/>
      <w:divBdr>
        <w:top w:val="none" w:sz="0" w:space="0" w:color="auto"/>
        <w:left w:val="none" w:sz="0" w:space="0" w:color="auto"/>
        <w:bottom w:val="none" w:sz="0" w:space="0" w:color="auto"/>
        <w:right w:val="none" w:sz="0" w:space="0" w:color="auto"/>
      </w:divBdr>
    </w:div>
    <w:div w:id="2080789589">
      <w:bodyDiv w:val="1"/>
      <w:marLeft w:val="0"/>
      <w:marRight w:val="0"/>
      <w:marTop w:val="0"/>
      <w:marBottom w:val="0"/>
      <w:divBdr>
        <w:top w:val="none" w:sz="0" w:space="0" w:color="auto"/>
        <w:left w:val="none" w:sz="0" w:space="0" w:color="auto"/>
        <w:bottom w:val="none" w:sz="0" w:space="0" w:color="auto"/>
        <w:right w:val="none" w:sz="0" w:space="0" w:color="auto"/>
      </w:divBdr>
    </w:div>
    <w:div w:id="210719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bdurrahim@mail.uinfasbengkulu.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B992AF-ABFB-4267-9046-71D5CEBE0CFF}">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F5DBE-02A9-44F6-8CE3-AC87C7D54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10</Pages>
  <Words>3827</Words>
  <Characters>21818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ABDUR RAHIM, M.H., C.Me</dc:creator>
  <cp:keywords/>
  <dc:description/>
  <cp:lastModifiedBy>User</cp:lastModifiedBy>
  <cp:revision>45</cp:revision>
  <dcterms:created xsi:type="dcterms:W3CDTF">2025-07-28T10:08:00Z</dcterms:created>
  <dcterms:modified xsi:type="dcterms:W3CDTF">2025-08-22T02:37:00Z</dcterms:modified>
</cp:coreProperties>
</file>