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7D" w:rsidRDefault="0009487D" w:rsidP="0009487D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RENCANA PEMBELAJARAN SEMESTER (RPS)</w:t>
      </w:r>
    </w:p>
    <w:p w:rsidR="0009487D" w:rsidRDefault="0009487D" w:rsidP="0009487D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 xml:space="preserve">IDENTITAS 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Mata Kulia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Ushul fikih</w:t>
      </w:r>
    </w:p>
    <w:p w:rsidR="0009487D" w:rsidRDefault="00E73C32" w:rsidP="0009487D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Jumlah SKS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2</w:t>
      </w:r>
    </w:p>
    <w:p w:rsidR="0009487D" w:rsidRDefault="0009487D" w:rsidP="00E726A7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Prodi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 w:rsidR="00E726A7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: HKI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Semester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IV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Dosen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Dr. Iim Fahimah, Lc, MA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Jabatan/Gol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Lektor/ IIId (Penata)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Instansi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IAIN Bengkulu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Deskripsi Mata kuliah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ind w:left="644"/>
        <w:jc w:val="both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kuliah ini membahas pengertian Ushul Fiqh, sejarah perkembangan Ushul Fiqh, sumber dan dalil hukum Islam, klasifikasi hukum syara’ dalam mata kuliah  juga diberiakan penekanan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stressing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)  mengenai pendekatan kebahasaan  yang diformulasikan oleh  kalangan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ushuliyyun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 (ayat-ayat al-Qur’an dan Hadis Nabi SAW) serta cara menyelesaikan persoalan hukum yang memiliki dalil-dalil yang bertentangan.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Kompetensi Mata Kuliah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ind w:left="644"/>
        <w:jc w:val="both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Setelah </w:t>
      </w:r>
      <w:r>
        <w:rPr>
          <w:rFonts w:asciiTheme="majorBidi" w:hAnsiTheme="majorBidi" w:cstheme="majorBidi"/>
          <w:sz w:val="24"/>
          <w:szCs w:val="24"/>
          <w:lang w:val="sv-SE"/>
        </w:rPr>
        <w:t>mengikuti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mata kuliah ini, mahasiswa diharapkan memiliki pengetahuan dan wawasan mengenai metode dan pendekatan kebahasaan dalam perspektif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manahij al-ushuliyyin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nash, serta mengetahui cara menyelesaikan persoalan hukum yang memiliki dalil-dalil yang bertentangan.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Capaian Pembelajaran Lulusan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Mahasiswa dapat memahami pengertian, tujuan, objek pembelajaran ushul fiqh, sumber-sumber hukum yang disepakati, sumber-sumber hukum yang diperdebatkan, dan bisa memahami kalsifikasi hukum syara’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memahami pendekatan kebahasaan  yang diformulasikan oleh  ulama  dalam mengistinbathkan hukum syara’ dari nash.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menganalisis dan memberikan penjelasan tentang tujuan pembentukan hukum Islam (maqoshidu syari'ah)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memahami dan menyelesaikan pertentangan dalil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  <w:r>
        <w:rPr>
          <w:rFonts w:asciiTheme="majorBidi" w:hAnsiTheme="majorBidi" w:cstheme="majorBidi"/>
          <w:sz w:val="24"/>
          <w:szCs w:val="24"/>
          <w:lang w:val="af-ZA"/>
        </w:rPr>
        <w:t>) dalam suatu kasus, sehinga hukum yang diperoleh berbasis maslahah.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  <w:t>ALOKASI RENCANA PERKULIAHAN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Motivasi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Tanggung jawab sebagai mu’min dan muslim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tanggung jawab sebagai mah</w:t>
      </w:r>
      <w:r w:rsidR="00E726A7">
        <w:rPr>
          <w:rFonts w:asciiTheme="majorBidi" w:eastAsia="Times New Roman" w:hAnsiTheme="majorBidi" w:cstheme="majorBidi"/>
          <w:color w:val="222222"/>
          <w:sz w:val="24"/>
          <w:szCs w:val="24"/>
        </w:rPr>
        <w:t>asiswa prodi HKI</w:t>
      </w:r>
      <w:bookmarkStart w:id="0" w:name="_GoBack"/>
      <w:bookmarkEnd w:id="0"/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Urgensi pembelajaran Ushul Fiqh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Ushul Fiqh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 ushul fiqh.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Obyek kajian UF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 ushul fikih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UF dg. Fikih dan kaidah fikhiyah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Hubungan UF dan fikih.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Sejarah perkembangan ushul Fiqh.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Aliran-aliran dalam Ushul Fikih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Hukum syara’     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hukum syara’.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hukum syara’.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Hukum taklifi dan pembagiannya.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hukum taklifi dan hukum wad’i 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Hukum wadh’i dan pembagiannya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disepakati</w:t>
      </w:r>
    </w:p>
    <w:p w:rsidR="0009487D" w:rsidRDefault="0009487D" w:rsidP="000948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Al-Qur'an </w:t>
      </w:r>
      <w:r>
        <w:rPr>
          <w:rFonts w:asciiTheme="majorBidi" w:hAnsiTheme="majorBidi" w:cstheme="majorBidi"/>
          <w:sz w:val="24"/>
          <w:szCs w:val="24"/>
          <w:lang w:val="af-ZA"/>
        </w:rPr>
        <w:t>Sebagai Sumber Dasar Pokok Hukum Islam</w:t>
      </w:r>
    </w:p>
    <w:p w:rsidR="0009487D" w:rsidRDefault="0009487D" w:rsidP="000948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As-Sunah Sebagai </w:t>
      </w:r>
      <w:r>
        <w:rPr>
          <w:rFonts w:asciiTheme="majorBidi" w:hAnsiTheme="majorBidi" w:cstheme="majorBidi"/>
          <w:sz w:val="24"/>
          <w:szCs w:val="24"/>
          <w:lang w:val="af-ZA"/>
        </w:rPr>
        <w:t>Sumber Dasar Pokok Hukum Islam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disepakati</w:t>
      </w:r>
    </w:p>
    <w:p w:rsidR="0009487D" w:rsidRDefault="0009487D" w:rsidP="0009487D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Qiyas </w:t>
      </w:r>
    </w:p>
    <w:p w:rsidR="0009487D" w:rsidRDefault="0009487D" w:rsidP="0009487D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Ijma.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diperdebatkan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Istihsan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Urf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Maslahah Mursalah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diperdebatkan</w:t>
      </w:r>
    </w:p>
    <w:p w:rsidR="0009487D" w:rsidRDefault="0009487D" w:rsidP="0009487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Saddu ddzari’ah</w:t>
      </w:r>
    </w:p>
    <w:p w:rsidR="0009487D" w:rsidRDefault="0009487D" w:rsidP="0009487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Istishab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Lafaz dari Segi Kejelasan Maknanya </w:t>
      </w:r>
      <w:r>
        <w:rPr>
          <w:rFonts w:asciiTheme="majorBidi" w:hAnsiTheme="majorBidi" w:cstheme="majorBidi"/>
          <w:sz w:val="24"/>
          <w:szCs w:val="24"/>
        </w:rPr>
        <w:t xml:space="preserve"> dan segi dalahnya (Lafziyah dan gairu Lafziah)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Lafaz yang Terang Maknanya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Lafaz yang Tidak Terang Maknanya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Pengertian dan Macam-macamnya</w:t>
      </w:r>
    </w:p>
    <w:p w:rsidR="0009487D" w:rsidRDefault="0009487D" w:rsidP="0009487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  <w:lang w:val="af-ZA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Dalalah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dalam Perspektif Ulama Hanafiyah dan Syafi’iyah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Pemahaman Lafaz dengan Metode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Tafsir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Ta’wil</w:t>
      </w:r>
    </w:p>
    <w:p w:rsidR="0009487D" w:rsidRDefault="0009487D" w:rsidP="0009487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Tafsir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Ta’wil</w:t>
      </w:r>
    </w:p>
    <w:p w:rsidR="0009487D" w:rsidRDefault="0009487D" w:rsidP="0009487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Syarat-syarat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 Ta’wil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Bentuk-bentuknya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Maqashidu</w:t>
      </w:r>
      <w:r>
        <w:rPr>
          <w:rFonts w:asciiTheme="majorBidi" w:hAnsiTheme="majorBidi" w:cstheme="majorBidi"/>
          <w:sz w:val="24"/>
          <w:szCs w:val="24"/>
        </w:rPr>
        <w:t xml:space="preserve"> Al-Syari`ah</w:t>
      </w:r>
    </w:p>
    <w:p w:rsidR="0009487D" w:rsidRDefault="0009487D" w:rsidP="0009487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sz w:val="24"/>
          <w:szCs w:val="24"/>
        </w:rPr>
        <w:t>Maqashidu Syari'ah</w:t>
      </w:r>
    </w:p>
    <w:p w:rsidR="0009487D" w:rsidRDefault="0009487D" w:rsidP="0009487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Maslahah</w:t>
      </w:r>
    </w:p>
    <w:p w:rsidR="0009487D" w:rsidRDefault="00240FA7" w:rsidP="00240FA7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Qawa’id Fiqhiyah</w:t>
      </w:r>
    </w:p>
    <w:p w:rsidR="00240FA7" w:rsidRDefault="00240FA7" w:rsidP="00240FA7">
      <w:pPr>
        <w:pStyle w:val="ListParagraph"/>
        <w:numPr>
          <w:ilvl w:val="0"/>
          <w:numId w:val="24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Qf</w:t>
      </w:r>
    </w:p>
    <w:p w:rsidR="00240FA7" w:rsidRDefault="006C081E" w:rsidP="00240FA7">
      <w:pPr>
        <w:pStyle w:val="ListParagraph"/>
        <w:numPr>
          <w:ilvl w:val="0"/>
          <w:numId w:val="24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Obyek dan tujuan mempelajari QF</w:t>
      </w:r>
    </w:p>
    <w:p w:rsidR="00240FA7" w:rsidRPr="00240FA7" w:rsidRDefault="006C081E" w:rsidP="00240FA7">
      <w:pPr>
        <w:pStyle w:val="ListParagraph"/>
        <w:numPr>
          <w:ilvl w:val="0"/>
          <w:numId w:val="24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dan persamaan UF dan QF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Lafaz khas dan Tkhsis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Khas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Syarat-syaratnya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Dalalah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Khas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Penerapannya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Takhshis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Macam-macamnya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Perbedaan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Takhshis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dengan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Nasakh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Muthlaq</w:t>
      </w:r>
      <w:r>
        <w:rPr>
          <w:rFonts w:asciiTheme="majorBidi" w:hAnsiTheme="majorBidi" w:cstheme="majorBidi"/>
          <w:sz w:val="24"/>
          <w:szCs w:val="24"/>
        </w:rPr>
        <w:t>dan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Muqayyad</w:t>
      </w:r>
    </w:p>
    <w:p w:rsidR="0009487D" w:rsidRDefault="0009487D" w:rsidP="0009487D">
      <w:pPr>
        <w:pStyle w:val="ListParagraph"/>
        <w:spacing w:line="240" w:lineRule="auto"/>
        <w:ind w:left="1146"/>
        <w:jc w:val="both"/>
        <w:rPr>
          <w:rFonts w:asciiTheme="majorBidi" w:hAnsiTheme="majorBidi" w:cstheme="majorBidi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Muthlaq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>an Muqayyad</w:t>
      </w:r>
    </w:p>
    <w:p w:rsidR="0009487D" w:rsidRDefault="0009487D" w:rsidP="0009487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Urgensi dan Penerapannya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Amr dan Nahi</w:t>
      </w:r>
    </w:p>
    <w:p w:rsidR="0009487D" w:rsidRDefault="0009487D" w:rsidP="0009487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Amar dan Nah</w:t>
      </w:r>
    </w:p>
    <w:p w:rsidR="0009487D" w:rsidRDefault="0009487D" w:rsidP="0009487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Dalalah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Amr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</w:rPr>
        <w:t>Nahi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</w:p>
    <w:p w:rsidR="0009487D" w:rsidRDefault="0009487D" w:rsidP="0009487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Adillah</w:t>
      </w:r>
    </w:p>
    <w:p w:rsidR="0009487D" w:rsidRDefault="0009487D" w:rsidP="0009487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Metode Penyelesaian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</w:p>
    <w:p w:rsidR="0009487D" w:rsidRDefault="0009487D" w:rsidP="000948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dan Penguatan Materi-Materi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>
        <w:rPr>
          <w:rFonts w:asciiTheme="majorBidi" w:hAnsiTheme="majorBidi" w:cstheme="majorBidi"/>
          <w:sz w:val="24"/>
          <w:szCs w:val="24"/>
        </w:rPr>
        <w:br/>
        <w:t>PROSES PEMBELAJARAN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Metode ceramah Aktif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Diskusi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Presentasi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Penugasan </w:t>
      </w:r>
    </w:p>
    <w:p w:rsidR="0009487D" w:rsidRDefault="0009487D" w:rsidP="0009487D">
      <w:pPr>
        <w:pStyle w:val="ListParagraph"/>
        <w:ind w:left="1004"/>
        <w:rPr>
          <w:rFonts w:asciiTheme="majorBidi" w:hAnsiTheme="majorBidi" w:cstheme="majorBidi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BENTUK PENILAIAN</w:t>
      </w:r>
    </w:p>
    <w:p w:rsidR="0009487D" w:rsidRDefault="0009487D" w:rsidP="0009487D">
      <w:pPr>
        <w:spacing w:line="360" w:lineRule="auto"/>
        <w:ind w:left="644"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Untuk mengukur tingkat ketercapaian kompetensi oleh mahasiswa dilakukan proses evaluasi dalam berbagai jenis dan bentuk. Jenis evaluasi yang digunakan dalam mata kuliah ini adalah: Penulisan Makalah/Tugas mandiri dan terstruktur tulisan dan lisan pada setiap materi.   </w:t>
      </w:r>
    </w:p>
    <w:p w:rsidR="0009487D" w:rsidRDefault="0009487D" w:rsidP="000948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REFERENSI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Wahab Khalaf, ‘Ilmu Ushul Fiqh, Kuwait: Dar al-Qalam, 1978).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Hamid Hakim, As-Sulam, Jakarta: Maktabah as-Sa’diyah Putra, t.t).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Abu Zahrah, Ushul Fiqh, (Beirut: Dar al-Fikr al-Araby, 1968). Wahbah az-Zuhaily, Ushul al-Fiqh al-Islami, (Damaskus: Dar al-Fikr, 1986).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Hashim Kamali, Prinsip dan Teori-teori  Hukum Islam: Usul al-Fiqh, (terj.), (Yogyakarta: Pustaka Pelajar, 1996). M. Hasbi Ash-Shiddieqy, Falsafah Hukum Islam, (Jakarta: Bulan Bintang, 1993).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Wael B. Hallaq, Sejarah Teori Hukum Islam: Pengantar Untuk Usul Fiqh Madzhab Sunni (terj.), (Jakarta: RajaGrafindo Persada, 2001).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Amir Syarifuddin, Ushul Fiqh, jilid. 1-2, (Jakarta: Logos Pustaka Ilmu, 2000).</w:t>
      </w:r>
      <w:r>
        <w:rPr>
          <w:rFonts w:asciiTheme="majorBidi" w:hAnsiTheme="majorBidi" w:cstheme="majorBidi"/>
          <w:sz w:val="24"/>
          <w:szCs w:val="24"/>
        </w:rPr>
        <w:br/>
        <w:t xml:space="preserve"> dll</w:t>
      </w:r>
    </w:p>
    <w:p w:rsidR="0009487D" w:rsidRDefault="0009487D" w:rsidP="0009487D">
      <w:pPr>
        <w:shd w:val="clear" w:color="auto" w:fill="FFFFFF"/>
        <w:spacing w:before="180" w:after="0" w:line="36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09487D" w:rsidRDefault="0009487D" w:rsidP="0009487D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Bengkulu, 25 Agustus 2018</w:t>
      </w:r>
    </w:p>
    <w:p w:rsidR="0009487D" w:rsidRDefault="0009487D" w:rsidP="0009487D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9487D" w:rsidRDefault="0009487D" w:rsidP="00907795">
      <w:pPr>
        <w:spacing w:line="360" w:lineRule="auto"/>
        <w:ind w:left="10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Iim Fahimah, Lc, MA</w:t>
      </w:r>
    </w:p>
    <w:p w:rsidR="0009487D" w:rsidRDefault="0009487D" w:rsidP="0009487D"/>
    <w:p w:rsidR="007F560D" w:rsidRDefault="007F560D"/>
    <w:sectPr w:rsidR="007F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0FE"/>
    <w:multiLevelType w:val="hybridMultilevel"/>
    <w:tmpl w:val="DA9AD968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6120EAE"/>
    <w:multiLevelType w:val="hybridMultilevel"/>
    <w:tmpl w:val="CFF2FEDE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71A018B"/>
    <w:multiLevelType w:val="hybridMultilevel"/>
    <w:tmpl w:val="DE980B44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D270A66"/>
    <w:multiLevelType w:val="hybridMultilevel"/>
    <w:tmpl w:val="22B8461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11144"/>
    <w:multiLevelType w:val="hybridMultilevel"/>
    <w:tmpl w:val="33D0011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1E653448"/>
    <w:multiLevelType w:val="hybridMultilevel"/>
    <w:tmpl w:val="DAE4F932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28CB221F"/>
    <w:multiLevelType w:val="hybridMultilevel"/>
    <w:tmpl w:val="52E22F6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CE7107"/>
    <w:multiLevelType w:val="hybridMultilevel"/>
    <w:tmpl w:val="F576726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35DB4D44"/>
    <w:multiLevelType w:val="hybridMultilevel"/>
    <w:tmpl w:val="E8EA070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FA615B9"/>
    <w:multiLevelType w:val="hybridMultilevel"/>
    <w:tmpl w:val="38660F0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A12168"/>
    <w:multiLevelType w:val="hybridMultilevel"/>
    <w:tmpl w:val="885239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940BF"/>
    <w:multiLevelType w:val="hybridMultilevel"/>
    <w:tmpl w:val="317E3D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C64246"/>
    <w:multiLevelType w:val="hybridMultilevel"/>
    <w:tmpl w:val="71A42776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76B661D"/>
    <w:multiLevelType w:val="hybridMultilevel"/>
    <w:tmpl w:val="419A4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27F1C"/>
    <w:multiLevelType w:val="hybridMultilevel"/>
    <w:tmpl w:val="340E7E56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5DD44E7E"/>
    <w:multiLevelType w:val="hybridMultilevel"/>
    <w:tmpl w:val="FC9EE8EE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5F7D199A"/>
    <w:multiLevelType w:val="hybridMultilevel"/>
    <w:tmpl w:val="C910FB8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2203D"/>
    <w:multiLevelType w:val="hybridMultilevel"/>
    <w:tmpl w:val="58E0033E"/>
    <w:lvl w:ilvl="0" w:tplc="04210015">
      <w:start w:val="1"/>
      <w:numFmt w:val="upp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9D07A9"/>
    <w:multiLevelType w:val="hybridMultilevel"/>
    <w:tmpl w:val="0590B9DA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70C20769"/>
    <w:multiLevelType w:val="hybridMultilevel"/>
    <w:tmpl w:val="BD60C60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6C411B1"/>
    <w:multiLevelType w:val="hybridMultilevel"/>
    <w:tmpl w:val="CEBC77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1E1341"/>
    <w:multiLevelType w:val="hybridMultilevel"/>
    <w:tmpl w:val="A4ACC24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0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D"/>
    <w:rsid w:val="00061FAA"/>
    <w:rsid w:val="0009487D"/>
    <w:rsid w:val="00096273"/>
    <w:rsid w:val="001915E3"/>
    <w:rsid w:val="00240FA7"/>
    <w:rsid w:val="002B68BD"/>
    <w:rsid w:val="003C0D0B"/>
    <w:rsid w:val="003D1A03"/>
    <w:rsid w:val="0040182A"/>
    <w:rsid w:val="0042339F"/>
    <w:rsid w:val="00426133"/>
    <w:rsid w:val="0047355A"/>
    <w:rsid w:val="004F2B77"/>
    <w:rsid w:val="00565B29"/>
    <w:rsid w:val="005856EA"/>
    <w:rsid w:val="006C081E"/>
    <w:rsid w:val="00702881"/>
    <w:rsid w:val="00730DDF"/>
    <w:rsid w:val="007A0C32"/>
    <w:rsid w:val="007F560D"/>
    <w:rsid w:val="008075D3"/>
    <w:rsid w:val="008F5615"/>
    <w:rsid w:val="00907795"/>
    <w:rsid w:val="0097582B"/>
    <w:rsid w:val="00A83A85"/>
    <w:rsid w:val="00AD2DDD"/>
    <w:rsid w:val="00B36F07"/>
    <w:rsid w:val="00BC5329"/>
    <w:rsid w:val="00BE3F74"/>
    <w:rsid w:val="00C219A6"/>
    <w:rsid w:val="00CE2AAC"/>
    <w:rsid w:val="00CF7738"/>
    <w:rsid w:val="00D8630A"/>
    <w:rsid w:val="00E726A7"/>
    <w:rsid w:val="00E73C32"/>
    <w:rsid w:val="00ED4DDC"/>
    <w:rsid w:val="00EF01E4"/>
    <w:rsid w:val="00EF0A55"/>
    <w:rsid w:val="00F17428"/>
    <w:rsid w:val="00F45FD1"/>
    <w:rsid w:val="00F63AFC"/>
    <w:rsid w:val="00F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7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7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2018-11-06T01:56:00Z</dcterms:created>
  <dcterms:modified xsi:type="dcterms:W3CDTF">2019-05-05T10:55:00Z</dcterms:modified>
</cp:coreProperties>
</file>