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389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088"/>
        <w:gridCol w:w="1701"/>
        <w:gridCol w:w="283"/>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2268" w:type="dxa"/>
            <w:vMerge w:val="restart"/>
          </w:tcPr>
          <w:p>
            <w:pPr>
              <w:pStyle w:val="6"/>
              <w:spacing w:before="240"/>
              <w:ind w:right="-108"/>
              <w:rPr>
                <w:rFonts w:ascii="Arial" w:hAnsi="Arial" w:cs="Arial"/>
                <w:b/>
                <w:color w:val="222A35" w:themeColor="text2" w:themeShade="80"/>
                <w:sz w:val="16"/>
                <w:szCs w:val="16"/>
              </w:rPr>
            </w:pPr>
          </w:p>
        </w:tc>
        <w:tc>
          <w:tcPr>
            <w:tcW w:w="7088" w:type="dxa"/>
            <w:tcBorders>
              <w:right w:val="single" w:color="auto" w:sz="4" w:space="0"/>
            </w:tcBorders>
            <w:vAlign w:val="center"/>
          </w:tcPr>
          <w:p>
            <w:pPr>
              <w:pStyle w:val="6"/>
              <w:jc w:val="center"/>
              <w:rPr>
                <w:rFonts w:ascii="Arial" w:hAnsi="Arial" w:cs="Arial"/>
                <w:color w:val="222A35" w:themeColor="text2" w:themeShade="80"/>
                <w:sz w:val="24"/>
                <w:szCs w:val="24"/>
              </w:rPr>
            </w:pPr>
            <w:r>
              <w:rPr>
                <w:rFonts w:ascii="Arial" w:hAnsi="Arial" w:cs="Arial"/>
                <w:color w:val="222A35" w:themeColor="text2" w:themeShade="80"/>
                <w:sz w:val="24"/>
                <w:szCs w:val="24"/>
              </w:rPr>
              <w:t>FORMULIR</w:t>
            </w:r>
          </w:p>
        </w:tc>
        <w:tc>
          <w:tcPr>
            <w:tcW w:w="1701" w:type="dxa"/>
            <w:tcBorders>
              <w:top w:val="single" w:color="auto" w:sz="4" w:space="0"/>
              <w:left w:val="single" w:color="auto" w:sz="4" w:space="0"/>
              <w:bottom w:val="single" w:color="auto" w:sz="4" w:space="0"/>
              <w:right w:val="nil"/>
            </w:tcBorders>
            <w:vAlign w:val="center"/>
          </w:tcPr>
          <w:p>
            <w:pPr>
              <w:pStyle w:val="6"/>
              <w:rPr>
                <w:rFonts w:ascii="Arial" w:hAnsi="Arial" w:cs="Arial"/>
                <w:color w:val="222A35" w:themeColor="text2" w:themeShade="80"/>
                <w:sz w:val="20"/>
                <w:szCs w:val="20"/>
              </w:rPr>
            </w:pPr>
            <w:r>
              <w:rPr>
                <w:rFonts w:ascii="Arial" w:hAnsi="Arial" w:cs="Arial"/>
                <w:color w:val="222A35" w:themeColor="text2" w:themeShade="80"/>
                <w:sz w:val="20"/>
                <w:szCs w:val="20"/>
                <w:lang w:val="sv-SE"/>
              </w:rPr>
              <w:t>No Dokumen</w:t>
            </w:r>
          </w:p>
        </w:tc>
        <w:tc>
          <w:tcPr>
            <w:tcW w:w="283" w:type="dxa"/>
            <w:tcBorders>
              <w:top w:val="single" w:color="auto" w:sz="4" w:space="0"/>
              <w:left w:val="nil"/>
              <w:bottom w:val="single" w:color="auto" w:sz="4" w:space="0"/>
              <w:right w:val="nil"/>
            </w:tcBorders>
            <w:vAlign w:val="center"/>
          </w:tcPr>
          <w:p>
            <w:pPr>
              <w:spacing w:after="0"/>
              <w:ind w:left="-3" w:firstLine="3"/>
              <w:jc w:val="center"/>
              <w:rPr>
                <w:rFonts w:ascii="Arial" w:hAnsi="Arial" w:cs="Arial"/>
                <w:color w:val="222A35" w:themeColor="text2" w:themeShade="80"/>
                <w:sz w:val="20"/>
                <w:szCs w:val="20"/>
                <w:lang w:val="sv-SE"/>
              </w:rPr>
            </w:pPr>
            <w:r>
              <w:rPr>
                <w:rFonts w:ascii="Arial" w:hAnsi="Arial" w:cs="Arial"/>
                <w:color w:val="222A35" w:themeColor="text2" w:themeShade="80"/>
                <w:sz w:val="20"/>
                <w:szCs w:val="20"/>
                <w:lang w:val="sv-SE"/>
              </w:rPr>
              <w:t>:</w:t>
            </w:r>
          </w:p>
        </w:tc>
        <w:tc>
          <w:tcPr>
            <w:tcW w:w="2552" w:type="dxa"/>
            <w:tcBorders>
              <w:top w:val="single" w:color="auto" w:sz="4" w:space="0"/>
              <w:left w:val="nil"/>
              <w:bottom w:val="single" w:color="auto" w:sz="4" w:space="0"/>
              <w:right w:val="single" w:color="auto" w:sz="4" w:space="0"/>
            </w:tcBorders>
            <w:vAlign w:val="center"/>
          </w:tcPr>
          <w:p>
            <w:pPr>
              <w:spacing w:after="0"/>
              <w:rPr>
                <w:rFonts w:ascii="Arial" w:hAnsi="Arial" w:cs="Arial"/>
                <w:color w:val="222A35" w:themeColor="text2" w:themeShade="80"/>
                <w:sz w:val="20"/>
                <w:szCs w:val="20"/>
                <w:lang w:val="en-US"/>
              </w:rPr>
            </w:pPr>
            <w:r>
              <w:rPr>
                <w:rFonts w:ascii="Arial" w:hAnsi="Arial" w:cs="Arial"/>
                <w:color w:val="222A35" w:themeColor="text2" w:themeShade="80"/>
                <w:sz w:val="20"/>
                <w:szCs w:val="20"/>
              </w:rPr>
              <w:t>IAIN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2268" w:type="dxa"/>
            <w:vMerge w:val="continue"/>
          </w:tcPr>
          <w:p>
            <w:pPr>
              <w:pStyle w:val="6"/>
              <w:rPr>
                <w:rFonts w:ascii="Arial" w:hAnsi="Arial" w:cs="Arial"/>
                <w:color w:val="222A35" w:themeColor="text2" w:themeShade="80"/>
                <w:lang w:val="sv-SE"/>
              </w:rPr>
            </w:pPr>
          </w:p>
        </w:tc>
        <w:tc>
          <w:tcPr>
            <w:tcW w:w="7088" w:type="dxa"/>
            <w:vMerge w:val="restart"/>
            <w:tcBorders>
              <w:right w:val="single" w:color="auto" w:sz="4" w:space="0"/>
            </w:tcBorders>
            <w:vAlign w:val="center"/>
          </w:tcPr>
          <w:p>
            <w:pPr>
              <w:pStyle w:val="6"/>
              <w:jc w:val="center"/>
              <w:rPr>
                <w:rFonts w:ascii="Arial" w:hAnsi="Arial" w:cs="Arial"/>
                <w:b/>
                <w:color w:val="222A35" w:themeColor="text2" w:themeShade="80"/>
              </w:rPr>
            </w:pPr>
            <w:r>
              <w:rPr>
                <w:rFonts w:ascii="Arial" w:hAnsi="Arial" w:cs="Arial"/>
                <w:b/>
                <w:color w:val="222A35" w:themeColor="text2" w:themeShade="80"/>
              </w:rPr>
              <w:t>RENCANA PEMBELAJARAN SEMESTER (RPS)</w:t>
            </w:r>
          </w:p>
          <w:p>
            <w:pPr>
              <w:pStyle w:val="6"/>
              <w:jc w:val="center"/>
              <w:rPr>
                <w:rFonts w:ascii="Arial" w:hAnsi="Arial" w:cs="Arial"/>
                <w:b/>
                <w:color w:val="222A35" w:themeColor="text2" w:themeShade="80"/>
                <w:lang w:val="en-US"/>
              </w:rPr>
            </w:pPr>
            <w:r>
              <w:rPr>
                <w:rFonts w:ascii="Arial" w:hAnsi="Arial" w:cs="Arial"/>
                <w:b/>
                <w:color w:val="222A35" w:themeColor="text2" w:themeShade="80"/>
              </w:rPr>
              <w:t xml:space="preserve">FAKULTAS TARBIYAH DAN </w:t>
            </w:r>
            <w:r>
              <w:rPr>
                <w:rFonts w:ascii="Arial" w:hAnsi="Arial" w:cs="Arial"/>
                <w:b/>
                <w:color w:val="222A35" w:themeColor="text2" w:themeShade="80"/>
                <w:lang w:val="en-US"/>
              </w:rPr>
              <w:t>TADRIS</w:t>
            </w:r>
          </w:p>
          <w:p>
            <w:pPr>
              <w:pStyle w:val="6"/>
              <w:jc w:val="center"/>
              <w:rPr>
                <w:rFonts w:ascii="Arial" w:hAnsi="Arial" w:cs="Arial"/>
                <w:b/>
                <w:color w:val="222A35" w:themeColor="text2" w:themeShade="80"/>
                <w:lang w:val="en-US"/>
              </w:rPr>
            </w:pPr>
            <w:r>
              <w:rPr>
                <w:rFonts w:ascii="Arial" w:hAnsi="Arial" w:cs="Arial"/>
                <w:b/>
                <w:color w:val="222A35" w:themeColor="text2" w:themeShade="80"/>
              </w:rPr>
              <w:t>INSTITUT AGAMA ISLAM NEGERI</w:t>
            </w:r>
            <w:r>
              <w:rPr>
                <w:rFonts w:ascii="Arial" w:hAnsi="Arial" w:cs="Arial"/>
                <w:b/>
                <w:color w:val="222A35" w:themeColor="text2" w:themeShade="80"/>
                <w:lang w:val="en-US"/>
              </w:rPr>
              <w:t xml:space="preserve"> BENGKULU</w:t>
            </w:r>
          </w:p>
          <w:p>
            <w:pPr>
              <w:pStyle w:val="6"/>
              <w:jc w:val="center"/>
              <w:rPr>
                <w:rFonts w:ascii="Arial" w:hAnsi="Arial" w:cs="Arial"/>
                <w:color w:val="222A35" w:themeColor="text2" w:themeShade="80"/>
                <w:sz w:val="18"/>
                <w:szCs w:val="18"/>
                <w:lang w:val="en-US"/>
              </w:rPr>
            </w:pPr>
            <w:r>
              <w:rPr>
                <w:rFonts w:ascii="Arial" w:hAnsi="Arial" w:cs="Arial"/>
                <w:color w:val="222A35" w:themeColor="text2" w:themeShade="80"/>
                <w:sz w:val="18"/>
                <w:szCs w:val="18"/>
              </w:rPr>
              <w:t xml:space="preserve">Alamat: Jl. </w:t>
            </w:r>
            <w:r>
              <w:rPr>
                <w:rFonts w:ascii="Arial" w:hAnsi="Arial" w:cs="Arial"/>
                <w:color w:val="222A35" w:themeColor="text2" w:themeShade="80"/>
                <w:sz w:val="18"/>
                <w:szCs w:val="18"/>
                <w:lang w:val="en-US"/>
              </w:rPr>
              <w:t>Raden Fatah Pagar Dewa</w:t>
            </w:r>
            <w:r>
              <w:rPr>
                <w:rFonts w:ascii="Arial" w:hAnsi="Arial" w:cs="Arial"/>
                <w:color w:val="222A35" w:themeColor="text2" w:themeShade="80"/>
                <w:sz w:val="18"/>
                <w:szCs w:val="18"/>
              </w:rPr>
              <w:t>, Telp. (0</w:t>
            </w:r>
            <w:r>
              <w:rPr>
                <w:rFonts w:ascii="Arial" w:hAnsi="Arial" w:cs="Arial"/>
                <w:color w:val="222A35" w:themeColor="text2" w:themeShade="80"/>
                <w:sz w:val="18"/>
                <w:szCs w:val="18"/>
                <w:lang w:val="en-US"/>
              </w:rPr>
              <w:t>736</w:t>
            </w:r>
            <w:r>
              <w:rPr>
                <w:rFonts w:ascii="Arial" w:hAnsi="Arial" w:cs="Arial"/>
                <w:color w:val="222A35" w:themeColor="text2" w:themeShade="80"/>
                <w:sz w:val="18"/>
                <w:szCs w:val="18"/>
              </w:rPr>
              <w:t xml:space="preserve">) </w:t>
            </w:r>
            <w:r>
              <w:rPr>
                <w:rFonts w:ascii="Arial" w:hAnsi="Arial" w:cs="Arial"/>
                <w:color w:val="222A35" w:themeColor="text2" w:themeShade="80"/>
                <w:sz w:val="18"/>
                <w:szCs w:val="18"/>
                <w:lang w:val="en-US"/>
              </w:rPr>
              <w:t>51278</w:t>
            </w:r>
            <w:r>
              <w:rPr>
                <w:rFonts w:ascii="Arial" w:hAnsi="Arial" w:cs="Arial"/>
                <w:color w:val="222A35" w:themeColor="text2" w:themeShade="80"/>
                <w:sz w:val="18"/>
                <w:szCs w:val="18"/>
              </w:rPr>
              <w:t xml:space="preserve"> </w:t>
            </w:r>
            <w:r>
              <w:rPr>
                <w:rFonts w:ascii="Arial" w:hAnsi="Arial" w:cs="Arial"/>
                <w:color w:val="222A35" w:themeColor="text2" w:themeShade="80"/>
                <w:sz w:val="18"/>
                <w:szCs w:val="18"/>
                <w:lang w:val="en-US"/>
              </w:rPr>
              <w:t>Bengkulu</w:t>
            </w:r>
          </w:p>
        </w:tc>
        <w:tc>
          <w:tcPr>
            <w:tcW w:w="1701" w:type="dxa"/>
            <w:tcBorders>
              <w:top w:val="single" w:color="auto" w:sz="4" w:space="0"/>
              <w:left w:val="single" w:color="auto" w:sz="4" w:space="0"/>
              <w:bottom w:val="single" w:color="auto" w:sz="4" w:space="0"/>
              <w:right w:val="nil"/>
            </w:tcBorders>
            <w:vAlign w:val="center"/>
          </w:tcPr>
          <w:p>
            <w:pPr>
              <w:spacing w:after="0"/>
              <w:rPr>
                <w:rFonts w:ascii="Arial" w:hAnsi="Arial" w:cs="Arial"/>
                <w:color w:val="222A35" w:themeColor="text2" w:themeShade="80"/>
                <w:sz w:val="20"/>
                <w:szCs w:val="20"/>
                <w:lang w:val="sv-SE"/>
              </w:rPr>
            </w:pPr>
            <w:r>
              <w:rPr>
                <w:rFonts w:ascii="Arial" w:hAnsi="Arial" w:cs="Arial"/>
                <w:color w:val="222A35" w:themeColor="text2" w:themeShade="80"/>
                <w:sz w:val="20"/>
                <w:szCs w:val="20"/>
                <w:lang w:val="sv-SE"/>
              </w:rPr>
              <w:t>Tanggal Terbit</w:t>
            </w:r>
          </w:p>
        </w:tc>
        <w:tc>
          <w:tcPr>
            <w:tcW w:w="283" w:type="dxa"/>
            <w:tcBorders>
              <w:top w:val="single" w:color="auto" w:sz="4" w:space="0"/>
              <w:left w:val="nil"/>
              <w:bottom w:val="single" w:color="auto" w:sz="4" w:space="0"/>
              <w:right w:val="nil"/>
            </w:tcBorders>
            <w:vAlign w:val="center"/>
          </w:tcPr>
          <w:p>
            <w:pPr>
              <w:pStyle w:val="6"/>
              <w:ind w:left="-3" w:firstLine="3"/>
              <w:jc w:val="center"/>
              <w:rPr>
                <w:rFonts w:ascii="Arial" w:hAnsi="Arial" w:cs="Arial"/>
                <w:color w:val="222A35" w:themeColor="text2" w:themeShade="80"/>
                <w:sz w:val="20"/>
                <w:szCs w:val="20"/>
                <w:lang w:val="sv-SE"/>
              </w:rPr>
            </w:pPr>
            <w:r>
              <w:rPr>
                <w:rFonts w:ascii="Arial" w:hAnsi="Arial" w:cs="Arial"/>
                <w:color w:val="222A35" w:themeColor="text2" w:themeShade="80"/>
                <w:sz w:val="20"/>
                <w:szCs w:val="20"/>
                <w:lang w:val="sv-SE"/>
              </w:rPr>
              <w:t>:</w:t>
            </w:r>
          </w:p>
        </w:tc>
        <w:tc>
          <w:tcPr>
            <w:tcW w:w="2552" w:type="dxa"/>
            <w:tcBorders>
              <w:top w:val="single" w:color="auto" w:sz="4" w:space="0"/>
              <w:left w:val="nil"/>
              <w:bottom w:val="single" w:color="auto" w:sz="4" w:space="0"/>
              <w:right w:val="single" w:color="auto" w:sz="4" w:space="0"/>
            </w:tcBorders>
            <w:vAlign w:val="center"/>
          </w:tcPr>
          <w:p>
            <w:pPr>
              <w:spacing w:after="0"/>
              <w:rPr>
                <w:rFonts w:hint="default" w:ascii="Arial" w:hAnsi="Arial" w:cs="Arial"/>
                <w:color w:val="222A35" w:themeColor="text2" w:themeShade="80"/>
                <w:sz w:val="20"/>
                <w:szCs w:val="20"/>
                <w:lang w:val="id-ID"/>
              </w:rPr>
            </w:pPr>
            <w:r>
              <w:rPr>
                <w:rFonts w:ascii="Arial" w:hAnsi="Arial" w:cs="Arial"/>
                <w:color w:val="222A35" w:themeColor="text2" w:themeShade="80"/>
                <w:sz w:val="20"/>
                <w:szCs w:val="20"/>
                <w:lang w:val="en-US"/>
              </w:rPr>
              <w:t>2 Maret, 20</w:t>
            </w:r>
            <w:r>
              <w:rPr>
                <w:rFonts w:hint="default" w:ascii="Arial" w:hAnsi="Arial" w:cs="Arial"/>
                <w:color w:val="222A35" w:themeColor="text2" w:themeShade="80"/>
                <w:sz w:val="20"/>
                <w:szCs w:val="20"/>
                <w:lang w:val="id-ID"/>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2268" w:type="dxa"/>
            <w:vMerge w:val="continue"/>
          </w:tcPr>
          <w:p>
            <w:pPr>
              <w:pStyle w:val="6"/>
              <w:rPr>
                <w:rFonts w:ascii="Arial" w:hAnsi="Arial" w:cs="Arial"/>
                <w:color w:val="222A35" w:themeColor="text2" w:themeShade="80"/>
                <w:lang w:val="sv-SE"/>
              </w:rPr>
            </w:pPr>
          </w:p>
        </w:tc>
        <w:tc>
          <w:tcPr>
            <w:tcW w:w="7088" w:type="dxa"/>
            <w:vMerge w:val="continue"/>
            <w:tcBorders>
              <w:right w:val="single" w:color="auto" w:sz="4" w:space="0"/>
            </w:tcBorders>
            <w:vAlign w:val="center"/>
          </w:tcPr>
          <w:p>
            <w:pPr>
              <w:pStyle w:val="6"/>
              <w:jc w:val="center"/>
              <w:rPr>
                <w:rFonts w:ascii="Arial" w:hAnsi="Arial" w:cs="Arial"/>
                <w:b/>
                <w:color w:val="222A35" w:themeColor="text2" w:themeShade="80"/>
                <w:sz w:val="26"/>
                <w:szCs w:val="26"/>
              </w:rPr>
            </w:pPr>
          </w:p>
        </w:tc>
        <w:tc>
          <w:tcPr>
            <w:tcW w:w="1701" w:type="dxa"/>
            <w:tcBorders>
              <w:top w:val="single" w:color="auto" w:sz="4" w:space="0"/>
              <w:left w:val="single" w:color="auto" w:sz="4" w:space="0"/>
              <w:bottom w:val="single" w:color="auto" w:sz="4" w:space="0"/>
              <w:right w:val="nil"/>
            </w:tcBorders>
            <w:vAlign w:val="center"/>
          </w:tcPr>
          <w:p>
            <w:pPr>
              <w:spacing w:after="0"/>
              <w:rPr>
                <w:rFonts w:ascii="Arial" w:hAnsi="Arial" w:cs="Arial"/>
                <w:color w:val="222A35" w:themeColor="text2" w:themeShade="80"/>
                <w:sz w:val="20"/>
                <w:szCs w:val="20"/>
              </w:rPr>
            </w:pPr>
            <w:r>
              <w:rPr>
                <w:rFonts w:ascii="Arial" w:hAnsi="Arial" w:cs="Arial"/>
                <w:color w:val="222A35" w:themeColor="text2" w:themeShade="80"/>
                <w:sz w:val="20"/>
                <w:szCs w:val="20"/>
              </w:rPr>
              <w:t>No. Revisi</w:t>
            </w:r>
          </w:p>
        </w:tc>
        <w:tc>
          <w:tcPr>
            <w:tcW w:w="283" w:type="dxa"/>
            <w:tcBorders>
              <w:top w:val="single" w:color="auto" w:sz="4" w:space="0"/>
              <w:left w:val="nil"/>
              <w:bottom w:val="single" w:color="auto" w:sz="4" w:space="0"/>
              <w:right w:val="nil"/>
            </w:tcBorders>
            <w:vAlign w:val="center"/>
          </w:tcPr>
          <w:p>
            <w:pPr>
              <w:pStyle w:val="6"/>
              <w:ind w:left="-3" w:firstLine="3"/>
              <w:jc w:val="center"/>
              <w:rPr>
                <w:rFonts w:ascii="Arial" w:hAnsi="Arial" w:cs="Arial"/>
                <w:color w:val="222A35" w:themeColor="text2" w:themeShade="80"/>
                <w:sz w:val="20"/>
                <w:szCs w:val="20"/>
              </w:rPr>
            </w:pPr>
            <w:r>
              <w:rPr>
                <w:rFonts w:ascii="Arial" w:hAnsi="Arial" w:cs="Arial"/>
                <w:color w:val="222A35" w:themeColor="text2" w:themeShade="80"/>
                <w:sz w:val="20"/>
                <w:szCs w:val="20"/>
              </w:rPr>
              <w:t>:</w:t>
            </w:r>
          </w:p>
        </w:tc>
        <w:tc>
          <w:tcPr>
            <w:tcW w:w="2552" w:type="dxa"/>
            <w:tcBorders>
              <w:top w:val="single" w:color="auto" w:sz="4" w:space="0"/>
              <w:left w:val="nil"/>
              <w:bottom w:val="single" w:color="auto" w:sz="4" w:space="0"/>
              <w:right w:val="single" w:color="auto" w:sz="4" w:space="0"/>
            </w:tcBorders>
            <w:vAlign w:val="center"/>
          </w:tcPr>
          <w:p>
            <w:pPr>
              <w:spacing w:after="0" w:line="360" w:lineRule="auto"/>
              <w:rPr>
                <w:rFonts w:ascii="Arial" w:hAnsi="Arial" w:cs="Arial"/>
                <w:color w:val="222A35" w:themeColor="text2" w:themeShade="80"/>
                <w:sz w:val="20"/>
                <w:szCs w:val="20"/>
              </w:rPr>
            </w:pPr>
            <w:r>
              <w:rPr>
                <w:rFonts w:ascii="Arial" w:hAnsi="Arial" w:cs="Arial"/>
                <w:color w:val="222A35" w:themeColor="text2" w:themeShade="80"/>
                <w:sz w:val="20"/>
                <w:szCs w:val="20"/>
              </w:rPr>
              <w:t>00</w:t>
            </w:r>
          </w:p>
        </w:tc>
      </w:tr>
    </w:tbl>
    <w:p>
      <w:pPr>
        <w:spacing w:after="0" w:line="240" w:lineRule="auto"/>
        <w:rPr>
          <w:rFonts w:ascii="Cambria" w:hAnsi="Cambria"/>
          <w:color w:val="222A35" w:themeColor="text2" w:themeShade="80"/>
          <w:sz w:val="24"/>
          <w:szCs w:val="24"/>
        </w:rPr>
      </w:pPr>
    </w:p>
    <w:tbl>
      <w:tblPr>
        <w:tblStyle w:val="9"/>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385"/>
        <w:gridCol w:w="1584"/>
        <w:gridCol w:w="741"/>
        <w:gridCol w:w="2325"/>
        <w:gridCol w:w="620"/>
        <w:gridCol w:w="170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spacing w:after="0" w:line="240" w:lineRule="auto"/>
              <w:rPr>
                <w:rFonts w:ascii="Arial" w:hAnsi="Arial" w:cs="Arial"/>
                <w:color w:val="222A35" w:themeColor="text2" w:themeShade="80"/>
              </w:rPr>
            </w:pPr>
            <w:r>
              <w:rPr>
                <w:rFonts w:ascii="Arial" w:hAnsi="Arial" w:cs="Arial"/>
                <w:color w:val="222A35" w:themeColor="text2" w:themeShade="80"/>
              </w:rPr>
              <w:t>Mata Kuliah</w:t>
            </w:r>
          </w:p>
        </w:tc>
        <w:tc>
          <w:tcPr>
            <w:tcW w:w="2385" w:type="dxa"/>
          </w:tcPr>
          <w:p>
            <w:pPr>
              <w:spacing w:after="0" w:line="240" w:lineRule="auto"/>
              <w:jc w:val="center"/>
              <w:rPr>
                <w:rFonts w:ascii="Arial" w:hAnsi="Arial" w:cs="Arial"/>
                <w:color w:val="222A35" w:themeColor="text2" w:themeShade="80"/>
              </w:rPr>
            </w:pPr>
            <w:r>
              <w:rPr>
                <w:rFonts w:ascii="Arial" w:hAnsi="Arial" w:cs="Arial"/>
                <w:color w:val="222A35" w:themeColor="text2" w:themeShade="80"/>
              </w:rPr>
              <w:t>Kode</w:t>
            </w:r>
          </w:p>
        </w:tc>
        <w:tc>
          <w:tcPr>
            <w:tcW w:w="2325" w:type="dxa"/>
            <w:gridSpan w:val="2"/>
          </w:tcPr>
          <w:p>
            <w:pPr>
              <w:spacing w:after="0" w:line="240" w:lineRule="auto"/>
              <w:jc w:val="center"/>
              <w:rPr>
                <w:rFonts w:ascii="Arial" w:hAnsi="Arial" w:cs="Arial"/>
                <w:color w:val="222A35" w:themeColor="text2" w:themeShade="80"/>
              </w:rPr>
            </w:pPr>
            <w:r>
              <w:rPr>
                <w:rFonts w:ascii="Arial" w:hAnsi="Arial" w:cs="Arial"/>
                <w:color w:val="222A35" w:themeColor="text2" w:themeShade="80"/>
              </w:rPr>
              <w:t>Rumpun MK</w:t>
            </w:r>
          </w:p>
        </w:tc>
        <w:tc>
          <w:tcPr>
            <w:tcW w:w="2325" w:type="dxa"/>
          </w:tcPr>
          <w:p>
            <w:pPr>
              <w:spacing w:after="0" w:line="240" w:lineRule="auto"/>
              <w:jc w:val="center"/>
              <w:rPr>
                <w:rFonts w:ascii="Arial" w:hAnsi="Arial" w:cs="Arial"/>
                <w:color w:val="222A35" w:themeColor="text2" w:themeShade="80"/>
              </w:rPr>
            </w:pPr>
            <w:r>
              <w:rPr>
                <w:rFonts w:ascii="Arial" w:hAnsi="Arial" w:cs="Arial"/>
                <w:color w:val="222A35" w:themeColor="text2" w:themeShade="80"/>
              </w:rPr>
              <w:t>Bobot SKS</w:t>
            </w:r>
          </w:p>
        </w:tc>
        <w:tc>
          <w:tcPr>
            <w:tcW w:w="2325" w:type="dxa"/>
            <w:gridSpan w:val="2"/>
          </w:tcPr>
          <w:p>
            <w:pPr>
              <w:spacing w:after="0" w:line="240" w:lineRule="auto"/>
              <w:jc w:val="center"/>
              <w:rPr>
                <w:rFonts w:ascii="Arial" w:hAnsi="Arial" w:cs="Arial"/>
                <w:color w:val="222A35" w:themeColor="text2" w:themeShade="80"/>
              </w:rPr>
            </w:pPr>
            <w:r>
              <w:rPr>
                <w:rFonts w:ascii="Arial" w:hAnsi="Arial" w:cs="Arial"/>
                <w:color w:val="222A35" w:themeColor="text2" w:themeShade="80"/>
              </w:rPr>
              <w:t>Jurusan / Semester</w:t>
            </w:r>
          </w:p>
        </w:tc>
        <w:tc>
          <w:tcPr>
            <w:tcW w:w="2325" w:type="dxa"/>
          </w:tcPr>
          <w:p>
            <w:pPr>
              <w:spacing w:after="0" w:line="240" w:lineRule="auto"/>
              <w:jc w:val="center"/>
              <w:rPr>
                <w:rFonts w:ascii="Arial" w:hAnsi="Arial" w:cs="Arial"/>
                <w:color w:val="222A35" w:themeColor="text2" w:themeShade="80"/>
              </w:rPr>
            </w:pPr>
            <w:r>
              <w:rPr>
                <w:rFonts w:ascii="Arial" w:hAnsi="Arial" w:cs="Arial"/>
                <w:color w:val="222A35" w:themeColor="text2" w:themeShade="80"/>
              </w:rPr>
              <w:t>Tgl Penyusunan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spacing w:after="0" w:line="240" w:lineRule="auto"/>
              <w:rPr>
                <w:rFonts w:ascii="Arial" w:hAnsi="Arial" w:cs="Arial"/>
                <w:color w:val="222A35" w:themeColor="text2" w:themeShade="80"/>
              </w:rPr>
            </w:pPr>
            <w:r>
              <w:rPr>
                <w:rFonts w:ascii="Arial" w:hAnsi="Arial" w:cs="Arial"/>
                <w:color w:val="222A35" w:themeColor="text2" w:themeShade="80"/>
              </w:rPr>
              <w:t>Pengembangan Profesi Guru</w:t>
            </w:r>
          </w:p>
        </w:tc>
        <w:tc>
          <w:tcPr>
            <w:tcW w:w="2385" w:type="dxa"/>
          </w:tcPr>
          <w:p>
            <w:pPr>
              <w:spacing w:after="0" w:line="240" w:lineRule="auto"/>
              <w:jc w:val="center"/>
              <w:rPr>
                <w:rFonts w:ascii="Arial" w:hAnsi="Arial" w:cs="Arial"/>
                <w:color w:val="222A35" w:themeColor="text2" w:themeShade="80"/>
              </w:rPr>
            </w:pPr>
          </w:p>
        </w:tc>
        <w:tc>
          <w:tcPr>
            <w:tcW w:w="2325" w:type="dxa"/>
            <w:gridSpan w:val="2"/>
          </w:tcPr>
          <w:p>
            <w:pPr>
              <w:spacing w:after="0" w:line="240" w:lineRule="auto"/>
              <w:jc w:val="center"/>
              <w:rPr>
                <w:rFonts w:ascii="Arial" w:hAnsi="Arial" w:cs="Arial"/>
                <w:color w:val="222A35" w:themeColor="text2" w:themeShade="80"/>
              </w:rPr>
            </w:pPr>
            <w:r>
              <w:rPr>
                <w:rFonts w:ascii="Arial" w:hAnsi="Arial" w:cs="Arial"/>
                <w:color w:val="222A35" w:themeColor="text2" w:themeShade="80"/>
              </w:rPr>
              <w:t xml:space="preserve">Kepribadian Guru </w:t>
            </w:r>
          </w:p>
        </w:tc>
        <w:tc>
          <w:tcPr>
            <w:tcW w:w="2325" w:type="dxa"/>
          </w:tcPr>
          <w:p>
            <w:pPr>
              <w:spacing w:after="0" w:line="240" w:lineRule="auto"/>
              <w:jc w:val="center"/>
              <w:rPr>
                <w:rFonts w:ascii="Arial" w:hAnsi="Arial" w:cs="Arial"/>
                <w:color w:val="222A35" w:themeColor="text2" w:themeShade="80"/>
              </w:rPr>
            </w:pPr>
            <w:r>
              <w:rPr>
                <w:rFonts w:ascii="Arial" w:hAnsi="Arial" w:cs="Arial"/>
                <w:color w:val="222A35" w:themeColor="text2" w:themeShade="80"/>
              </w:rPr>
              <w:t>2</w:t>
            </w:r>
          </w:p>
        </w:tc>
        <w:tc>
          <w:tcPr>
            <w:tcW w:w="2325" w:type="dxa"/>
            <w:gridSpan w:val="2"/>
          </w:tcPr>
          <w:p>
            <w:pPr>
              <w:spacing w:after="0" w:line="240" w:lineRule="auto"/>
              <w:jc w:val="center"/>
              <w:rPr>
                <w:rFonts w:ascii="Arial" w:hAnsi="Arial" w:cs="Arial"/>
                <w:color w:val="222A35" w:themeColor="text2" w:themeShade="80"/>
                <w:lang w:val="en-US"/>
              </w:rPr>
            </w:pPr>
            <w:r>
              <w:rPr>
                <w:rFonts w:ascii="Arial" w:hAnsi="Arial" w:cs="Arial"/>
                <w:color w:val="222A35" w:themeColor="text2" w:themeShade="80"/>
              </w:rPr>
              <w:t>PAI / G</w:t>
            </w:r>
            <w:r>
              <w:rPr>
                <w:rFonts w:ascii="Arial" w:hAnsi="Arial" w:cs="Arial"/>
                <w:color w:val="222A35" w:themeColor="text2" w:themeShade="80"/>
                <w:lang w:val="en-US"/>
              </w:rPr>
              <w:t>enap(6)</w:t>
            </w:r>
          </w:p>
        </w:tc>
        <w:tc>
          <w:tcPr>
            <w:tcW w:w="2325" w:type="dxa"/>
          </w:tcPr>
          <w:p>
            <w:pPr>
              <w:spacing w:after="0" w:line="240" w:lineRule="auto"/>
              <w:jc w:val="center"/>
              <w:rPr>
                <w:rFonts w:ascii="Arial" w:hAnsi="Arial" w:cs="Arial"/>
                <w:color w:val="222A35" w:themeColor="text2" w:themeShade="80"/>
                <w:lang w:val="en-US"/>
              </w:rPr>
            </w:pPr>
            <w:r>
              <w:rPr>
                <w:rFonts w:ascii="Arial" w:hAnsi="Arial" w:cs="Arial"/>
                <w:color w:val="222A35" w:themeColor="text2" w:themeShade="80"/>
              </w:rPr>
              <w:t xml:space="preserve">22 </w:t>
            </w:r>
            <w:r>
              <w:rPr>
                <w:rFonts w:ascii="Arial" w:hAnsi="Arial" w:cs="Arial"/>
                <w:color w:val="222A35" w:themeColor="text2" w:themeShade="80"/>
                <w:lang w:val="en-US"/>
              </w:rPr>
              <w:t>Pebruari</w:t>
            </w:r>
            <w:r>
              <w:rPr>
                <w:rFonts w:ascii="Arial" w:hAnsi="Arial" w:cs="Arial"/>
                <w:color w:val="222A35" w:themeColor="text2" w:themeShade="80"/>
              </w:rPr>
              <w:t xml:space="preserve"> 20</w:t>
            </w:r>
            <w:r>
              <w:rPr>
                <w:rFonts w:ascii="Arial" w:hAnsi="Arial" w:cs="Arial"/>
                <w:color w:val="222A35" w:themeColor="text2" w:themeShade="80"/>
                <w:lang w:val="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Merge w:val="restart"/>
            <w:vAlign w:val="center"/>
          </w:tcPr>
          <w:p>
            <w:pPr>
              <w:spacing w:after="0" w:line="240" w:lineRule="auto"/>
              <w:rPr>
                <w:rFonts w:ascii="Arial" w:hAnsi="Arial" w:cs="Arial"/>
                <w:color w:val="222A35" w:themeColor="text2" w:themeShade="80"/>
              </w:rPr>
            </w:pPr>
            <w:r>
              <w:rPr>
                <w:rFonts w:ascii="Arial" w:hAnsi="Arial" w:cs="Arial"/>
                <w:color w:val="222A35" w:themeColor="text2" w:themeShade="80"/>
              </w:rPr>
              <w:t>OTORISASI</w:t>
            </w:r>
          </w:p>
        </w:tc>
        <w:tc>
          <w:tcPr>
            <w:tcW w:w="3969" w:type="dxa"/>
            <w:gridSpan w:val="2"/>
          </w:tcPr>
          <w:p>
            <w:pPr>
              <w:spacing w:after="0" w:line="240" w:lineRule="auto"/>
              <w:jc w:val="center"/>
              <w:rPr>
                <w:rFonts w:ascii="Arial" w:hAnsi="Arial" w:cs="Arial"/>
                <w:color w:val="222A35" w:themeColor="text2" w:themeShade="80"/>
              </w:rPr>
            </w:pPr>
            <w:r>
              <w:rPr>
                <w:rFonts w:ascii="Arial" w:hAnsi="Arial" w:cs="Arial"/>
                <w:color w:val="222A35" w:themeColor="text2" w:themeShade="80"/>
              </w:rPr>
              <w:t>Dosen Pengembang RPS</w:t>
            </w:r>
          </w:p>
        </w:tc>
        <w:tc>
          <w:tcPr>
            <w:tcW w:w="3686" w:type="dxa"/>
            <w:gridSpan w:val="3"/>
          </w:tcPr>
          <w:p>
            <w:pPr>
              <w:spacing w:after="0" w:line="240" w:lineRule="auto"/>
              <w:jc w:val="center"/>
              <w:rPr>
                <w:rFonts w:ascii="Arial" w:hAnsi="Arial" w:cs="Arial"/>
                <w:color w:val="222A35" w:themeColor="text2" w:themeShade="80"/>
              </w:rPr>
            </w:pPr>
            <w:r>
              <w:rPr>
                <w:rFonts w:ascii="Arial" w:hAnsi="Arial" w:cs="Arial"/>
                <w:color w:val="222A35" w:themeColor="text2" w:themeShade="80"/>
              </w:rPr>
              <w:t>Koordinator RMK</w:t>
            </w:r>
          </w:p>
        </w:tc>
        <w:tc>
          <w:tcPr>
            <w:tcW w:w="4030" w:type="dxa"/>
            <w:gridSpan w:val="2"/>
          </w:tcPr>
          <w:p>
            <w:pPr>
              <w:spacing w:after="0" w:line="240" w:lineRule="auto"/>
              <w:jc w:val="center"/>
              <w:rPr>
                <w:rFonts w:ascii="Arial" w:hAnsi="Arial" w:cs="Arial"/>
                <w:color w:val="222A35" w:themeColor="text2" w:themeShade="80"/>
              </w:rPr>
            </w:pPr>
            <w:r>
              <w:rPr>
                <w:rFonts w:ascii="Arial" w:hAnsi="Arial" w:cs="Arial"/>
                <w:color w:val="222A35" w:themeColor="text2" w:themeShade="80"/>
              </w:rPr>
              <w:t>Ketua Prodi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Merge w:val="continue"/>
          </w:tcPr>
          <w:p>
            <w:pPr>
              <w:spacing w:after="0" w:line="240" w:lineRule="auto"/>
              <w:rPr>
                <w:rFonts w:ascii="Arial" w:hAnsi="Arial" w:cs="Arial"/>
                <w:color w:val="222A35" w:themeColor="text2" w:themeShade="80"/>
              </w:rPr>
            </w:pPr>
          </w:p>
        </w:tc>
        <w:tc>
          <w:tcPr>
            <w:tcW w:w="3969" w:type="dxa"/>
            <w:gridSpan w:val="2"/>
          </w:tcPr>
          <w:p>
            <w:pPr>
              <w:spacing w:after="0" w:line="240" w:lineRule="auto"/>
              <w:jc w:val="center"/>
              <w:rPr>
                <w:rFonts w:ascii="Arial" w:hAnsi="Arial" w:cs="Arial"/>
                <w:color w:val="222A35" w:themeColor="text2" w:themeShade="80"/>
              </w:rPr>
            </w:pPr>
          </w:p>
          <w:p>
            <w:pPr>
              <w:spacing w:after="0" w:line="240" w:lineRule="auto"/>
              <w:jc w:val="center"/>
              <w:rPr>
                <w:rFonts w:ascii="Arial" w:hAnsi="Arial" w:cs="Arial"/>
                <w:color w:val="222A35" w:themeColor="text2" w:themeShade="80"/>
              </w:rPr>
            </w:pPr>
          </w:p>
          <w:p>
            <w:pPr>
              <w:spacing w:after="0" w:line="240" w:lineRule="auto"/>
              <w:jc w:val="center"/>
              <w:rPr>
                <w:rFonts w:ascii="Arial" w:hAnsi="Arial" w:cs="Arial"/>
                <w:color w:val="222A35" w:themeColor="text2" w:themeShade="80"/>
              </w:rPr>
            </w:pPr>
          </w:p>
          <w:p>
            <w:pPr>
              <w:spacing w:after="0" w:line="240" w:lineRule="auto"/>
              <w:jc w:val="center"/>
              <w:rPr>
                <w:rFonts w:ascii="Arial" w:hAnsi="Arial" w:cs="Arial"/>
                <w:color w:val="222A35" w:themeColor="text2" w:themeShade="80"/>
              </w:rPr>
            </w:pPr>
            <w:r>
              <w:rPr>
                <w:rFonts w:ascii="Arial" w:hAnsi="Arial" w:cs="Arial"/>
                <w:color w:val="222A35" w:themeColor="text2" w:themeShade="80"/>
                <w:lang w:val="en-US"/>
              </w:rPr>
              <w:t>Dr. Mindani, M.Ag</w:t>
            </w:r>
            <w:r>
              <w:rPr>
                <w:rFonts w:ascii="Arial" w:hAnsi="Arial" w:cs="Arial"/>
                <w:color w:val="222A35" w:themeColor="text2" w:themeShade="80"/>
              </w:rPr>
              <w:t>.</w:t>
            </w:r>
          </w:p>
        </w:tc>
        <w:tc>
          <w:tcPr>
            <w:tcW w:w="3686" w:type="dxa"/>
            <w:gridSpan w:val="3"/>
          </w:tcPr>
          <w:p>
            <w:pPr>
              <w:spacing w:after="0" w:line="240" w:lineRule="auto"/>
              <w:jc w:val="center"/>
              <w:rPr>
                <w:rFonts w:ascii="Arial" w:hAnsi="Arial" w:cs="Arial"/>
                <w:color w:val="222A35" w:themeColor="text2" w:themeShade="80"/>
              </w:rPr>
            </w:pPr>
          </w:p>
          <w:p>
            <w:pPr>
              <w:spacing w:after="0" w:line="240" w:lineRule="auto"/>
              <w:jc w:val="center"/>
              <w:rPr>
                <w:rFonts w:ascii="Arial" w:hAnsi="Arial" w:cs="Arial"/>
                <w:color w:val="222A35" w:themeColor="text2" w:themeShade="80"/>
              </w:rPr>
            </w:pPr>
          </w:p>
          <w:p>
            <w:pPr>
              <w:spacing w:after="0" w:line="240" w:lineRule="auto"/>
              <w:jc w:val="center"/>
              <w:rPr>
                <w:rFonts w:ascii="Arial" w:hAnsi="Arial" w:cs="Arial"/>
                <w:color w:val="222A35" w:themeColor="text2" w:themeShade="80"/>
              </w:rPr>
            </w:pPr>
          </w:p>
          <w:p>
            <w:pPr>
              <w:spacing w:after="0" w:line="240" w:lineRule="auto"/>
              <w:jc w:val="center"/>
              <w:rPr>
                <w:rFonts w:hint="default" w:ascii="Arial" w:hAnsi="Arial" w:cs="Arial"/>
                <w:color w:val="222A35" w:themeColor="text2" w:themeShade="80"/>
                <w:lang w:val="id-ID"/>
              </w:rPr>
            </w:pPr>
            <w:r>
              <w:rPr>
                <w:rFonts w:ascii="Arial" w:hAnsi="Arial" w:cs="Arial"/>
                <w:color w:val="222A35" w:themeColor="text2" w:themeShade="80"/>
                <w:lang w:val="en-US"/>
              </w:rPr>
              <w:t xml:space="preserve">Dr. </w:t>
            </w:r>
            <w:r>
              <w:rPr>
                <w:rFonts w:hint="default" w:ascii="Arial" w:hAnsi="Arial" w:cs="Arial"/>
                <w:color w:val="222A35" w:themeColor="text2" w:themeShade="80"/>
                <w:lang w:val="id-ID"/>
              </w:rPr>
              <w:t>Musmulyadi</w:t>
            </w:r>
            <w:r>
              <w:rPr>
                <w:rFonts w:ascii="Arial" w:hAnsi="Arial" w:cs="Arial"/>
                <w:color w:val="222A35" w:themeColor="text2" w:themeShade="80"/>
                <w:lang w:val="en-US"/>
              </w:rPr>
              <w:t>, M.</w:t>
            </w:r>
            <w:r>
              <w:rPr>
                <w:rFonts w:hint="default" w:ascii="Arial" w:hAnsi="Arial" w:cs="Arial"/>
                <w:color w:val="222A35" w:themeColor="text2" w:themeShade="80"/>
                <w:lang w:val="id-ID"/>
              </w:rPr>
              <w:t>Pd</w:t>
            </w:r>
          </w:p>
        </w:tc>
        <w:tc>
          <w:tcPr>
            <w:tcW w:w="4030" w:type="dxa"/>
            <w:gridSpan w:val="2"/>
          </w:tcPr>
          <w:p>
            <w:pPr>
              <w:spacing w:after="0" w:line="240" w:lineRule="auto"/>
              <w:jc w:val="center"/>
              <w:rPr>
                <w:rFonts w:ascii="Arial" w:hAnsi="Arial" w:cs="Arial"/>
                <w:color w:val="222A35" w:themeColor="text2" w:themeShade="80"/>
              </w:rPr>
            </w:pPr>
          </w:p>
          <w:p>
            <w:pPr>
              <w:spacing w:after="0" w:line="240" w:lineRule="auto"/>
              <w:jc w:val="center"/>
              <w:rPr>
                <w:rFonts w:ascii="Arial" w:hAnsi="Arial" w:cs="Arial"/>
                <w:color w:val="222A35" w:themeColor="text2" w:themeShade="80"/>
              </w:rPr>
            </w:pPr>
          </w:p>
          <w:p>
            <w:pPr>
              <w:spacing w:after="0" w:line="240" w:lineRule="auto"/>
              <w:jc w:val="center"/>
              <w:rPr>
                <w:rFonts w:ascii="Arial" w:hAnsi="Arial" w:cs="Arial"/>
                <w:color w:val="222A35" w:themeColor="text2" w:themeShade="80"/>
              </w:rPr>
            </w:pPr>
          </w:p>
          <w:p>
            <w:pPr>
              <w:spacing w:after="0" w:line="240" w:lineRule="auto"/>
              <w:jc w:val="center"/>
              <w:rPr>
                <w:rFonts w:ascii="Arial" w:hAnsi="Arial" w:cs="Arial"/>
                <w:color w:val="222A35" w:themeColor="text2" w:themeShade="80"/>
              </w:rPr>
            </w:pPr>
            <w:r>
              <w:rPr>
                <w:rFonts w:hint="default" w:ascii="Arial" w:hAnsi="Arial" w:cs="Arial"/>
                <w:color w:val="222A35" w:themeColor="text2" w:themeShade="80"/>
                <w:lang w:val="id-ID"/>
              </w:rPr>
              <w:t>Hengki Satrio</w:t>
            </w:r>
            <w:r>
              <w:rPr>
                <w:rFonts w:ascii="Arial" w:hAnsi="Arial" w:cs="Arial"/>
                <w:color w:val="222A35" w:themeColor="text2" w:themeShade="80"/>
                <w:lang w:val="en-US"/>
              </w:rPr>
              <w:t>, M.Pd</w:t>
            </w:r>
          </w:p>
        </w:tc>
      </w:tr>
    </w:tbl>
    <w:p>
      <w:pPr>
        <w:rPr>
          <w:color w:val="222A35" w:themeColor="text2" w:themeShade="80"/>
        </w:rPr>
      </w:pPr>
    </w:p>
    <w:tbl>
      <w:tblPr>
        <w:tblStyle w:val="9"/>
        <w:tblW w:w="139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1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shd w:val="clear" w:color="auto" w:fill="A8D08D" w:themeFill="accent6" w:themeFillTint="99"/>
          </w:tcPr>
          <w:p>
            <w:pPr>
              <w:spacing w:after="0" w:line="240" w:lineRule="auto"/>
              <w:rPr>
                <w:rFonts w:ascii="Arial" w:hAnsi="Arial" w:cs="Arial"/>
                <w:color w:val="222A35" w:themeColor="text2" w:themeShade="80"/>
              </w:rPr>
            </w:pPr>
            <w:r>
              <w:rPr>
                <w:rFonts w:ascii="Arial" w:hAnsi="Arial" w:cs="Arial"/>
                <w:color w:val="222A35" w:themeColor="text2" w:themeShade="80"/>
              </w:rPr>
              <w:t>Capaian Pembelajaran (CP)</w:t>
            </w:r>
          </w:p>
        </w:tc>
        <w:tc>
          <w:tcPr>
            <w:tcW w:w="11317" w:type="dxa"/>
            <w:shd w:val="clear" w:color="auto" w:fill="A8D08D" w:themeFill="accent6" w:themeFillTint="99"/>
          </w:tcPr>
          <w:p>
            <w:pPr>
              <w:spacing w:after="0" w:line="240" w:lineRule="auto"/>
              <w:rPr>
                <w:rFonts w:ascii="Arial" w:hAnsi="Arial" w:cs="Arial"/>
                <w:color w:val="222A35" w:themeColor="text2" w:themeShade="80"/>
              </w:rPr>
            </w:pPr>
            <w:r>
              <w:rPr>
                <w:rFonts w:ascii="Arial" w:hAnsi="Arial" w:cs="Arial"/>
                <w:color w:val="222A35" w:themeColor="text2" w:themeShade="80"/>
              </w:rPr>
              <w:t>CP Prodi</w:t>
            </w:r>
            <w:r>
              <w:rPr>
                <w:rFonts w:hint="default" w:ascii="Arial" w:hAnsi="Arial" w:cs="Arial"/>
                <w:color w:val="222A35" w:themeColor="text2" w:themeShade="80"/>
                <w:lang w:val="id-ID"/>
              </w:rPr>
              <w:t xml:space="preserve">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vMerge w:val="restart"/>
          </w:tcPr>
          <w:p>
            <w:pPr>
              <w:spacing w:after="0" w:line="240" w:lineRule="auto"/>
              <w:rPr>
                <w:rFonts w:ascii="Arial" w:hAnsi="Arial" w:cs="Arial"/>
                <w:color w:val="222A35" w:themeColor="text2" w:themeShade="80"/>
              </w:rPr>
            </w:pPr>
          </w:p>
        </w:tc>
        <w:tc>
          <w:tcPr>
            <w:tcW w:w="11317" w:type="dxa"/>
            <w:shd w:val="clear" w:color="auto" w:fill="FFFFFF" w:themeFill="background1"/>
          </w:tcPr>
          <w:p>
            <w:pPr>
              <w:pStyle w:val="10"/>
              <w:numPr>
                <w:ilvl w:val="0"/>
                <w:numId w:val="1"/>
              </w:numPr>
              <w:ind w:left="357" w:hanging="357"/>
              <w:jc w:val="both"/>
              <w:rPr>
                <w:rFonts w:ascii="Arial" w:hAnsi="Arial" w:cs="Arial"/>
                <w:color w:val="222A35" w:themeColor="text2" w:themeShade="80"/>
                <w:lang w:val="id-ID"/>
              </w:rPr>
            </w:pPr>
            <w:r>
              <w:rPr>
                <w:rFonts w:ascii="Arial" w:hAnsi="Arial" w:cs="Arial"/>
                <w:color w:val="222A35" w:themeColor="text2" w:themeShade="80"/>
              </w:rPr>
              <w:t>Mampu mengembangkan, menyebarluaskan dan menerapkan keilmuan terkait dengan tadris PAI</w:t>
            </w:r>
            <w:r>
              <w:rPr>
                <w:rFonts w:ascii="Arial" w:hAnsi="Arial" w:cs="Arial"/>
                <w:color w:val="222A35" w:themeColor="text2" w:themeShade="80"/>
                <w:lang w:val="id-ID"/>
              </w:rPr>
              <w:t xml:space="preserve"> </w:t>
            </w:r>
          </w:p>
          <w:p>
            <w:pPr>
              <w:pStyle w:val="10"/>
              <w:numPr>
                <w:ilvl w:val="0"/>
                <w:numId w:val="1"/>
              </w:numPr>
              <w:ind w:left="357" w:hanging="357"/>
              <w:jc w:val="both"/>
              <w:rPr>
                <w:rFonts w:ascii="Arial" w:hAnsi="Arial" w:cs="Arial"/>
                <w:color w:val="222A35" w:themeColor="text2" w:themeShade="80"/>
                <w:lang w:val="id-ID"/>
              </w:rPr>
            </w:pPr>
            <w:r>
              <w:rPr>
                <w:rFonts w:ascii="Arial" w:hAnsi="Arial" w:cs="Arial"/>
                <w:color w:val="222A35" w:themeColor="text2" w:themeShade="80"/>
                <w:lang w:val="id-ID"/>
              </w:rPr>
              <w:t xml:space="preserve">Mampu menguasai berbagai konsep teoritis dan filosofis pendidikan umum dan islam sebagai landasan dan kerangka acuan dalam pelaksanaan pembelajaran </w:t>
            </w:r>
            <w:r>
              <w:rPr>
                <w:rFonts w:ascii="Arial" w:hAnsi="Arial" w:cs="Arial"/>
                <w:color w:val="222A35" w:themeColor="text2" w:themeShade="80"/>
              </w:rPr>
              <w:t>PAI</w:t>
            </w:r>
          </w:p>
          <w:p>
            <w:pPr>
              <w:pStyle w:val="10"/>
              <w:numPr>
                <w:ilvl w:val="0"/>
                <w:numId w:val="1"/>
              </w:numPr>
              <w:ind w:left="357" w:hanging="357"/>
              <w:jc w:val="both"/>
              <w:rPr>
                <w:rFonts w:ascii="Arial" w:hAnsi="Arial" w:cs="Arial"/>
                <w:color w:val="222A35" w:themeColor="text2" w:themeShade="80"/>
                <w:lang w:val="id-ID"/>
              </w:rPr>
            </w:pPr>
            <w:r>
              <w:rPr>
                <w:rFonts w:ascii="Arial" w:hAnsi="Arial" w:cs="Arial"/>
                <w:color w:val="222A35" w:themeColor="text2" w:themeShade="80"/>
                <w:lang w:val="id-ID"/>
              </w:rPr>
              <w:t>Memiliki kemampuan berfikir filosofis dan logis</w:t>
            </w:r>
          </w:p>
          <w:p>
            <w:pPr>
              <w:pStyle w:val="10"/>
              <w:numPr>
                <w:ilvl w:val="0"/>
                <w:numId w:val="1"/>
              </w:numPr>
              <w:ind w:left="357" w:hanging="357"/>
              <w:jc w:val="both"/>
              <w:rPr>
                <w:rFonts w:ascii="Arial" w:hAnsi="Arial" w:cs="Arial"/>
                <w:color w:val="222A35" w:themeColor="text2" w:themeShade="80"/>
                <w:lang w:val="id-ID"/>
              </w:rPr>
            </w:pPr>
            <w:r>
              <w:rPr>
                <w:rFonts w:ascii="Arial" w:hAnsi="Arial" w:cs="Arial"/>
                <w:color w:val="222A35" w:themeColor="text2" w:themeShade="80"/>
                <w:lang w:val="id-ID"/>
              </w:rPr>
              <w:t>Menguasai secara mendalam tentang prinsip-prinsip dan teori-teori pendidikan</w:t>
            </w:r>
          </w:p>
          <w:p>
            <w:pPr>
              <w:pStyle w:val="10"/>
              <w:numPr>
                <w:ilvl w:val="0"/>
                <w:numId w:val="1"/>
              </w:numPr>
              <w:ind w:left="357" w:hanging="357"/>
              <w:jc w:val="both"/>
              <w:rPr>
                <w:rFonts w:ascii="Arial" w:hAnsi="Arial" w:cs="Arial"/>
                <w:color w:val="222A35" w:themeColor="text2" w:themeShade="80"/>
                <w:lang w:val="id-ID"/>
              </w:rPr>
            </w:pPr>
            <w:r>
              <w:rPr>
                <w:rFonts w:ascii="Arial" w:hAnsi="Arial" w:cs="Arial"/>
                <w:color w:val="222A35" w:themeColor="text2" w:themeShade="80"/>
                <w:lang w:val="id-ID"/>
              </w:rPr>
              <w:t xml:space="preserve">Menguasai teori penelitian pembelajaran </w:t>
            </w:r>
            <w:r>
              <w:rPr>
                <w:rFonts w:ascii="Arial" w:hAnsi="Arial" w:cs="Arial"/>
                <w:color w:val="222A35" w:themeColor="text2" w:themeShade="80"/>
              </w:rPr>
              <w:t>PAI</w:t>
            </w:r>
            <w:r>
              <w:rPr>
                <w:rFonts w:ascii="Arial" w:hAnsi="Arial" w:cs="Arial"/>
                <w:color w:val="222A35" w:themeColor="text2" w:themeShade="80"/>
                <w:lang w:val="id-ID"/>
              </w:rPr>
              <w:t xml:space="preserve"> </w:t>
            </w:r>
          </w:p>
          <w:p>
            <w:pPr>
              <w:pStyle w:val="10"/>
              <w:numPr>
                <w:ilvl w:val="0"/>
                <w:numId w:val="1"/>
              </w:numPr>
              <w:ind w:left="357" w:hanging="357"/>
              <w:jc w:val="both"/>
              <w:rPr>
                <w:rFonts w:ascii="Arial" w:hAnsi="Arial" w:cs="Arial"/>
                <w:color w:val="222A35" w:themeColor="text2" w:themeShade="80"/>
                <w:lang w:val="id-ID"/>
              </w:rPr>
            </w:pPr>
            <w:r>
              <w:rPr>
                <w:rFonts w:ascii="Arial" w:hAnsi="Arial" w:cs="Arial"/>
                <w:color w:val="222A35" w:themeColor="text2" w:themeShade="80"/>
                <w:lang w:val="id-ID"/>
              </w:rPr>
              <w:t xml:space="preserve">Menguasai teori belajar dan prinsip-prinsip pembelajaran yang mendidik dalam pelaksanaan pembelajaran </w:t>
            </w:r>
            <w:r>
              <w:rPr>
                <w:rFonts w:ascii="Arial" w:hAnsi="Arial" w:cs="Arial"/>
                <w:color w:val="222A35" w:themeColor="text2" w:themeShade="80"/>
              </w:rPr>
              <w:t>PAI</w:t>
            </w:r>
          </w:p>
          <w:p>
            <w:pPr>
              <w:pStyle w:val="10"/>
              <w:numPr>
                <w:ilvl w:val="0"/>
                <w:numId w:val="1"/>
              </w:numPr>
              <w:ind w:left="357" w:hanging="357"/>
              <w:jc w:val="both"/>
              <w:rPr>
                <w:rFonts w:ascii="Arial" w:hAnsi="Arial" w:cs="Arial"/>
                <w:color w:val="222A35" w:themeColor="text2" w:themeShade="80"/>
                <w:lang w:val="id-ID"/>
              </w:rPr>
            </w:pPr>
            <w:r>
              <w:rPr>
                <w:rFonts w:ascii="Arial" w:hAnsi="Arial" w:cs="Arial"/>
                <w:color w:val="222A35" w:themeColor="text2" w:themeShade="80"/>
                <w:lang w:val="id-ID"/>
              </w:rPr>
              <w:t>Menguasai teori tentang kependidikan, psikologi perkembangan, psikologi pendidikan, pembelajaran</w:t>
            </w:r>
          </w:p>
          <w:p>
            <w:pPr>
              <w:pStyle w:val="10"/>
              <w:numPr>
                <w:ilvl w:val="0"/>
                <w:numId w:val="1"/>
              </w:numPr>
              <w:ind w:left="357" w:hanging="357"/>
              <w:jc w:val="both"/>
              <w:rPr>
                <w:rFonts w:ascii="Arial" w:hAnsi="Arial" w:cs="Arial"/>
                <w:color w:val="222A35" w:themeColor="text2" w:themeShade="80"/>
                <w:lang w:val="id-ID"/>
              </w:rPr>
            </w:pPr>
            <w:r>
              <w:rPr>
                <w:rFonts w:ascii="Arial" w:hAnsi="Arial" w:cs="Arial"/>
                <w:color w:val="222A35" w:themeColor="text2" w:themeShade="80"/>
                <w:lang w:val="id-ID"/>
              </w:rPr>
              <w:t xml:space="preserve">Menguasai dan mengembangkan substansi materi, struktur, konsep dan pola pikir keilmuan guru </w:t>
            </w:r>
            <w:r>
              <w:rPr>
                <w:rFonts w:ascii="Arial" w:hAnsi="Arial" w:cs="Arial"/>
                <w:color w:val="222A35" w:themeColor="text2" w:themeShade="80"/>
              </w:rPr>
              <w:t>PAI</w:t>
            </w:r>
          </w:p>
          <w:p>
            <w:pPr>
              <w:pStyle w:val="10"/>
              <w:numPr>
                <w:ilvl w:val="0"/>
                <w:numId w:val="1"/>
              </w:numPr>
              <w:ind w:left="357" w:hanging="357"/>
              <w:jc w:val="both"/>
              <w:rPr>
                <w:rFonts w:ascii="Arial" w:hAnsi="Arial" w:cs="Arial"/>
                <w:color w:val="222A35" w:themeColor="text2" w:themeShade="80"/>
                <w:lang w:val="id-ID"/>
              </w:rPr>
            </w:pPr>
            <w:r>
              <w:rPr>
                <w:rFonts w:ascii="Arial" w:hAnsi="Arial" w:cs="Arial"/>
                <w:color w:val="222A35" w:themeColor="text2" w:themeShade="80"/>
                <w:lang w:val="id-ID"/>
              </w:rPr>
              <w:t xml:space="preserve">Mampu mengaplikasikan teori pembelajaran </w:t>
            </w:r>
            <w:r>
              <w:rPr>
                <w:rFonts w:ascii="Arial" w:hAnsi="Arial" w:cs="Arial"/>
                <w:color w:val="222A35" w:themeColor="text2" w:themeShade="80"/>
              </w:rPr>
              <w:t>PAI</w:t>
            </w:r>
          </w:p>
          <w:p>
            <w:pPr>
              <w:pStyle w:val="10"/>
              <w:numPr>
                <w:ilvl w:val="0"/>
                <w:numId w:val="1"/>
              </w:numPr>
              <w:ind w:left="357" w:hanging="357"/>
              <w:jc w:val="both"/>
              <w:rPr>
                <w:rFonts w:ascii="Arial" w:hAnsi="Arial" w:cs="Arial"/>
                <w:color w:val="222A35" w:themeColor="text2" w:themeShade="80"/>
                <w:lang w:val="id-ID"/>
              </w:rPr>
            </w:pPr>
            <w:r>
              <w:rPr>
                <w:rFonts w:ascii="Arial" w:hAnsi="Arial" w:cs="Arial"/>
                <w:color w:val="222A35" w:themeColor="text2" w:themeShade="80"/>
                <w:lang w:val="id-ID"/>
              </w:rPr>
              <w:t>Mampu me</w:t>
            </w:r>
            <w:r>
              <w:rPr>
                <w:rFonts w:ascii="Arial" w:hAnsi="Arial" w:cs="Arial"/>
                <w:color w:val="222A35" w:themeColor="text2" w:themeShade="80"/>
              </w:rPr>
              <w:t>l</w:t>
            </w:r>
            <w:r>
              <w:rPr>
                <w:rFonts w:ascii="Arial" w:hAnsi="Arial" w:cs="Arial"/>
                <w:color w:val="222A35" w:themeColor="text2" w:themeShade="80"/>
                <w:lang w:val="id-ID"/>
              </w:rPr>
              <w:t>akukan riset seluruh aspek pada jenjang pendidikan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vMerge w:val="continue"/>
          </w:tcPr>
          <w:p>
            <w:pPr>
              <w:spacing w:after="0" w:line="240" w:lineRule="auto"/>
              <w:rPr>
                <w:rFonts w:ascii="Arial" w:hAnsi="Arial" w:cs="Arial"/>
                <w:color w:val="222A35" w:themeColor="text2" w:themeShade="80"/>
              </w:rPr>
            </w:pPr>
          </w:p>
        </w:tc>
        <w:tc>
          <w:tcPr>
            <w:tcW w:w="11317" w:type="dxa"/>
            <w:shd w:val="clear" w:color="auto" w:fill="A8D08D" w:themeFill="accent6" w:themeFillTint="99"/>
          </w:tcPr>
          <w:p>
            <w:pPr>
              <w:spacing w:after="0" w:line="240" w:lineRule="auto"/>
              <w:rPr>
                <w:rFonts w:ascii="Arial" w:hAnsi="Arial" w:cs="Arial"/>
                <w:color w:val="222A35" w:themeColor="text2" w:themeShade="80"/>
              </w:rPr>
            </w:pPr>
            <w:r>
              <w:rPr>
                <w:rFonts w:ascii="Arial" w:hAnsi="Arial" w:cs="Arial"/>
                <w:color w:val="222A35" w:themeColor="text2" w:themeShade="80"/>
              </w:rPr>
              <w:t>CP Mata Kuliah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vMerge w:val="continue"/>
          </w:tcPr>
          <w:p>
            <w:pPr>
              <w:spacing w:after="0" w:line="240" w:lineRule="auto"/>
              <w:rPr>
                <w:rFonts w:ascii="Arial" w:hAnsi="Arial" w:cs="Arial"/>
                <w:color w:val="222A35" w:themeColor="text2" w:themeShade="80"/>
              </w:rPr>
            </w:pPr>
          </w:p>
        </w:tc>
        <w:tc>
          <w:tcPr>
            <w:tcW w:w="11317" w:type="dxa"/>
          </w:tcPr>
          <w:p>
            <w:pPr>
              <w:pStyle w:val="10"/>
              <w:numPr>
                <w:ilvl w:val="0"/>
                <w:numId w:val="2"/>
              </w:numPr>
              <w:ind w:left="357" w:hanging="357"/>
              <w:jc w:val="both"/>
              <w:rPr>
                <w:rFonts w:ascii="Arial" w:hAnsi="Arial" w:cs="Arial"/>
                <w:color w:val="222A35" w:themeColor="text2" w:themeShade="80"/>
              </w:rPr>
            </w:pPr>
            <w:r>
              <w:rPr>
                <w:rFonts w:ascii="Arial" w:hAnsi="Arial" w:cs="Arial"/>
                <w:color w:val="222A35" w:themeColor="text2" w:themeShade="80"/>
              </w:rPr>
              <w:t>Mahasiswa memahami kompetensi dan profesionalitas guru</w:t>
            </w:r>
          </w:p>
          <w:p>
            <w:pPr>
              <w:pStyle w:val="10"/>
              <w:numPr>
                <w:ilvl w:val="0"/>
                <w:numId w:val="2"/>
              </w:numPr>
              <w:ind w:left="357" w:hanging="357"/>
              <w:rPr>
                <w:rFonts w:ascii="Arial" w:hAnsi="Arial" w:cs="Arial"/>
                <w:color w:val="222A35" w:themeColor="text2" w:themeShade="80"/>
              </w:rPr>
            </w:pPr>
            <w:r>
              <w:rPr>
                <w:rFonts w:ascii="Arial" w:hAnsi="Arial" w:cs="Arial"/>
                <w:color w:val="222A35" w:themeColor="text2" w:themeShade="80"/>
              </w:rPr>
              <w:t>Mahasiswa memahami tentang profesionalitas guru yang sehat</w:t>
            </w:r>
          </w:p>
          <w:p>
            <w:pPr>
              <w:pStyle w:val="10"/>
              <w:numPr>
                <w:ilvl w:val="0"/>
                <w:numId w:val="2"/>
              </w:numPr>
              <w:ind w:left="357" w:hanging="357"/>
              <w:rPr>
                <w:rFonts w:ascii="Arial" w:hAnsi="Arial" w:cs="Arial"/>
                <w:color w:val="222A35" w:themeColor="text2" w:themeShade="80"/>
              </w:rPr>
            </w:pPr>
            <w:r>
              <w:rPr>
                <w:rFonts w:ascii="Arial" w:hAnsi="Arial" w:cs="Arial"/>
                <w:color w:val="222A35" w:themeColor="text2" w:themeShade="80"/>
              </w:rPr>
              <w:t>Mahasiswa memahami etika dan profesionalitas guru agama</w:t>
            </w:r>
          </w:p>
          <w:p>
            <w:pPr>
              <w:pStyle w:val="10"/>
              <w:numPr>
                <w:ilvl w:val="0"/>
                <w:numId w:val="2"/>
              </w:numPr>
              <w:ind w:left="357" w:hanging="357"/>
              <w:jc w:val="both"/>
              <w:rPr>
                <w:rFonts w:ascii="Arial" w:hAnsi="Arial" w:cs="Arial"/>
                <w:color w:val="222A35" w:themeColor="text2" w:themeShade="80"/>
              </w:rPr>
            </w:pPr>
            <w:r>
              <w:rPr>
                <w:rFonts w:ascii="Arial" w:hAnsi="Arial" w:cs="Arial"/>
                <w:color w:val="222A35" w:themeColor="text2" w:themeShade="80"/>
                <w:lang w:val="id-ID"/>
              </w:rPr>
              <w:t>Mahasiswa mampu mengembangkan profesionalitas guru yang sehat</w:t>
            </w:r>
          </w:p>
          <w:p>
            <w:pPr>
              <w:pStyle w:val="10"/>
              <w:numPr>
                <w:ilvl w:val="0"/>
                <w:numId w:val="2"/>
              </w:numPr>
              <w:ind w:left="357" w:hanging="357"/>
              <w:jc w:val="both"/>
              <w:rPr>
                <w:rFonts w:ascii="Arial" w:hAnsi="Arial" w:cs="Arial"/>
                <w:color w:val="222A35" w:themeColor="text2" w:themeShade="80"/>
              </w:rPr>
            </w:pPr>
            <w:r>
              <w:rPr>
                <w:rFonts w:ascii="Arial" w:hAnsi="Arial" w:cs="Arial"/>
                <w:color w:val="222A35" w:themeColor="text2" w:themeShade="80"/>
                <w:lang w:val="id-ID"/>
              </w:rPr>
              <w:t xml:space="preserve">Mahasiswa memahami etika guru profesional guru dalam perspektif </w:t>
            </w:r>
            <w:r>
              <w:rPr>
                <w:rFonts w:ascii="Arial" w:hAnsi="Arial" w:cs="Arial"/>
                <w:i/>
                <w:color w:val="222A35" w:themeColor="text2" w:themeShade="80"/>
                <w:lang w:val="id-ID"/>
              </w:rPr>
              <w:t>prophetic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tcPr>
          <w:p>
            <w:pPr>
              <w:spacing w:after="0" w:line="240" w:lineRule="auto"/>
              <w:rPr>
                <w:rFonts w:ascii="Arial" w:hAnsi="Arial" w:cs="Arial"/>
                <w:color w:val="222A35" w:themeColor="text2" w:themeShade="80"/>
              </w:rPr>
            </w:pPr>
            <w:r>
              <w:rPr>
                <w:rFonts w:ascii="Arial" w:hAnsi="Arial" w:cs="Arial"/>
                <w:color w:val="222A35" w:themeColor="text2" w:themeShade="80"/>
              </w:rPr>
              <w:t>Deskripsi Mata Kuliah</w:t>
            </w:r>
          </w:p>
        </w:tc>
        <w:tc>
          <w:tcPr>
            <w:tcW w:w="11317" w:type="dxa"/>
            <w:shd w:val="clear" w:color="auto" w:fill="FFFFFF" w:themeFill="background1"/>
          </w:tcPr>
          <w:p>
            <w:pPr>
              <w:spacing w:after="0" w:line="276" w:lineRule="auto"/>
              <w:ind w:left="426"/>
              <w:jc w:val="both"/>
              <w:rPr>
                <w:rFonts w:ascii="Arial" w:hAnsi="Arial" w:cs="Arial"/>
                <w:color w:val="222A35" w:themeColor="text2" w:themeShade="80"/>
              </w:rPr>
            </w:pPr>
            <w:r>
              <w:rPr>
                <w:rFonts w:ascii="Arial" w:hAnsi="Arial" w:cs="Arial"/>
                <w:color w:val="222A35" w:themeColor="text2" w:themeShade="80"/>
              </w:rPr>
              <w:t xml:space="preserve">Mata kuliah ini mengkaji tentang etika profesionalitas guru mulai dari pengertian, indikatornya bagi guru, magaimana mengembangkan etika profesional yang sehat tersebut sampai pada pengenalan beberapa konsep kepribadian guru yang sehat dalam perspektif profetik, quantum, dan pemikiran tokoh pendidikan. Mata kuliah ini juga mengembangkan konsep etika profesionalitas guru dalam </w:t>
            </w:r>
            <w:r>
              <w:rPr>
                <w:rFonts w:ascii="Arial" w:hAnsi="Arial" w:cs="Arial"/>
                <w:color w:val="222A35" w:themeColor="text2" w:themeShade="80"/>
                <w:lang w:val="en-US"/>
              </w:rPr>
              <w:t>t</w:t>
            </w:r>
            <w:r>
              <w:rPr>
                <w:rFonts w:ascii="Arial" w:hAnsi="Arial" w:cs="Arial"/>
                <w:color w:val="222A35" w:themeColor="text2" w:themeShade="80"/>
              </w:rPr>
              <w:t>ataran aplikatifnya. Untuk aplikasi, mahasiswa diajak untuk berefleksi melalui diskusi dan kajian terhadap teks yang ada serta pemikiran tokoh guru kharismatik. Orientasi pembelajaran etika profesional guru ini diarahkan agar mahasiswa memiliki pengetahuan tentang konsep dan teori yang khas dan unik dari etika profesional guru dalam perspektif Islam kemudian mahasiswa melalui kajian ilmu ini, mampu mengembangkan  dan mengaplikasikannya dalam kehidupan sehari-hari.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tcPr>
          <w:p>
            <w:pPr>
              <w:spacing w:after="0" w:line="240" w:lineRule="auto"/>
              <w:rPr>
                <w:rFonts w:ascii="Arial" w:hAnsi="Arial" w:cs="Arial"/>
                <w:color w:val="222A35" w:themeColor="text2" w:themeShade="80"/>
              </w:rPr>
            </w:pPr>
            <w:r>
              <w:rPr>
                <w:rFonts w:ascii="Arial" w:hAnsi="Arial" w:cs="Arial"/>
                <w:color w:val="222A35" w:themeColor="text2" w:themeShade="80"/>
              </w:rPr>
              <w:t>Materi Pembelajaran</w:t>
            </w:r>
          </w:p>
        </w:tc>
        <w:tc>
          <w:tcPr>
            <w:tcW w:w="11317" w:type="dxa"/>
          </w:tcPr>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lang w:val="id-ID"/>
              </w:rPr>
              <w:t>Pengertian dan tujuan pengembangan profesi guru</w:t>
            </w:r>
          </w:p>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rPr>
              <w:t>Manusia dan etika dalam konteks pendidikan</w:t>
            </w:r>
          </w:p>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lang w:val="id-ID"/>
              </w:rPr>
              <w:t>Tanggungjawab manusia terhadap pendidikan</w:t>
            </w:r>
          </w:p>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rPr>
              <w:t>Lembaga-lembaga pendidikan keguruan</w:t>
            </w:r>
          </w:p>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lang w:val="id-ID"/>
              </w:rPr>
              <w:t>Adab dan etika guru</w:t>
            </w:r>
          </w:p>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lang w:val="id-ID"/>
              </w:rPr>
              <w:t>Kompetensi dan Profesionalitas guru</w:t>
            </w:r>
          </w:p>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lang w:val="id-ID"/>
              </w:rPr>
              <w:t>Etika profesionalitas guru yang sehat</w:t>
            </w:r>
          </w:p>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lang w:val="id-ID"/>
              </w:rPr>
              <w:t>Etika dan profesionalitas guru agama</w:t>
            </w:r>
            <w:r>
              <w:rPr>
                <w:rFonts w:ascii="Arial" w:hAnsi="Arial" w:cs="Arial"/>
                <w:color w:val="222A35" w:themeColor="text2" w:themeShade="80"/>
              </w:rPr>
              <w:t>/PAI</w:t>
            </w:r>
          </w:p>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lang w:val="id-ID"/>
              </w:rPr>
              <w:t>Pengembangan etika profesionalitas guru yang sehat</w:t>
            </w:r>
          </w:p>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lang w:val="id-ID"/>
              </w:rPr>
              <w:t xml:space="preserve">Etika profesional guru dalam perspektif </w:t>
            </w:r>
            <w:r>
              <w:rPr>
                <w:rFonts w:ascii="Arial" w:hAnsi="Arial" w:cs="Arial"/>
                <w:i/>
                <w:color w:val="222A35" w:themeColor="text2" w:themeShade="80"/>
                <w:lang w:val="id-ID"/>
              </w:rPr>
              <w:t>Prophetic education</w:t>
            </w:r>
          </w:p>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lang w:val="id-ID"/>
              </w:rPr>
              <w:t>Etika Profesional guru dalam pandangan tokoh pendidikan dan ahli tasawuf</w:t>
            </w:r>
          </w:p>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lang w:val="id-ID"/>
              </w:rPr>
              <w:t>Etika profesional guru kharismatik</w:t>
            </w:r>
          </w:p>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lang w:val="id-ID"/>
              </w:rPr>
              <w:t>Kompetensi guru</w:t>
            </w:r>
          </w:p>
          <w:p>
            <w:pPr>
              <w:pStyle w:val="10"/>
              <w:numPr>
                <w:ilvl w:val="0"/>
                <w:numId w:val="3"/>
              </w:numPr>
              <w:ind w:left="357" w:hanging="357"/>
              <w:rPr>
                <w:rFonts w:ascii="Arial" w:hAnsi="Arial" w:cs="Arial"/>
                <w:color w:val="222A35" w:themeColor="text2" w:themeShade="80"/>
              </w:rPr>
            </w:pPr>
            <w:r>
              <w:rPr>
                <w:rFonts w:ascii="Arial" w:hAnsi="Arial" w:cs="Arial"/>
                <w:color w:val="222A35" w:themeColor="text2" w:themeShade="80"/>
                <w:lang w:val="id-ID"/>
              </w:rPr>
              <w:t>Pengembangan Profesionalisasi guru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vMerge w:val="restart"/>
          </w:tcPr>
          <w:p>
            <w:pPr>
              <w:spacing w:after="0" w:line="240" w:lineRule="auto"/>
              <w:rPr>
                <w:rFonts w:ascii="Arial" w:hAnsi="Arial" w:cs="Arial"/>
                <w:color w:val="222A35" w:themeColor="text2" w:themeShade="80"/>
              </w:rPr>
            </w:pPr>
            <w:r>
              <w:rPr>
                <w:rFonts w:ascii="Arial" w:hAnsi="Arial" w:cs="Arial"/>
                <w:color w:val="222A35" w:themeColor="text2" w:themeShade="80"/>
              </w:rPr>
              <w:t>Pustaka</w:t>
            </w:r>
          </w:p>
        </w:tc>
        <w:tc>
          <w:tcPr>
            <w:tcW w:w="11317" w:type="dxa"/>
          </w:tcPr>
          <w:p>
            <w:pPr>
              <w:spacing w:after="0" w:line="240" w:lineRule="auto"/>
              <w:rPr>
                <w:rFonts w:ascii="Arial" w:hAnsi="Arial" w:cs="Arial"/>
                <w:color w:val="222A35" w:themeColor="text2" w:themeShade="80"/>
              </w:rPr>
            </w:pPr>
            <w:r>
              <w:rPr>
                <w:rFonts w:ascii="Arial" w:hAnsi="Arial" w:cs="Arial"/>
                <w:color w:val="222A35" w:themeColor="text2" w:themeShade="80"/>
              </w:rPr>
              <w:t>Utama :</w:t>
            </w:r>
          </w:p>
          <w:p>
            <w:pPr>
              <w:pStyle w:val="10"/>
              <w:numPr>
                <w:ilvl w:val="0"/>
                <w:numId w:val="4"/>
              </w:numPr>
              <w:jc w:val="both"/>
              <w:rPr>
                <w:rFonts w:ascii="Arial" w:hAnsi="Arial" w:cs="Arial"/>
                <w:color w:val="222A35" w:themeColor="text2" w:themeShade="80"/>
              </w:rPr>
            </w:pPr>
            <w:r>
              <w:rPr>
                <w:rFonts w:ascii="Arial" w:hAnsi="Arial" w:cs="Arial"/>
                <w:color w:val="222A35" w:themeColor="text2" w:themeShade="80"/>
              </w:rPr>
              <w:t>Syaiful Bahri Jamaroh. 2000. Guru dan Anak Didik dalam Interaksi Edukatif. Jakarta: PT Rineka Cipta</w:t>
            </w:r>
          </w:p>
          <w:p>
            <w:pPr>
              <w:pStyle w:val="10"/>
              <w:numPr>
                <w:ilvl w:val="0"/>
                <w:numId w:val="4"/>
              </w:numPr>
              <w:contextualSpacing w:val="0"/>
              <w:jc w:val="both"/>
              <w:rPr>
                <w:rFonts w:ascii="Arial" w:hAnsi="Arial" w:cs="Arial"/>
                <w:color w:val="222A35" w:themeColor="text2" w:themeShade="80"/>
              </w:rPr>
            </w:pPr>
            <w:r>
              <w:rPr>
                <w:rFonts w:ascii="Arial" w:hAnsi="Arial" w:cs="Arial"/>
                <w:color w:val="222A35" w:themeColor="text2" w:themeShade="80"/>
              </w:rPr>
              <w:t>Rugaiyah dan Atiek Sismiati. 2013. Profesi Kependidikan. Bogor: Ghalia Indonesia</w:t>
            </w:r>
          </w:p>
          <w:p>
            <w:pPr>
              <w:pStyle w:val="10"/>
              <w:numPr>
                <w:ilvl w:val="0"/>
                <w:numId w:val="4"/>
              </w:numPr>
              <w:contextualSpacing w:val="0"/>
              <w:jc w:val="both"/>
              <w:rPr>
                <w:rFonts w:ascii="Arial" w:hAnsi="Arial" w:cs="Arial"/>
                <w:color w:val="222A35" w:themeColor="text2" w:themeShade="80"/>
              </w:rPr>
            </w:pPr>
            <w:r>
              <w:rPr>
                <w:rFonts w:ascii="Arial" w:hAnsi="Arial" w:cs="Arial"/>
                <w:color w:val="222A35" w:themeColor="text2" w:themeShade="80"/>
              </w:rPr>
              <w:t>Sri Banun Muslim. 2010. Supervisi Pendidikan meningkatkan Kualitas Profesionalisme Guru. Jakarta: Alfabet</w:t>
            </w:r>
          </w:p>
          <w:p>
            <w:pPr>
              <w:pStyle w:val="10"/>
              <w:numPr>
                <w:ilvl w:val="0"/>
                <w:numId w:val="4"/>
              </w:numPr>
              <w:contextualSpacing w:val="0"/>
              <w:jc w:val="both"/>
              <w:rPr>
                <w:rFonts w:ascii="Arial" w:hAnsi="Arial" w:cs="Arial"/>
                <w:color w:val="222A35" w:themeColor="text2" w:themeShade="80"/>
              </w:rPr>
            </w:pPr>
            <w:r>
              <w:rPr>
                <w:rFonts w:ascii="Arial" w:hAnsi="Arial" w:cs="Arial"/>
                <w:color w:val="222A35" w:themeColor="text2" w:themeShade="80"/>
              </w:rPr>
              <w:t>Uyoh Saduloh. 2011. Paedagogik (Ilmu Mendidik). Bandung: Alfabeta</w:t>
            </w:r>
          </w:p>
          <w:p>
            <w:pPr>
              <w:pStyle w:val="10"/>
              <w:numPr>
                <w:ilvl w:val="0"/>
                <w:numId w:val="4"/>
              </w:numPr>
              <w:contextualSpacing w:val="0"/>
              <w:jc w:val="both"/>
              <w:rPr>
                <w:rFonts w:ascii="Arial" w:hAnsi="Arial" w:cs="Arial"/>
                <w:color w:val="222A35" w:themeColor="text2" w:themeShade="80"/>
              </w:rPr>
            </w:pPr>
            <w:r>
              <w:rPr>
                <w:rFonts w:ascii="Arial" w:hAnsi="Arial" w:cs="Arial"/>
                <w:color w:val="222A35" w:themeColor="text2" w:themeShade="80"/>
              </w:rPr>
              <w:t>Martinis Yamin dan Maesah. 2012. Orientasi Baru Ilmu Pendidikan. Jakarta: Referensi</w:t>
            </w:r>
          </w:p>
          <w:p>
            <w:pPr>
              <w:pStyle w:val="10"/>
              <w:numPr>
                <w:ilvl w:val="0"/>
                <w:numId w:val="4"/>
              </w:numPr>
              <w:contextualSpacing w:val="0"/>
              <w:jc w:val="both"/>
              <w:rPr>
                <w:rFonts w:ascii="Arial" w:hAnsi="Arial" w:cs="Arial"/>
                <w:color w:val="222A35" w:themeColor="text2" w:themeShade="80"/>
              </w:rPr>
            </w:pPr>
            <w:r>
              <w:rPr>
                <w:rFonts w:ascii="Arial" w:hAnsi="Arial" w:cs="Arial"/>
                <w:color w:val="222A35" w:themeColor="text2" w:themeShade="80"/>
              </w:rPr>
              <w:t>Nurfuadi. 2012. Profesionalisme Guru. Purwokerto: STAIN Press</w:t>
            </w:r>
          </w:p>
          <w:p>
            <w:pPr>
              <w:pStyle w:val="10"/>
              <w:numPr>
                <w:ilvl w:val="0"/>
                <w:numId w:val="4"/>
              </w:numPr>
              <w:contextualSpacing w:val="0"/>
              <w:jc w:val="both"/>
              <w:rPr>
                <w:rFonts w:ascii="Arial" w:hAnsi="Arial" w:cs="Arial"/>
                <w:color w:val="222A35" w:themeColor="text2" w:themeShade="80"/>
              </w:rPr>
            </w:pPr>
            <w:r>
              <w:rPr>
                <w:rFonts w:ascii="Arial" w:hAnsi="Arial" w:cs="Arial"/>
                <w:color w:val="222A35" w:themeColor="text2" w:themeShade="80"/>
              </w:rPr>
              <w:t>Roqib, Muhammad dan Nurfuadi. 2009. Kepribadian Guru. Purwokerto: STAIN Press</w:t>
            </w:r>
          </w:p>
          <w:p>
            <w:pPr>
              <w:pStyle w:val="10"/>
              <w:numPr>
                <w:ilvl w:val="0"/>
                <w:numId w:val="4"/>
              </w:numPr>
              <w:contextualSpacing w:val="0"/>
              <w:jc w:val="both"/>
              <w:rPr>
                <w:rFonts w:ascii="Arial" w:hAnsi="Arial" w:cs="Arial"/>
                <w:color w:val="222A35" w:themeColor="text2" w:themeShade="80"/>
              </w:rPr>
            </w:pPr>
            <w:r>
              <w:rPr>
                <w:rFonts w:ascii="Arial" w:hAnsi="Arial" w:cs="Arial"/>
                <w:color w:val="222A35" w:themeColor="text2" w:themeShade="80"/>
              </w:rPr>
              <w:t>Roqib, Muhammad. 2016. Ilmu Pendidikan Islam. Yogyakarta: LkiS</w:t>
            </w:r>
          </w:p>
          <w:p>
            <w:pPr>
              <w:pStyle w:val="10"/>
              <w:numPr>
                <w:ilvl w:val="0"/>
                <w:numId w:val="4"/>
              </w:numPr>
              <w:contextualSpacing w:val="0"/>
              <w:jc w:val="both"/>
              <w:rPr>
                <w:rFonts w:ascii="Arial" w:hAnsi="Arial" w:cs="Arial"/>
                <w:color w:val="222A35" w:themeColor="text2" w:themeShade="80"/>
              </w:rPr>
            </w:pPr>
            <w:r>
              <w:rPr>
                <w:rFonts w:ascii="Arial" w:hAnsi="Arial" w:cs="Arial"/>
                <w:color w:val="222A35" w:themeColor="text2" w:themeShade="80"/>
              </w:rPr>
              <w:t>Oemar Hamalik. 2004. Pendidikan Guru. Jakarta: PT Bumi Aksara</w:t>
            </w:r>
          </w:p>
          <w:p>
            <w:pPr>
              <w:pStyle w:val="10"/>
              <w:numPr>
                <w:ilvl w:val="0"/>
                <w:numId w:val="4"/>
              </w:numPr>
              <w:contextualSpacing w:val="0"/>
              <w:jc w:val="both"/>
              <w:rPr>
                <w:rFonts w:ascii="Arial" w:hAnsi="Arial" w:cs="Arial"/>
                <w:color w:val="222A35" w:themeColor="text2" w:themeShade="80"/>
              </w:rPr>
            </w:pPr>
            <w:r>
              <w:rPr>
                <w:rFonts w:ascii="Arial" w:hAnsi="Arial" w:cs="Arial"/>
                <w:color w:val="222A35" w:themeColor="text2" w:themeShade="80"/>
              </w:rPr>
              <w:t>Bujang Rahman. 2013. Manajemen Mutu Lembaga Pendidikan Tenaga Kependidikan; Teori dan Praktidi Produktifitas.  Yogyakarta: Graha Ilmu</w:t>
            </w:r>
          </w:p>
          <w:p>
            <w:pPr>
              <w:pStyle w:val="3"/>
              <w:numPr>
                <w:ilvl w:val="0"/>
                <w:numId w:val="4"/>
              </w:numPr>
              <w:spacing w:after="0"/>
              <w:rPr>
                <w:rFonts w:ascii="Arial" w:hAnsi="Arial" w:cs="Arial"/>
                <w:color w:val="222A35" w:themeColor="text2" w:themeShade="80"/>
                <w:sz w:val="22"/>
                <w:szCs w:val="22"/>
                <w:lang w:val="en-US"/>
              </w:rPr>
            </w:pPr>
            <w:r>
              <w:rPr>
                <w:rFonts w:ascii="Arial" w:hAnsi="Arial" w:cs="Arial"/>
                <w:color w:val="222A35" w:themeColor="text2" w:themeShade="80"/>
                <w:sz w:val="22"/>
                <w:szCs w:val="22"/>
              </w:rPr>
              <w:t>Barnawi dan Muhammad Arifin. 2012. Etika dan Proesi Kependidikan. Yogyakarta: Ar-Ruzz Media</w:t>
            </w:r>
          </w:p>
          <w:p>
            <w:pPr>
              <w:pStyle w:val="3"/>
              <w:numPr>
                <w:ilvl w:val="0"/>
                <w:numId w:val="4"/>
              </w:numPr>
              <w:spacing w:after="0"/>
              <w:rPr>
                <w:rFonts w:ascii="Arial" w:hAnsi="Arial" w:cs="Arial"/>
                <w:color w:val="222A35" w:themeColor="text2" w:themeShade="80"/>
                <w:sz w:val="22"/>
                <w:szCs w:val="22"/>
                <w:lang w:val="en-US"/>
              </w:rPr>
            </w:pPr>
            <w:r>
              <w:rPr>
                <w:rFonts w:ascii="Arial" w:hAnsi="Arial" w:cs="Arial"/>
                <w:color w:val="222A35" w:themeColor="text2" w:themeShade="80"/>
                <w:sz w:val="22"/>
                <w:szCs w:val="22"/>
              </w:rPr>
              <w:t>Cicih Sutarsih. 2012. Etika Profesi. Jakarta: Seri Modul</w:t>
            </w:r>
          </w:p>
          <w:p>
            <w:pPr>
              <w:pStyle w:val="3"/>
              <w:numPr>
                <w:ilvl w:val="0"/>
                <w:numId w:val="4"/>
              </w:numPr>
              <w:spacing w:after="0"/>
              <w:rPr>
                <w:rFonts w:ascii="Arial" w:hAnsi="Arial" w:cs="Arial"/>
                <w:color w:val="222A35" w:themeColor="text2" w:themeShade="80"/>
                <w:sz w:val="22"/>
                <w:szCs w:val="22"/>
                <w:lang w:val="en-US"/>
              </w:rPr>
            </w:pPr>
            <w:r>
              <w:rPr>
                <w:rFonts w:ascii="Arial" w:hAnsi="Arial" w:cs="Arial"/>
                <w:color w:val="222A35" w:themeColor="text2" w:themeShade="80"/>
                <w:sz w:val="22"/>
                <w:szCs w:val="22"/>
              </w:rPr>
              <w:t>Supriyadi. 2015. Strategi Belajar dan Mengajar. Yogyakarta: Cakrawala Ilmu</w:t>
            </w:r>
          </w:p>
          <w:p>
            <w:pPr>
              <w:pStyle w:val="10"/>
              <w:numPr>
                <w:ilvl w:val="0"/>
                <w:numId w:val="4"/>
              </w:numPr>
              <w:contextualSpacing w:val="0"/>
              <w:jc w:val="both"/>
              <w:rPr>
                <w:rFonts w:ascii="Arial" w:hAnsi="Arial" w:cs="Arial"/>
                <w:color w:val="222A35" w:themeColor="text2" w:themeShade="80"/>
              </w:rPr>
            </w:pPr>
            <w:r>
              <w:rPr>
                <w:rFonts w:ascii="Arial" w:hAnsi="Arial" w:cs="Arial"/>
                <w:color w:val="222A35" w:themeColor="text2" w:themeShade="80"/>
              </w:rPr>
              <w:t>Muhammad Saroni. 2017. Personal Branding Guru; meningkatkan kualitas branding guru. Yogyakarta: Ar-Ruzz Media</w:t>
            </w:r>
          </w:p>
          <w:p>
            <w:pPr>
              <w:pStyle w:val="3"/>
              <w:numPr>
                <w:ilvl w:val="0"/>
                <w:numId w:val="4"/>
              </w:numPr>
              <w:spacing w:after="0"/>
              <w:rPr>
                <w:rFonts w:ascii="Arial" w:hAnsi="Arial" w:cs="Arial"/>
                <w:color w:val="222A35" w:themeColor="text2" w:themeShade="80"/>
                <w:sz w:val="22"/>
                <w:szCs w:val="22"/>
                <w:lang w:val="nb-NO"/>
              </w:rPr>
            </w:pPr>
            <w:r>
              <w:rPr>
                <w:rFonts w:ascii="Arial" w:hAnsi="Arial" w:cs="Arial"/>
                <w:color w:val="222A35" w:themeColor="text2" w:themeShade="80"/>
                <w:sz w:val="22"/>
                <w:szCs w:val="22"/>
              </w:rPr>
              <w:t>Syaiful Sagala dan Syawal Gulton, 2011. Praktik Etika pendidikan. Bandung: Alfabeta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vMerge w:val="continue"/>
          </w:tcPr>
          <w:p>
            <w:pPr>
              <w:spacing w:after="0" w:line="240" w:lineRule="auto"/>
              <w:rPr>
                <w:rFonts w:ascii="Arial" w:hAnsi="Arial" w:cs="Arial"/>
                <w:color w:val="222A35" w:themeColor="text2" w:themeShade="80"/>
              </w:rPr>
            </w:pPr>
          </w:p>
        </w:tc>
        <w:tc>
          <w:tcPr>
            <w:tcW w:w="11317" w:type="dxa"/>
          </w:tcPr>
          <w:p>
            <w:pPr>
              <w:spacing w:after="0" w:line="240" w:lineRule="auto"/>
              <w:rPr>
                <w:rFonts w:ascii="Arial" w:hAnsi="Arial" w:cs="Arial"/>
                <w:color w:val="222A35" w:themeColor="text2" w:themeShade="80"/>
              </w:rPr>
            </w:pPr>
            <w:r>
              <w:rPr>
                <w:rFonts w:ascii="Arial" w:hAnsi="Arial" w:cs="Arial"/>
                <w:color w:val="222A35" w:themeColor="text2" w:themeShade="80"/>
              </w:rPr>
              <w:t>Pendukung :</w:t>
            </w:r>
          </w:p>
          <w:p>
            <w:pPr>
              <w:pStyle w:val="10"/>
              <w:numPr>
                <w:ilvl w:val="0"/>
                <w:numId w:val="5"/>
              </w:numPr>
              <w:contextualSpacing w:val="0"/>
              <w:jc w:val="both"/>
              <w:rPr>
                <w:rFonts w:ascii="Arial" w:hAnsi="Arial" w:cs="Arial"/>
                <w:color w:val="222A35" w:themeColor="text2" w:themeShade="80"/>
                <w:szCs w:val="24"/>
              </w:rPr>
            </w:pPr>
            <w:r>
              <w:rPr>
                <w:rFonts w:ascii="Arial" w:hAnsi="Arial" w:cs="Arial"/>
                <w:color w:val="222A35" w:themeColor="text2" w:themeShade="80"/>
                <w:szCs w:val="24"/>
                <w:lang w:val="id-ID"/>
              </w:rPr>
              <w:t>P</w:t>
            </w:r>
            <w:r>
              <w:rPr>
                <w:rFonts w:ascii="Arial" w:hAnsi="Arial" w:cs="Arial"/>
                <w:color w:val="222A35" w:themeColor="text2" w:themeShade="80"/>
                <w:szCs w:val="24"/>
              </w:rPr>
              <w:t>eningkatan Kompetensi Guru. jakarta: Kharisma Putra Utama</w:t>
            </w:r>
          </w:p>
          <w:p>
            <w:pPr>
              <w:pStyle w:val="10"/>
              <w:numPr>
                <w:ilvl w:val="0"/>
                <w:numId w:val="5"/>
              </w:numPr>
              <w:contextualSpacing w:val="0"/>
              <w:jc w:val="both"/>
              <w:rPr>
                <w:rFonts w:ascii="Arial" w:hAnsi="Arial" w:cs="Arial"/>
                <w:color w:val="222A35" w:themeColor="text2" w:themeShade="80"/>
                <w:szCs w:val="24"/>
              </w:rPr>
            </w:pPr>
            <w:r>
              <w:rPr>
                <w:rFonts w:ascii="Arial" w:hAnsi="Arial" w:cs="Arial"/>
                <w:color w:val="222A35" w:themeColor="text2" w:themeShade="80"/>
                <w:szCs w:val="24"/>
              </w:rPr>
              <w:t>Novan Ardy Wiyani. 2015. Etika Profesi Keguruan. Yogyakarta: Penerbit GAVA Media</w:t>
            </w:r>
          </w:p>
          <w:p>
            <w:pPr>
              <w:pStyle w:val="10"/>
              <w:numPr>
                <w:ilvl w:val="0"/>
                <w:numId w:val="5"/>
              </w:numPr>
              <w:contextualSpacing w:val="0"/>
              <w:jc w:val="both"/>
              <w:rPr>
                <w:rFonts w:ascii="Arial" w:hAnsi="Arial" w:cs="Arial"/>
                <w:color w:val="222A35" w:themeColor="text2" w:themeShade="80"/>
                <w:szCs w:val="24"/>
              </w:rPr>
            </w:pPr>
            <w:r>
              <w:rPr>
                <w:rFonts w:ascii="Arial" w:hAnsi="Arial" w:cs="Arial"/>
                <w:color w:val="222A35" w:themeColor="text2" w:themeShade="80"/>
                <w:szCs w:val="24"/>
              </w:rPr>
              <w:t>Moh. Roqib. 2011. Prophetic Education Kontekstualisasi filsafat dan Budaya profetik dalam pendidikan. Purwokerto:STAIN Press</w:t>
            </w:r>
          </w:p>
          <w:p>
            <w:pPr>
              <w:pStyle w:val="4"/>
              <w:numPr>
                <w:ilvl w:val="0"/>
                <w:numId w:val="5"/>
              </w:numPr>
              <w:spacing w:after="0" w:line="240" w:lineRule="auto"/>
              <w:rPr>
                <w:rFonts w:ascii="Arial" w:hAnsi="Arial" w:cs="Arial"/>
                <w:color w:val="222A35" w:themeColor="text2" w:themeShade="80"/>
                <w:szCs w:val="24"/>
              </w:rPr>
            </w:pPr>
            <w:r>
              <w:rPr>
                <w:rFonts w:ascii="Arial" w:hAnsi="Arial" w:cs="Arial"/>
                <w:color w:val="222A35" w:themeColor="text2" w:themeShade="80"/>
                <w:szCs w:val="24"/>
              </w:rPr>
              <w:t>E. Mulyasa. 2008. Menjadi Guru Profesional Menciptakan Pembelajaran Kreatif dan Menyenangkan. Bandung: PT Remaja Rosdakarya</w:t>
            </w:r>
          </w:p>
          <w:p>
            <w:pPr>
              <w:pStyle w:val="10"/>
              <w:numPr>
                <w:ilvl w:val="0"/>
                <w:numId w:val="5"/>
              </w:numPr>
              <w:contextualSpacing w:val="0"/>
              <w:jc w:val="both"/>
              <w:rPr>
                <w:rFonts w:ascii="Arial" w:hAnsi="Arial" w:cs="Arial"/>
                <w:color w:val="222A35" w:themeColor="text2" w:themeShade="80"/>
                <w:szCs w:val="24"/>
              </w:rPr>
            </w:pPr>
            <w:r>
              <w:rPr>
                <w:rFonts w:ascii="Arial" w:hAnsi="Arial" w:cs="Arial"/>
                <w:color w:val="222A35" w:themeColor="text2" w:themeShade="80"/>
                <w:szCs w:val="24"/>
              </w:rPr>
              <w:t>Nur Efendi. 2017. Islamic educational Leadership. Yogyakarta: Kalimedia</w:t>
            </w:r>
          </w:p>
          <w:p>
            <w:pPr>
              <w:pStyle w:val="10"/>
              <w:numPr>
                <w:ilvl w:val="0"/>
                <w:numId w:val="5"/>
              </w:numPr>
              <w:contextualSpacing w:val="0"/>
              <w:jc w:val="both"/>
              <w:rPr>
                <w:rFonts w:ascii="Arial" w:hAnsi="Arial" w:cs="Arial"/>
                <w:color w:val="222A35" w:themeColor="text2" w:themeShade="80"/>
                <w:szCs w:val="24"/>
              </w:rPr>
            </w:pPr>
            <w:r>
              <w:rPr>
                <w:rFonts w:ascii="Arial" w:hAnsi="Arial" w:cs="Arial"/>
                <w:color w:val="222A35" w:themeColor="text2" w:themeShade="80"/>
                <w:szCs w:val="24"/>
              </w:rPr>
              <w:t>Nasrul. 2014. Profesi dna Etika Keguruan. Yogyakarta: Aswaja Pressindo</w:t>
            </w:r>
          </w:p>
          <w:p>
            <w:pPr>
              <w:pStyle w:val="10"/>
              <w:numPr>
                <w:ilvl w:val="0"/>
                <w:numId w:val="5"/>
              </w:numPr>
              <w:contextualSpacing w:val="0"/>
              <w:jc w:val="both"/>
              <w:rPr>
                <w:rFonts w:ascii="Arial" w:hAnsi="Arial" w:cs="Arial"/>
                <w:color w:val="222A35" w:themeColor="text2" w:themeShade="80"/>
                <w:szCs w:val="24"/>
              </w:rPr>
            </w:pPr>
            <w:r>
              <w:rPr>
                <w:rFonts w:ascii="Arial" w:hAnsi="Arial" w:cs="Arial"/>
                <w:color w:val="222A35" w:themeColor="text2" w:themeShade="80"/>
                <w:szCs w:val="24"/>
              </w:rPr>
              <w:t>Abdul Majid. Perencanaan Pembelajaran. Rosda</w:t>
            </w:r>
          </w:p>
          <w:p>
            <w:pPr>
              <w:pStyle w:val="10"/>
              <w:numPr>
                <w:ilvl w:val="0"/>
                <w:numId w:val="5"/>
              </w:numPr>
              <w:contextualSpacing w:val="0"/>
              <w:jc w:val="both"/>
              <w:rPr>
                <w:rFonts w:asciiTheme="majorBidi" w:hAnsiTheme="majorBidi" w:cstheme="majorBidi"/>
                <w:color w:val="222A35" w:themeColor="text2" w:themeShade="80"/>
                <w:szCs w:val="24"/>
              </w:rPr>
            </w:pPr>
            <w:r>
              <w:rPr>
                <w:rFonts w:ascii="Arial" w:hAnsi="Arial" w:cs="Arial"/>
                <w:color w:val="222A35" w:themeColor="text2" w:themeShade="80"/>
                <w:szCs w:val="24"/>
              </w:rPr>
              <w:t>Sudarwan Danin. 2011. Pengembangan Profesi Guru dari pra Jabatan induksi ke Profesional Madani. Jakarta: Kencana Prenada Media Grup.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tcPr>
          <w:p>
            <w:pPr>
              <w:spacing w:after="0" w:line="240" w:lineRule="auto"/>
              <w:rPr>
                <w:rFonts w:ascii="Arial" w:hAnsi="Arial" w:cs="Arial"/>
                <w:color w:val="222A35" w:themeColor="text2" w:themeShade="80"/>
              </w:rPr>
            </w:pPr>
            <w:r>
              <w:rPr>
                <w:rFonts w:ascii="Arial" w:hAnsi="Arial" w:cs="Arial"/>
                <w:color w:val="222A35" w:themeColor="text2" w:themeShade="80"/>
              </w:rPr>
              <w:t>Media Pembelajaran</w:t>
            </w:r>
          </w:p>
        </w:tc>
        <w:tc>
          <w:tcPr>
            <w:tcW w:w="11317" w:type="dxa"/>
          </w:tcPr>
          <w:p>
            <w:pPr>
              <w:spacing w:after="0" w:line="240" w:lineRule="auto"/>
              <w:rPr>
                <w:rFonts w:ascii="Arial" w:hAnsi="Arial" w:cs="Arial"/>
                <w:color w:val="222A35" w:themeColor="text2" w:themeShade="80"/>
              </w:rPr>
            </w:pPr>
            <w:r>
              <w:rPr>
                <w:rFonts w:ascii="Arial" w:hAnsi="Arial" w:cs="Arial"/>
                <w:color w:val="222A35" w:themeColor="text2" w:themeShade="80"/>
              </w:rPr>
              <w:t xml:space="preserve">Perangkat Lunak:  E-Learning </w:t>
            </w:r>
          </w:p>
          <w:p>
            <w:pPr>
              <w:spacing w:after="0" w:line="240" w:lineRule="auto"/>
              <w:rPr>
                <w:rFonts w:ascii="Arial" w:hAnsi="Arial" w:cs="Arial"/>
                <w:color w:val="222A35" w:themeColor="text2" w:themeShade="80"/>
              </w:rPr>
            </w:pPr>
            <w:r>
              <w:rPr>
                <w:rFonts w:ascii="Arial" w:hAnsi="Arial" w:cs="Arial"/>
                <w:color w:val="222A35" w:themeColor="text2" w:themeShade="80"/>
              </w:rPr>
              <w:t>Perangkat Keras :  LCD, Proyektor, Whiteboard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tcPr>
          <w:p>
            <w:pPr>
              <w:spacing w:after="0" w:line="240" w:lineRule="auto"/>
              <w:rPr>
                <w:rFonts w:ascii="Arial" w:hAnsi="Arial" w:cs="Arial"/>
                <w:color w:val="222A35" w:themeColor="text2" w:themeShade="80"/>
              </w:rPr>
            </w:pPr>
            <w:r>
              <w:rPr>
                <w:rFonts w:ascii="Arial" w:hAnsi="Arial" w:cs="Arial"/>
                <w:color w:val="222A35" w:themeColor="text2" w:themeShade="80"/>
              </w:rPr>
              <w:t>Team Teaching</w:t>
            </w:r>
          </w:p>
        </w:tc>
        <w:tc>
          <w:tcPr>
            <w:tcW w:w="11317" w:type="dxa"/>
          </w:tcPr>
          <w:p>
            <w:pPr>
              <w:spacing w:after="0" w:line="240" w:lineRule="auto"/>
              <w:rPr>
                <w:rFonts w:ascii="Arial" w:hAnsi="Arial" w:cs="Arial"/>
                <w:color w:val="222A35" w:themeColor="text2" w:themeShade="80"/>
                <w:lang w:val="en-US"/>
              </w:rPr>
            </w:pPr>
            <w:r>
              <w:rPr>
                <w:rFonts w:ascii="Arial" w:hAnsi="Arial" w:cs="Arial"/>
                <w:color w:val="222A35" w:themeColor="text2" w:themeShade="80"/>
                <w:lang w:val="en-US"/>
              </w:rPr>
              <w:t>Dr. Mindani, M.Ag..dkk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tcPr>
          <w:p>
            <w:pPr>
              <w:spacing w:after="0" w:line="240" w:lineRule="auto"/>
              <w:rPr>
                <w:rFonts w:ascii="Arial" w:hAnsi="Arial" w:cs="Arial"/>
                <w:color w:val="222A35" w:themeColor="text2" w:themeShade="80"/>
              </w:rPr>
            </w:pPr>
            <w:r>
              <w:rPr>
                <w:rFonts w:ascii="Arial" w:hAnsi="Arial" w:cs="Arial"/>
                <w:color w:val="222A35" w:themeColor="text2" w:themeShade="80"/>
              </w:rPr>
              <w:t>Mata Kuliah syarat</w:t>
            </w:r>
          </w:p>
        </w:tc>
        <w:tc>
          <w:tcPr>
            <w:tcW w:w="11317" w:type="dxa"/>
          </w:tcPr>
          <w:p>
            <w:pPr>
              <w:spacing w:after="0" w:line="240" w:lineRule="auto"/>
              <w:rPr>
                <w:rFonts w:ascii="Arial" w:hAnsi="Arial" w:cs="Arial"/>
                <w:color w:val="222A35" w:themeColor="text2" w:themeShade="80"/>
              </w:rPr>
            </w:pPr>
            <w:r>
              <w:rPr>
                <w:rFonts w:ascii="Arial" w:hAnsi="Arial" w:cs="Arial"/>
                <w:color w:val="222A35" w:themeColor="text2" w:themeShade="80"/>
              </w:rPr>
              <w:t>-</w:t>
            </w:r>
          </w:p>
        </w:tc>
      </w:tr>
    </w:tbl>
    <w:p>
      <w:pPr>
        <w:rPr>
          <w:color w:val="222A35" w:themeColor="text2" w:themeShade="80"/>
        </w:rPr>
      </w:pPr>
    </w:p>
    <w:tbl>
      <w:tblPr>
        <w:tblStyle w:val="9"/>
        <w:tblW w:w="140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247"/>
        <w:gridCol w:w="1791"/>
        <w:gridCol w:w="1582"/>
        <w:gridCol w:w="1046"/>
        <w:gridCol w:w="2187"/>
        <w:gridCol w:w="1373"/>
        <w:gridCol w:w="1638"/>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16" w:type="dxa"/>
            <w:shd w:val="clear" w:color="auto" w:fill="B4C6E7" w:themeFill="accent5" w:themeFillTint="66"/>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Minggu</w:t>
            </w:r>
          </w:p>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Ke</w:t>
            </w:r>
          </w:p>
        </w:tc>
        <w:tc>
          <w:tcPr>
            <w:tcW w:w="2247" w:type="dxa"/>
            <w:shd w:val="clear" w:color="auto" w:fill="B4C6E7" w:themeFill="accent5" w:themeFillTint="66"/>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Kemampuan Akhir yang Direncanakan</w:t>
            </w:r>
          </w:p>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(Sub CP MK)</w:t>
            </w:r>
          </w:p>
        </w:tc>
        <w:tc>
          <w:tcPr>
            <w:tcW w:w="1791" w:type="dxa"/>
            <w:shd w:val="clear" w:color="auto" w:fill="B4C6E7" w:themeFill="accent5" w:themeFillTint="66"/>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Bahan Kajian (Materi Pembelajaran)</w:t>
            </w:r>
          </w:p>
        </w:tc>
        <w:tc>
          <w:tcPr>
            <w:tcW w:w="1582" w:type="dxa"/>
            <w:shd w:val="clear" w:color="auto" w:fill="B4C6E7" w:themeFill="accent5" w:themeFillTint="66"/>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Bentuk dan Metode Pembelajaran</w:t>
            </w:r>
          </w:p>
        </w:tc>
        <w:tc>
          <w:tcPr>
            <w:tcW w:w="1046" w:type="dxa"/>
            <w:shd w:val="clear" w:color="auto" w:fill="B4C6E7" w:themeFill="accent5" w:themeFillTint="66"/>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Waktu</w:t>
            </w:r>
          </w:p>
        </w:tc>
        <w:tc>
          <w:tcPr>
            <w:tcW w:w="2187" w:type="dxa"/>
            <w:shd w:val="clear" w:color="auto" w:fill="B4C6E7" w:themeFill="accent5" w:themeFillTint="66"/>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Pengalaman Pembelajaran</w:t>
            </w:r>
          </w:p>
        </w:tc>
        <w:tc>
          <w:tcPr>
            <w:tcW w:w="1373" w:type="dxa"/>
            <w:shd w:val="clear" w:color="auto" w:fill="B4C6E7" w:themeFill="accent5" w:themeFillTint="66"/>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Kriteria &amp; Bentuk Penilaian</w:t>
            </w:r>
          </w:p>
        </w:tc>
        <w:tc>
          <w:tcPr>
            <w:tcW w:w="1638" w:type="dxa"/>
            <w:shd w:val="clear" w:color="auto" w:fill="B4C6E7" w:themeFill="accent5" w:themeFillTint="66"/>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Indikator Penilaian</w:t>
            </w:r>
          </w:p>
        </w:tc>
        <w:tc>
          <w:tcPr>
            <w:tcW w:w="1139" w:type="dxa"/>
            <w:shd w:val="clear" w:color="auto" w:fill="B4C6E7" w:themeFill="accent5" w:themeFillTint="66"/>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Bobot Penilaian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 w:type="dxa"/>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1</w:t>
            </w:r>
          </w:p>
        </w:tc>
        <w:tc>
          <w:tcPr>
            <w:tcW w:w="2247" w:type="dxa"/>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2</w:t>
            </w:r>
          </w:p>
        </w:tc>
        <w:tc>
          <w:tcPr>
            <w:tcW w:w="1791" w:type="dxa"/>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3</w:t>
            </w:r>
          </w:p>
        </w:tc>
        <w:tc>
          <w:tcPr>
            <w:tcW w:w="1582" w:type="dxa"/>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4</w:t>
            </w:r>
          </w:p>
        </w:tc>
        <w:tc>
          <w:tcPr>
            <w:tcW w:w="1046" w:type="dxa"/>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5</w:t>
            </w:r>
          </w:p>
        </w:tc>
        <w:tc>
          <w:tcPr>
            <w:tcW w:w="2187" w:type="dxa"/>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6</w:t>
            </w:r>
          </w:p>
        </w:tc>
        <w:tc>
          <w:tcPr>
            <w:tcW w:w="1373" w:type="dxa"/>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7</w:t>
            </w:r>
          </w:p>
        </w:tc>
        <w:tc>
          <w:tcPr>
            <w:tcW w:w="1638" w:type="dxa"/>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8</w:t>
            </w:r>
          </w:p>
        </w:tc>
        <w:tc>
          <w:tcPr>
            <w:tcW w:w="1139" w:type="dxa"/>
            <w:vAlign w:val="center"/>
          </w:tcPr>
          <w:p>
            <w:pPr>
              <w:spacing w:after="0" w:line="240" w:lineRule="auto"/>
              <w:jc w:val="center"/>
              <w:rPr>
                <w:rFonts w:ascii="Arial" w:hAnsi="Arial" w:cs="Arial"/>
                <w:b/>
                <w:color w:val="222A35" w:themeColor="text2" w:themeShade="80"/>
                <w:sz w:val="21"/>
                <w:szCs w:val="21"/>
              </w:rPr>
            </w:pPr>
            <w:r>
              <w:rPr>
                <w:rFonts w:ascii="Arial" w:hAnsi="Arial" w:cs="Arial"/>
                <w:b/>
                <w:color w:val="222A35" w:themeColor="text2" w:themeShade="8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1</w:t>
            </w:r>
          </w:p>
        </w:tc>
        <w:tc>
          <w:tcPr>
            <w:tcW w:w="2247" w:type="dxa"/>
            <w:shd w:val="clear" w:color="auto" w:fill="FFFFFF" w:themeFill="background1"/>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Menguasai signifikansi dan konteks mata kuliah secara utuh dam dapat mengklarifikasi manfaat dan keterkaitan mata kuliah dengan LO prodi/jurusan</w:t>
            </w:r>
          </w:p>
        </w:tc>
        <w:tc>
          <w:tcPr>
            <w:tcW w:w="1791" w:type="dxa"/>
            <w:shd w:val="clear" w:color="auto" w:fill="FFFFFF" w:themeFill="background1"/>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lang w:val="sv-SE"/>
              </w:rPr>
              <w:t>Pengantar</w:t>
            </w:r>
            <w:r>
              <w:rPr>
                <w:rFonts w:ascii="Arial" w:hAnsi="Arial" w:cs="Arial"/>
                <w:color w:val="222A35" w:themeColor="text2" w:themeShade="80"/>
                <w:sz w:val="21"/>
                <w:szCs w:val="21"/>
              </w:rPr>
              <w:t xml:space="preserve"> Pengembangan Profesi Guru</w:t>
            </w:r>
            <w:r>
              <w:rPr>
                <w:rFonts w:ascii="Arial" w:hAnsi="Arial" w:cs="Arial"/>
                <w:color w:val="222A35" w:themeColor="text2" w:themeShade="80"/>
                <w:sz w:val="21"/>
                <w:szCs w:val="21"/>
                <w:lang w:val="sv-SE"/>
              </w:rPr>
              <w:t>, tujuan pembelajaran, kontrak belajar</w:t>
            </w:r>
          </w:p>
        </w:tc>
        <w:tc>
          <w:tcPr>
            <w:tcW w:w="1582" w:type="dxa"/>
            <w:shd w:val="clear" w:color="auto" w:fill="FFFFFF" w:themeFill="background1"/>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Ceramah dan diskusi</w:t>
            </w:r>
          </w:p>
        </w:tc>
        <w:tc>
          <w:tcPr>
            <w:tcW w:w="1046" w:type="dxa"/>
            <w:shd w:val="clear" w:color="auto" w:fill="FFFFFF" w:themeFill="background1"/>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TM: 100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Tugas: 120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Kegiatan mandiri: 120 menit</w:t>
            </w:r>
          </w:p>
        </w:tc>
        <w:tc>
          <w:tcPr>
            <w:tcW w:w="2187" w:type="dxa"/>
            <w:shd w:val="clear" w:color="auto" w:fill="FFFFFF" w:themeFill="background1"/>
          </w:tcPr>
          <w:p>
            <w:pPr>
              <w:pStyle w:val="10"/>
              <w:numPr>
                <w:ilvl w:val="0"/>
                <w:numId w:val="6"/>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rPr>
              <w:t>Mahasiswa mengikuti pengantar mata kuliah dari dosen</w:t>
            </w:r>
          </w:p>
          <w:p>
            <w:pPr>
              <w:pStyle w:val="10"/>
              <w:numPr>
                <w:ilvl w:val="0"/>
                <w:numId w:val="6"/>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rPr>
              <w:t>Mahasiswa mengklarifikasi atas pengantar mata kuliah yang difouskan terhadap tujuan, konteks dan kesesuaian dalam pencapaian kompetensi prodi dan jurusan</w:t>
            </w:r>
          </w:p>
          <w:p>
            <w:pPr>
              <w:pStyle w:val="10"/>
              <w:numPr>
                <w:ilvl w:val="0"/>
                <w:numId w:val="6"/>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rPr>
              <w:t>Mahasiswa dan dosen menetapkan kesepakatan selama proses pembelajaran dilaksanakan selama 1 semester</w:t>
            </w:r>
          </w:p>
        </w:tc>
        <w:tc>
          <w:tcPr>
            <w:tcW w:w="1373" w:type="dxa"/>
            <w:shd w:val="clear" w:color="auto" w:fill="FFFFFF" w:themeFill="background1"/>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Kriteria: Ketepatan dan penguasaan</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Bentuk penilaian: non tes</w:t>
            </w: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(riview buku dan presentasi)</w:t>
            </w:r>
          </w:p>
        </w:tc>
        <w:tc>
          <w:tcPr>
            <w:tcW w:w="1638" w:type="dxa"/>
            <w:shd w:val="clear" w:color="auto" w:fill="FFFFFF" w:themeFill="background1"/>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Ketepatan menjelaskan perspektif sosiologi dalam kajian agama</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Penguasaan perspektis sosiologi</w:t>
            </w:r>
          </w:p>
        </w:tc>
        <w:tc>
          <w:tcPr>
            <w:tcW w:w="1139"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2-3</w:t>
            </w:r>
          </w:p>
        </w:tc>
        <w:tc>
          <w:tcPr>
            <w:tcW w:w="2247" w:type="dxa"/>
          </w:tcPr>
          <w:p>
            <w:pPr>
              <w:pStyle w:val="10"/>
              <w:numPr>
                <w:ilvl w:val="0"/>
                <w:numId w:val="7"/>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lang w:val="id-ID"/>
              </w:rPr>
              <w:t xml:space="preserve">Mahasiswa mampu </w:t>
            </w:r>
            <w:r>
              <w:rPr>
                <w:rFonts w:ascii="Arial" w:hAnsi="Arial" w:cs="Arial"/>
                <w:color w:val="222A35" w:themeColor="text2" w:themeShade="80"/>
                <w:sz w:val="21"/>
                <w:szCs w:val="21"/>
              </w:rPr>
              <w:t>menjelaskan secara argumentatif asal-usul manusia</w:t>
            </w:r>
          </w:p>
          <w:p>
            <w:pPr>
              <w:pStyle w:val="10"/>
              <w:numPr>
                <w:ilvl w:val="0"/>
                <w:numId w:val="7"/>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rPr>
              <w:t xml:space="preserve">Kemampuan mengklasifikasi </w:t>
            </w:r>
            <w:r>
              <w:rPr>
                <w:rFonts w:ascii="Arial" w:hAnsi="Arial" w:cs="Arial"/>
                <w:color w:val="222A35" w:themeColor="text2" w:themeShade="80"/>
                <w:sz w:val="21"/>
                <w:szCs w:val="21"/>
                <w:lang w:val="id-ID"/>
              </w:rPr>
              <w:t>tanggungjawab manusia</w:t>
            </w:r>
          </w:p>
        </w:tc>
        <w:tc>
          <w:tcPr>
            <w:tcW w:w="1791"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Manusia, etika dalam konteks pendidikan dan Tanggungjawab manusia terhadap pendidikan</w:t>
            </w:r>
          </w:p>
        </w:tc>
        <w:tc>
          <w:tcPr>
            <w:tcW w:w="1582" w:type="dxa"/>
          </w:tcPr>
          <w:p>
            <w:pPr>
              <w:pStyle w:val="10"/>
              <w:numPr>
                <w:ilvl w:val="0"/>
                <w:numId w:val="8"/>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rPr>
              <w:t>Ceramah</w:t>
            </w:r>
          </w:p>
          <w:p>
            <w:pPr>
              <w:pStyle w:val="10"/>
              <w:numPr>
                <w:ilvl w:val="0"/>
                <w:numId w:val="8"/>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rPr>
              <w:t>Diskusi</w:t>
            </w:r>
          </w:p>
          <w:p>
            <w:pPr>
              <w:pStyle w:val="10"/>
              <w:numPr>
                <w:ilvl w:val="0"/>
                <w:numId w:val="8"/>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rPr>
              <w:t>Presentasi mahaiswa</w:t>
            </w:r>
          </w:p>
        </w:tc>
        <w:tc>
          <w:tcPr>
            <w:tcW w:w="1046"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TM: 200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Tugas: 240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Kegiatan mandiri: 240 menit</w:t>
            </w:r>
          </w:p>
        </w:tc>
        <w:tc>
          <w:tcPr>
            <w:tcW w:w="2187" w:type="dxa"/>
          </w:tcPr>
          <w:p>
            <w:pPr>
              <w:pStyle w:val="10"/>
              <w:numPr>
                <w:ilvl w:val="0"/>
                <w:numId w:val="9"/>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rPr>
              <w:t>Mahasiswa dipersilahkan untuk memberikan perspektif tentang teori agama berdasar bacaan yang telah diberikan sebelumnya.</w:t>
            </w:r>
          </w:p>
          <w:p>
            <w:pPr>
              <w:pStyle w:val="10"/>
              <w:numPr>
                <w:ilvl w:val="0"/>
                <w:numId w:val="9"/>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rPr>
              <w:t>Dosen dan mahasiswa terlibat dalam dialog interaktif</w:t>
            </w:r>
          </w:p>
          <w:p>
            <w:pPr>
              <w:pStyle w:val="10"/>
              <w:numPr>
                <w:ilvl w:val="0"/>
                <w:numId w:val="9"/>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lang w:val="id-ID"/>
              </w:rPr>
              <w:t>Presentasi mahasiswa</w:t>
            </w:r>
          </w:p>
        </w:tc>
        <w:tc>
          <w:tcPr>
            <w:tcW w:w="1373"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 xml:space="preserve">Kriteria: ketepatan dan kesesuaian </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Bentuk penilaian: non tes (riview buku, makalah)</w:t>
            </w:r>
          </w:p>
        </w:tc>
        <w:tc>
          <w:tcPr>
            <w:tcW w:w="1638" w:type="dxa"/>
          </w:tcPr>
          <w:p>
            <w:pPr>
              <w:pStyle w:val="10"/>
              <w:numPr>
                <w:ilvl w:val="0"/>
                <w:numId w:val="10"/>
              </w:numPr>
              <w:ind w:left="113" w:hanging="113"/>
              <w:rPr>
                <w:rFonts w:ascii="Arial" w:hAnsi="Arial" w:cs="Arial"/>
                <w:color w:val="222A35" w:themeColor="text2" w:themeShade="80"/>
                <w:sz w:val="21"/>
                <w:szCs w:val="21"/>
              </w:rPr>
            </w:pPr>
            <w:r>
              <w:rPr>
                <w:rFonts w:ascii="Arial" w:hAnsi="Arial" w:cs="Arial"/>
                <w:color w:val="222A35" w:themeColor="text2" w:themeShade="80"/>
                <w:sz w:val="21"/>
                <w:szCs w:val="21"/>
              </w:rPr>
              <w:t>Ketepatan dan kesesuaian meriview buku sesuai tema</w:t>
            </w:r>
          </w:p>
          <w:p>
            <w:pPr>
              <w:pStyle w:val="10"/>
              <w:numPr>
                <w:ilvl w:val="0"/>
                <w:numId w:val="10"/>
              </w:numPr>
              <w:ind w:left="113" w:hanging="113"/>
              <w:rPr>
                <w:rFonts w:ascii="Arial" w:hAnsi="Arial" w:cs="Arial"/>
                <w:color w:val="222A35" w:themeColor="text2" w:themeShade="80"/>
                <w:sz w:val="21"/>
                <w:szCs w:val="21"/>
              </w:rPr>
            </w:pPr>
            <w:r>
              <w:rPr>
                <w:rFonts w:ascii="Arial" w:hAnsi="Arial" w:cs="Arial"/>
                <w:color w:val="222A35" w:themeColor="text2" w:themeShade="80"/>
                <w:sz w:val="21"/>
                <w:szCs w:val="21"/>
                <w:lang w:val="id-ID"/>
              </w:rPr>
              <w:t>Penguasaan materi saat presentasi</w:t>
            </w:r>
          </w:p>
        </w:tc>
        <w:tc>
          <w:tcPr>
            <w:tcW w:w="1139"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4 – 5</w:t>
            </w:r>
          </w:p>
        </w:tc>
        <w:tc>
          <w:tcPr>
            <w:tcW w:w="2247" w:type="dxa"/>
          </w:tcPr>
          <w:p>
            <w:pPr>
              <w:pStyle w:val="10"/>
              <w:numPr>
                <w:ilvl w:val="0"/>
                <w:numId w:val="7"/>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lang w:val="id-ID"/>
              </w:rPr>
              <w:t xml:space="preserve">Mahasiswa mampu </w:t>
            </w:r>
            <w:r>
              <w:rPr>
                <w:rFonts w:ascii="Arial" w:hAnsi="Arial" w:cs="Arial"/>
                <w:color w:val="222A35" w:themeColor="text2" w:themeShade="80"/>
                <w:sz w:val="21"/>
                <w:szCs w:val="21"/>
              </w:rPr>
              <w:t>menganalisis lembaga dalam perspektif pendidikan</w:t>
            </w:r>
          </w:p>
          <w:p>
            <w:pPr>
              <w:pStyle w:val="10"/>
              <w:numPr>
                <w:ilvl w:val="0"/>
                <w:numId w:val="7"/>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lang w:val="id-ID"/>
              </w:rPr>
              <w:t xml:space="preserve">Mahasiswa mampu </w:t>
            </w:r>
            <w:r>
              <w:rPr>
                <w:rFonts w:ascii="Arial" w:hAnsi="Arial" w:cs="Arial"/>
                <w:color w:val="222A35" w:themeColor="text2" w:themeShade="80"/>
                <w:sz w:val="21"/>
                <w:szCs w:val="21"/>
              </w:rPr>
              <w:t>menerapkan adab</w:t>
            </w:r>
            <w:r>
              <w:rPr>
                <w:rFonts w:ascii="Arial" w:hAnsi="Arial" w:cs="Arial"/>
                <w:color w:val="222A35" w:themeColor="text2" w:themeShade="80"/>
                <w:sz w:val="21"/>
                <w:szCs w:val="21"/>
                <w:lang w:val="id-ID"/>
              </w:rPr>
              <w:t xml:space="preserve"> </w:t>
            </w:r>
            <w:r>
              <w:rPr>
                <w:rFonts w:ascii="Arial" w:hAnsi="Arial" w:cs="Arial"/>
                <w:color w:val="222A35" w:themeColor="text2" w:themeShade="80"/>
                <w:sz w:val="21"/>
                <w:szCs w:val="21"/>
              </w:rPr>
              <w:t>/</w:t>
            </w:r>
            <w:r>
              <w:rPr>
                <w:rFonts w:ascii="Arial" w:hAnsi="Arial" w:cs="Arial"/>
                <w:color w:val="222A35" w:themeColor="text2" w:themeShade="80"/>
                <w:sz w:val="21"/>
                <w:szCs w:val="21"/>
                <w:lang w:val="id-ID"/>
              </w:rPr>
              <w:t xml:space="preserve"> </w:t>
            </w:r>
            <w:r>
              <w:rPr>
                <w:rFonts w:ascii="Arial" w:hAnsi="Arial" w:cs="Arial"/>
                <w:color w:val="222A35" w:themeColor="text2" w:themeShade="80"/>
                <w:sz w:val="21"/>
                <w:szCs w:val="21"/>
              </w:rPr>
              <w:t>etika guru</w:t>
            </w:r>
          </w:p>
        </w:tc>
        <w:tc>
          <w:tcPr>
            <w:tcW w:w="1791"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Lembaga-lembaga pendidikan keguruan, Adab dan etika guru</w:t>
            </w:r>
          </w:p>
        </w:tc>
        <w:tc>
          <w:tcPr>
            <w:tcW w:w="1582" w:type="dxa"/>
          </w:tcPr>
          <w:p>
            <w:pPr>
              <w:pStyle w:val="10"/>
              <w:numPr>
                <w:ilvl w:val="0"/>
                <w:numId w:val="8"/>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lang w:val="id-ID"/>
              </w:rPr>
              <w:t>Ceramah</w:t>
            </w:r>
          </w:p>
          <w:p>
            <w:pPr>
              <w:pStyle w:val="10"/>
              <w:numPr>
                <w:ilvl w:val="0"/>
                <w:numId w:val="8"/>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lang w:val="id-ID"/>
              </w:rPr>
              <w:t>Diskusi kelompok</w:t>
            </w:r>
          </w:p>
          <w:p>
            <w:pPr>
              <w:pStyle w:val="10"/>
              <w:ind w:left="227"/>
              <w:rPr>
                <w:rFonts w:ascii="Arial" w:hAnsi="Arial" w:cs="Arial"/>
                <w:color w:val="222A35" w:themeColor="text2" w:themeShade="80"/>
                <w:sz w:val="21"/>
                <w:szCs w:val="21"/>
              </w:rPr>
            </w:pPr>
          </w:p>
        </w:tc>
        <w:tc>
          <w:tcPr>
            <w:tcW w:w="1046"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TM: 200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Tugas: 240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Kegiatan mandiri: 240 menit</w:t>
            </w:r>
          </w:p>
        </w:tc>
        <w:tc>
          <w:tcPr>
            <w:tcW w:w="2187" w:type="dxa"/>
          </w:tcPr>
          <w:p>
            <w:pPr>
              <w:pStyle w:val="10"/>
              <w:numPr>
                <w:ilvl w:val="0"/>
                <w:numId w:val="9"/>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lang w:val="id-ID"/>
              </w:rPr>
              <w:t>Mahasiswa mempresentasikan agama dalam perspektif sosiologi</w:t>
            </w:r>
          </w:p>
          <w:p>
            <w:pPr>
              <w:pStyle w:val="10"/>
              <w:numPr>
                <w:ilvl w:val="0"/>
                <w:numId w:val="9"/>
              </w:numPr>
              <w:ind w:left="227" w:hanging="227"/>
              <w:rPr>
                <w:rFonts w:ascii="Arial" w:hAnsi="Arial" w:cs="Arial"/>
                <w:color w:val="222A35" w:themeColor="text2" w:themeShade="80"/>
                <w:sz w:val="21"/>
                <w:szCs w:val="21"/>
              </w:rPr>
            </w:pPr>
            <w:r>
              <w:rPr>
                <w:rFonts w:ascii="Arial" w:hAnsi="Arial" w:cs="Arial"/>
                <w:color w:val="222A35" w:themeColor="text2" w:themeShade="80"/>
                <w:sz w:val="21"/>
                <w:szCs w:val="21"/>
                <w:lang w:val="id-ID"/>
              </w:rPr>
              <w:t>Klarifikasi dari dosen</w:t>
            </w:r>
          </w:p>
        </w:tc>
        <w:tc>
          <w:tcPr>
            <w:tcW w:w="1373"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Kriteria: ketepatan dan kedalaman</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Bentuk penilaian: non tes (makalah)</w:t>
            </w:r>
          </w:p>
        </w:tc>
        <w:tc>
          <w:tcPr>
            <w:tcW w:w="1638" w:type="dxa"/>
          </w:tcPr>
          <w:p>
            <w:pPr>
              <w:pStyle w:val="10"/>
              <w:numPr>
                <w:ilvl w:val="0"/>
                <w:numId w:val="10"/>
              </w:numPr>
              <w:ind w:left="113" w:hanging="113"/>
              <w:rPr>
                <w:rFonts w:ascii="Arial" w:hAnsi="Arial" w:cs="Arial"/>
                <w:color w:val="222A35" w:themeColor="text2" w:themeShade="80"/>
                <w:sz w:val="21"/>
                <w:szCs w:val="21"/>
              </w:rPr>
            </w:pPr>
            <w:r>
              <w:rPr>
                <w:rFonts w:ascii="Arial" w:hAnsi="Arial" w:cs="Arial"/>
                <w:color w:val="222A35" w:themeColor="text2" w:themeShade="80"/>
                <w:sz w:val="21"/>
                <w:szCs w:val="21"/>
                <w:lang w:val="id-ID"/>
              </w:rPr>
              <w:t xml:space="preserve"> Ketepatan menggunakan metode sosiologi</w:t>
            </w:r>
          </w:p>
          <w:p>
            <w:pPr>
              <w:pStyle w:val="10"/>
              <w:numPr>
                <w:ilvl w:val="0"/>
                <w:numId w:val="10"/>
              </w:numPr>
              <w:ind w:left="113" w:hanging="113"/>
              <w:rPr>
                <w:rFonts w:ascii="Arial" w:hAnsi="Arial" w:cs="Arial"/>
                <w:color w:val="222A35" w:themeColor="text2" w:themeShade="80"/>
                <w:sz w:val="21"/>
                <w:szCs w:val="21"/>
              </w:rPr>
            </w:pPr>
            <w:r>
              <w:rPr>
                <w:rFonts w:ascii="Arial" w:hAnsi="Arial" w:cs="Arial"/>
                <w:color w:val="222A35" w:themeColor="text2" w:themeShade="80"/>
                <w:sz w:val="21"/>
                <w:szCs w:val="21"/>
                <w:lang w:val="id-ID"/>
              </w:rPr>
              <w:t>Kedalaman analisis sosiologi</w:t>
            </w:r>
          </w:p>
        </w:tc>
        <w:tc>
          <w:tcPr>
            <w:tcW w:w="1139"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6</w:t>
            </w:r>
          </w:p>
        </w:tc>
        <w:tc>
          <w:tcPr>
            <w:tcW w:w="2247" w:type="dxa"/>
          </w:tcPr>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menjelaskan hubungan Kompetensi dan Profesionalitas guru</w:t>
            </w:r>
          </w:p>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menganalisis Kompetensi dan Profesionalitas guru</w:t>
            </w:r>
          </w:p>
        </w:tc>
        <w:tc>
          <w:tcPr>
            <w:tcW w:w="1791"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 xml:space="preserve">Kompetensi dan Profesionalitas guru </w:t>
            </w:r>
          </w:p>
        </w:tc>
        <w:tc>
          <w:tcPr>
            <w:tcW w:w="1582" w:type="dxa"/>
          </w:tcPr>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 kelompok</w:t>
            </w:r>
          </w:p>
        </w:tc>
        <w:tc>
          <w:tcPr>
            <w:tcW w:w="1046"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TM: 100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Tugas: 120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Kegiatan mandiri: 120 menit</w:t>
            </w:r>
          </w:p>
        </w:tc>
        <w:tc>
          <w:tcPr>
            <w:tcW w:w="2187" w:type="dxa"/>
          </w:tcPr>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mempresentasikan makalah</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Respon mahasiswa atas presentasi</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Klarifikasi dan pendalaman dari dosen</w:t>
            </w:r>
          </w:p>
        </w:tc>
        <w:tc>
          <w:tcPr>
            <w:tcW w:w="1373"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 xml:space="preserve">Krietria: kedalaman </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Bentuk penilaian: non tes (makalah)</w:t>
            </w:r>
          </w:p>
        </w:tc>
        <w:tc>
          <w:tcPr>
            <w:tcW w:w="1638" w:type="dxa"/>
          </w:tcPr>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Kedalaman analisis</w:t>
            </w:r>
          </w:p>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Ketepatan menggunakan teori</w:t>
            </w:r>
          </w:p>
        </w:tc>
        <w:tc>
          <w:tcPr>
            <w:tcW w:w="1139"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7</w:t>
            </w:r>
          </w:p>
        </w:tc>
        <w:tc>
          <w:tcPr>
            <w:tcW w:w="2247" w:type="dxa"/>
          </w:tcPr>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menganalisis Etika Profesionalitas Guru</w:t>
            </w:r>
          </w:p>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menerapkan analisis pemetaan Etika Profesionalitas guru dan guru yang sehat</w:t>
            </w:r>
          </w:p>
        </w:tc>
        <w:tc>
          <w:tcPr>
            <w:tcW w:w="1791"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Etika Profesionalitas guru yang sehat</w:t>
            </w:r>
          </w:p>
        </w:tc>
        <w:tc>
          <w:tcPr>
            <w:tcW w:w="1582" w:type="dxa"/>
          </w:tcPr>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 kelompok</w:t>
            </w:r>
          </w:p>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Studi kasus</w:t>
            </w:r>
          </w:p>
        </w:tc>
        <w:tc>
          <w:tcPr>
            <w:tcW w:w="1046"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TM: 100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Tugas: 120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Kegiatan mandiri: 120 menit</w:t>
            </w:r>
          </w:p>
        </w:tc>
        <w:tc>
          <w:tcPr>
            <w:tcW w:w="2187" w:type="dxa"/>
          </w:tcPr>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Ceramah dosen</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 mahasiswa</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Klarifikasi dan tanya jawab</w:t>
            </w:r>
          </w:p>
        </w:tc>
        <w:tc>
          <w:tcPr>
            <w:tcW w:w="1373"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 xml:space="preserve">Krietria: ketepatan dan kedalaman </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Bentuk penilaian: non tes (makalah)</w:t>
            </w:r>
          </w:p>
        </w:tc>
        <w:tc>
          <w:tcPr>
            <w:tcW w:w="1638" w:type="dxa"/>
          </w:tcPr>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Ketepatan menggunakan teori dan kedalaman analisis</w:t>
            </w:r>
          </w:p>
        </w:tc>
        <w:tc>
          <w:tcPr>
            <w:tcW w:w="1139"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8</w:t>
            </w:r>
          </w:p>
        </w:tc>
        <w:tc>
          <w:tcPr>
            <w:tcW w:w="2247" w:type="dxa"/>
          </w:tcPr>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menganalisis hubungan antara etika dan Profesionalitas guru agama</w:t>
            </w:r>
          </w:p>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menjelaskan etika dan profesionalitas guru agama</w:t>
            </w:r>
          </w:p>
        </w:tc>
        <w:tc>
          <w:tcPr>
            <w:tcW w:w="1791"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Etika dan Profesionalitas guru agama</w:t>
            </w:r>
          </w:p>
        </w:tc>
        <w:tc>
          <w:tcPr>
            <w:tcW w:w="1582" w:type="dxa"/>
          </w:tcPr>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Ceramah</w:t>
            </w:r>
          </w:p>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 kelompok</w:t>
            </w:r>
          </w:p>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tc>
        <w:tc>
          <w:tcPr>
            <w:tcW w:w="1046"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TM: 100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Tugas: 120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Kegiatan mandiri: 120 meni</w:t>
            </w:r>
          </w:p>
        </w:tc>
        <w:tc>
          <w:tcPr>
            <w:tcW w:w="2187" w:type="dxa"/>
          </w:tcPr>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Ceramah dosen</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Brainstorming</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 xml:space="preserve">Diskusi </w:t>
            </w:r>
          </w:p>
        </w:tc>
        <w:tc>
          <w:tcPr>
            <w:tcW w:w="1373"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 xml:space="preserve">Krietria: ketepatan dan kecermatan </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Bentuk penilaian: non tes (riview buku)</w:t>
            </w:r>
          </w:p>
        </w:tc>
        <w:tc>
          <w:tcPr>
            <w:tcW w:w="1638" w:type="dxa"/>
          </w:tcPr>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Kekhasan</w:t>
            </w:r>
          </w:p>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Kedalaman analisis</w:t>
            </w:r>
          </w:p>
        </w:tc>
        <w:tc>
          <w:tcPr>
            <w:tcW w:w="1139"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9</w:t>
            </w:r>
          </w:p>
        </w:tc>
        <w:tc>
          <w:tcPr>
            <w:tcW w:w="2247" w:type="dxa"/>
          </w:tcPr>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menganalisis hubungan antara pengembangan etika profesionalitas dan guru yang sehat</w:t>
            </w:r>
          </w:p>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menjelaskan pengembangan etika profesionalitas guru yang sehat</w:t>
            </w:r>
          </w:p>
        </w:tc>
        <w:tc>
          <w:tcPr>
            <w:tcW w:w="1791"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Pengembangan etika profesionalitas guru yang sehat</w:t>
            </w:r>
          </w:p>
        </w:tc>
        <w:tc>
          <w:tcPr>
            <w:tcW w:w="1582" w:type="dxa"/>
          </w:tcPr>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Ceramah</w:t>
            </w:r>
          </w:p>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 kelompok</w:t>
            </w:r>
          </w:p>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tc>
        <w:tc>
          <w:tcPr>
            <w:tcW w:w="1046"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TM: 100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Tugas: 120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Kegiatan mandiri: 120 meni</w:t>
            </w:r>
          </w:p>
        </w:tc>
        <w:tc>
          <w:tcPr>
            <w:tcW w:w="2187" w:type="dxa"/>
          </w:tcPr>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Ceramah dosen</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Brainstorming</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w:t>
            </w:r>
          </w:p>
        </w:tc>
        <w:tc>
          <w:tcPr>
            <w:tcW w:w="1373"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 xml:space="preserve">Krietria: ketepatan dan sistematika </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Bentuk penilaian: non tes (makalah)</w:t>
            </w:r>
          </w:p>
        </w:tc>
        <w:tc>
          <w:tcPr>
            <w:tcW w:w="1638" w:type="dxa"/>
          </w:tcPr>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Ketepatan penulisan dan urutan logika</w:t>
            </w:r>
          </w:p>
        </w:tc>
        <w:tc>
          <w:tcPr>
            <w:tcW w:w="1139"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10</w:t>
            </w:r>
          </w:p>
        </w:tc>
        <w:tc>
          <w:tcPr>
            <w:tcW w:w="2247" w:type="dxa"/>
          </w:tcPr>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 xml:space="preserve">Mahasiswa mampu menjelaskan hubungan antara Profesional guru dan </w:t>
            </w:r>
            <w:r>
              <w:rPr>
                <w:rFonts w:ascii="Arial" w:hAnsi="Arial" w:cs="Arial"/>
                <w:i/>
                <w:color w:val="222A35" w:themeColor="text2" w:themeShade="80"/>
                <w:sz w:val="21"/>
                <w:szCs w:val="21"/>
              </w:rPr>
              <w:t>Prophetic education</w:t>
            </w:r>
          </w:p>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 xml:space="preserve">Mahasiswa mampu menjelaskan </w:t>
            </w:r>
            <w:r>
              <w:rPr>
                <w:rFonts w:ascii="Arial" w:hAnsi="Arial" w:cs="Arial"/>
                <w:color w:val="222A35" w:themeColor="text2" w:themeShade="80"/>
                <w:sz w:val="21"/>
                <w:szCs w:val="21"/>
              </w:rPr>
              <w:t xml:space="preserve">Etika profesional guru dalam perspektif </w:t>
            </w:r>
            <w:r>
              <w:rPr>
                <w:rFonts w:ascii="Arial" w:hAnsi="Arial" w:cs="Arial"/>
                <w:i/>
                <w:color w:val="222A35" w:themeColor="text2" w:themeShade="80"/>
                <w:sz w:val="21"/>
                <w:szCs w:val="21"/>
              </w:rPr>
              <w:t>Prophetic education</w:t>
            </w:r>
          </w:p>
        </w:tc>
        <w:tc>
          <w:tcPr>
            <w:tcW w:w="1791"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 xml:space="preserve">Etika profesional guru dalam perspektif </w:t>
            </w:r>
            <w:r>
              <w:rPr>
                <w:rFonts w:ascii="Arial" w:hAnsi="Arial" w:cs="Arial"/>
                <w:i/>
                <w:color w:val="222A35" w:themeColor="text2" w:themeShade="80"/>
                <w:sz w:val="21"/>
                <w:szCs w:val="21"/>
              </w:rPr>
              <w:t>Prophetic education</w:t>
            </w:r>
          </w:p>
        </w:tc>
        <w:tc>
          <w:tcPr>
            <w:tcW w:w="1582" w:type="dxa"/>
          </w:tcPr>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 kelompok</w:t>
            </w:r>
          </w:p>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tc>
        <w:tc>
          <w:tcPr>
            <w:tcW w:w="1046"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TM: 100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Tugas: 120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Kegiatan mandiri: 120 meni</w:t>
            </w:r>
          </w:p>
        </w:tc>
        <w:tc>
          <w:tcPr>
            <w:tcW w:w="2187" w:type="dxa"/>
          </w:tcPr>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 kelompok</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Klarifikasi dan barainstorming</w:t>
            </w:r>
          </w:p>
        </w:tc>
        <w:tc>
          <w:tcPr>
            <w:tcW w:w="1373"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 xml:space="preserve">Krietria: ketepatan dan kedalaman </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Bentuk penilaian: non tes (riview artikel)</w:t>
            </w:r>
          </w:p>
        </w:tc>
        <w:tc>
          <w:tcPr>
            <w:tcW w:w="1638" w:type="dxa"/>
          </w:tcPr>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Kedalaman analisis</w:t>
            </w:r>
          </w:p>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Ketepatan menggunakan teori</w:t>
            </w:r>
          </w:p>
        </w:tc>
        <w:tc>
          <w:tcPr>
            <w:tcW w:w="1139"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11</w:t>
            </w:r>
          </w:p>
        </w:tc>
        <w:tc>
          <w:tcPr>
            <w:tcW w:w="2247" w:type="dxa"/>
          </w:tcPr>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menganalisis Profesional guru dalam perspektif tokoh pendidikan</w:t>
            </w:r>
          </w:p>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 xml:space="preserve">Mahasiswa menjelaskan </w:t>
            </w:r>
            <w:r>
              <w:rPr>
                <w:rFonts w:ascii="Arial" w:hAnsi="Arial" w:cs="Arial"/>
                <w:color w:val="222A35" w:themeColor="text2" w:themeShade="80"/>
                <w:sz w:val="21"/>
                <w:szCs w:val="21"/>
              </w:rPr>
              <w:t>Etika Profesional guru dalam pandangan tokoh pendidikan dan ahli tasawuf</w:t>
            </w:r>
          </w:p>
        </w:tc>
        <w:tc>
          <w:tcPr>
            <w:tcW w:w="1791"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Etika Profesional guru dalam pandangan tokoh pendidikan dan ahli tasawuf</w:t>
            </w:r>
          </w:p>
        </w:tc>
        <w:tc>
          <w:tcPr>
            <w:tcW w:w="1582" w:type="dxa"/>
          </w:tcPr>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Ceramah</w:t>
            </w:r>
          </w:p>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 kelompok</w:t>
            </w:r>
          </w:p>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tc>
        <w:tc>
          <w:tcPr>
            <w:tcW w:w="1046"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TM: 100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Tugas: 120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Kegiatan mandiri: 120 meni</w:t>
            </w:r>
          </w:p>
        </w:tc>
        <w:tc>
          <w:tcPr>
            <w:tcW w:w="2187" w:type="dxa"/>
          </w:tcPr>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Ceramah dosen</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Brainstorming</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w:t>
            </w:r>
          </w:p>
        </w:tc>
        <w:tc>
          <w:tcPr>
            <w:tcW w:w="1373"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 xml:space="preserve">Krietria: ketepatan dan kedalaman </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Bentuk penilaian: non tes (riview buku atau referensi lain)</w:t>
            </w:r>
          </w:p>
        </w:tc>
        <w:tc>
          <w:tcPr>
            <w:tcW w:w="1638" w:type="dxa"/>
          </w:tcPr>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Kedalaman analisis</w:t>
            </w:r>
          </w:p>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Ketepatan memilih kasus</w:t>
            </w:r>
          </w:p>
        </w:tc>
        <w:tc>
          <w:tcPr>
            <w:tcW w:w="1139" w:type="dxa"/>
          </w:tcPr>
          <w:p>
            <w:pPr>
              <w:spacing w:after="0" w:line="240" w:lineRule="auto"/>
              <w:jc w:val="center"/>
              <w:rPr>
                <w:rFonts w:ascii="Arial" w:hAnsi="Arial" w:cs="Arial"/>
                <w:color w:val="222A35" w:themeColor="text2" w:themeShade="8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12</w:t>
            </w:r>
          </w:p>
        </w:tc>
        <w:tc>
          <w:tcPr>
            <w:tcW w:w="2247" w:type="dxa"/>
          </w:tcPr>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menganalisis ciri-ciri guru profesional</w:t>
            </w:r>
          </w:p>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memetakan antara  profesional guru dan guru kharismatik</w:t>
            </w:r>
          </w:p>
        </w:tc>
        <w:tc>
          <w:tcPr>
            <w:tcW w:w="1791"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Etika Profesional guru kharismatik</w:t>
            </w:r>
          </w:p>
        </w:tc>
        <w:tc>
          <w:tcPr>
            <w:tcW w:w="1582" w:type="dxa"/>
          </w:tcPr>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 kelompok</w:t>
            </w:r>
          </w:p>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tc>
        <w:tc>
          <w:tcPr>
            <w:tcW w:w="1046"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TM: 100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Tugas: 120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Kegiatan mandiri: 120 meni</w:t>
            </w:r>
          </w:p>
        </w:tc>
        <w:tc>
          <w:tcPr>
            <w:tcW w:w="2187" w:type="dxa"/>
          </w:tcPr>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 xml:space="preserve">Diskusi </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 xml:space="preserve">Pendalaman </w:t>
            </w:r>
          </w:p>
        </w:tc>
        <w:tc>
          <w:tcPr>
            <w:tcW w:w="1373"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 xml:space="preserve">Krietria: ketepatan dan kedalaman </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Bentuk penilaian: non tes (makalah)</w:t>
            </w:r>
          </w:p>
        </w:tc>
        <w:tc>
          <w:tcPr>
            <w:tcW w:w="1638" w:type="dxa"/>
          </w:tcPr>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Kesesuaian kasus</w:t>
            </w:r>
          </w:p>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Keluasan analisis</w:t>
            </w:r>
          </w:p>
        </w:tc>
        <w:tc>
          <w:tcPr>
            <w:tcW w:w="1139"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13</w:t>
            </w:r>
          </w:p>
        </w:tc>
        <w:tc>
          <w:tcPr>
            <w:tcW w:w="2247" w:type="dxa"/>
          </w:tcPr>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menjelaskan Kompetensi Guru</w:t>
            </w:r>
          </w:p>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membedakan Pengertian Kompetensi dan guru yang berkompeten</w:t>
            </w:r>
          </w:p>
        </w:tc>
        <w:tc>
          <w:tcPr>
            <w:tcW w:w="1791"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Kompetensi Guru</w:t>
            </w:r>
          </w:p>
        </w:tc>
        <w:tc>
          <w:tcPr>
            <w:tcW w:w="1582" w:type="dxa"/>
          </w:tcPr>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Ceramah</w:t>
            </w:r>
          </w:p>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 kelompok</w:t>
            </w:r>
          </w:p>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tc>
        <w:tc>
          <w:tcPr>
            <w:tcW w:w="1046"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TM: 100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Tugas: 120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Kegiatan mandiri: 120 meni</w:t>
            </w:r>
          </w:p>
        </w:tc>
        <w:tc>
          <w:tcPr>
            <w:tcW w:w="2187" w:type="dxa"/>
          </w:tcPr>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Ceramah dosen</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Brainstorming</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w:t>
            </w:r>
          </w:p>
        </w:tc>
        <w:tc>
          <w:tcPr>
            <w:tcW w:w="1373"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 xml:space="preserve">Krietria: ketepatan dan kedalaman </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Bentuk penilaian: non tes (makalah)</w:t>
            </w:r>
          </w:p>
        </w:tc>
        <w:tc>
          <w:tcPr>
            <w:tcW w:w="1638" w:type="dxa"/>
          </w:tcPr>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Ketepatan memilih contoh</w:t>
            </w:r>
          </w:p>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Kedalaman analisis</w:t>
            </w:r>
          </w:p>
        </w:tc>
        <w:tc>
          <w:tcPr>
            <w:tcW w:w="1139"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14</w:t>
            </w:r>
          </w:p>
        </w:tc>
        <w:tc>
          <w:tcPr>
            <w:tcW w:w="2247" w:type="dxa"/>
          </w:tcPr>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menganalisis hubungan Pengembangan dan Profesionalisasi guru</w:t>
            </w:r>
          </w:p>
          <w:p>
            <w:pPr>
              <w:pStyle w:val="10"/>
              <w:numPr>
                <w:ilvl w:val="0"/>
                <w:numId w:val="7"/>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Mahasiswa mampu menjelaskan Pengembangan Profesionalisasi Guru</w:t>
            </w:r>
          </w:p>
        </w:tc>
        <w:tc>
          <w:tcPr>
            <w:tcW w:w="1791"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Pengembangan Profesionalisasi Guru</w:t>
            </w:r>
          </w:p>
        </w:tc>
        <w:tc>
          <w:tcPr>
            <w:tcW w:w="1582" w:type="dxa"/>
          </w:tcPr>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Diskusi kelompok</w:t>
            </w:r>
          </w:p>
          <w:p>
            <w:pPr>
              <w:pStyle w:val="10"/>
              <w:numPr>
                <w:ilvl w:val="0"/>
                <w:numId w:val="8"/>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tc>
        <w:tc>
          <w:tcPr>
            <w:tcW w:w="1046"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TM: 100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Tugas: 120 menit</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Kegiatan mandiri: 120 meni</w:t>
            </w:r>
          </w:p>
        </w:tc>
        <w:tc>
          <w:tcPr>
            <w:tcW w:w="2187" w:type="dxa"/>
          </w:tcPr>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Presentasi mahasiswa</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 xml:space="preserve">Diskusi </w:t>
            </w:r>
          </w:p>
          <w:p>
            <w:pPr>
              <w:pStyle w:val="10"/>
              <w:numPr>
                <w:ilvl w:val="0"/>
                <w:numId w:val="9"/>
              </w:numPr>
              <w:ind w:left="227" w:hanging="227"/>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Pendalaman</w:t>
            </w:r>
          </w:p>
        </w:tc>
        <w:tc>
          <w:tcPr>
            <w:tcW w:w="1373" w:type="dxa"/>
          </w:tcPr>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 xml:space="preserve">Krietria: ketepatan dan kedalaman </w:t>
            </w:r>
          </w:p>
          <w:p>
            <w:pPr>
              <w:spacing w:after="0" w:line="240" w:lineRule="auto"/>
              <w:rPr>
                <w:rFonts w:ascii="Arial" w:hAnsi="Arial" w:cs="Arial"/>
                <w:color w:val="222A35" w:themeColor="text2" w:themeShade="80"/>
                <w:sz w:val="21"/>
                <w:szCs w:val="21"/>
              </w:rPr>
            </w:pPr>
          </w:p>
          <w:p>
            <w:pPr>
              <w:spacing w:after="0" w:line="240" w:lineRule="auto"/>
              <w:rPr>
                <w:rFonts w:ascii="Arial" w:hAnsi="Arial" w:cs="Arial"/>
                <w:color w:val="222A35" w:themeColor="text2" w:themeShade="80"/>
                <w:sz w:val="21"/>
                <w:szCs w:val="21"/>
              </w:rPr>
            </w:pPr>
            <w:r>
              <w:rPr>
                <w:rFonts w:ascii="Arial" w:hAnsi="Arial" w:cs="Arial"/>
                <w:color w:val="222A35" w:themeColor="text2" w:themeShade="80"/>
                <w:sz w:val="21"/>
                <w:szCs w:val="21"/>
              </w:rPr>
              <w:t>Bentuk penilaian: non tes (makalah)</w:t>
            </w:r>
          </w:p>
        </w:tc>
        <w:tc>
          <w:tcPr>
            <w:tcW w:w="1638" w:type="dxa"/>
          </w:tcPr>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Ketepatan memilih contoh atau kasus</w:t>
            </w:r>
          </w:p>
          <w:p>
            <w:pPr>
              <w:pStyle w:val="10"/>
              <w:numPr>
                <w:ilvl w:val="0"/>
                <w:numId w:val="10"/>
              </w:numPr>
              <w:ind w:left="113" w:hanging="113"/>
              <w:rPr>
                <w:rFonts w:ascii="Arial" w:hAnsi="Arial" w:cs="Arial"/>
                <w:color w:val="222A35" w:themeColor="text2" w:themeShade="80"/>
                <w:sz w:val="21"/>
                <w:szCs w:val="21"/>
                <w:lang w:val="id-ID"/>
              </w:rPr>
            </w:pPr>
            <w:r>
              <w:rPr>
                <w:rFonts w:ascii="Arial" w:hAnsi="Arial" w:cs="Arial"/>
                <w:color w:val="222A35" w:themeColor="text2" w:themeShade="80"/>
                <w:sz w:val="21"/>
                <w:szCs w:val="21"/>
                <w:lang w:val="id-ID"/>
              </w:rPr>
              <w:t>Kedalaman analsis</w:t>
            </w:r>
          </w:p>
        </w:tc>
        <w:tc>
          <w:tcPr>
            <w:tcW w:w="1139" w:type="dxa"/>
          </w:tcPr>
          <w:p>
            <w:pPr>
              <w:spacing w:after="0" w:line="240" w:lineRule="auto"/>
              <w:jc w:val="center"/>
              <w:rPr>
                <w:rFonts w:ascii="Arial" w:hAnsi="Arial" w:cs="Arial"/>
                <w:color w:val="222A35" w:themeColor="text2" w:themeShade="80"/>
                <w:sz w:val="21"/>
                <w:szCs w:val="21"/>
              </w:rPr>
            </w:pPr>
            <w:r>
              <w:rPr>
                <w:rFonts w:ascii="Arial" w:hAnsi="Arial" w:cs="Arial"/>
                <w:color w:val="222A35" w:themeColor="text2" w:themeShade="80"/>
                <w:sz w:val="21"/>
                <w:szCs w:val="21"/>
              </w:rPr>
              <w:t>10</w:t>
            </w:r>
          </w:p>
        </w:tc>
      </w:tr>
    </w:tbl>
    <w:p>
      <w:pPr>
        <w:rPr>
          <w:color w:val="222A35" w:themeColor="text2" w:themeShade="80"/>
        </w:rPr>
      </w:pPr>
    </w:p>
    <w:sectPr>
      <w:footerReference r:id="rId3" w:type="default"/>
      <w:pgSz w:w="16838" w:h="11906" w:orient="landscape"/>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Traditional Arabic">
    <w:altName w:val="Times New Roman"/>
    <w:panose1 w:val="02020603050405020304"/>
    <w:charset w:val="00"/>
    <w:family w:val="roman"/>
    <w:pitch w:val="default"/>
    <w:sig w:usb0="00000000" w:usb1="00000000" w:usb2="00000008" w:usb3="00000000" w:csb0="00000041"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032449"/>
      <w:docPartObj>
        <w:docPartGallery w:val="autotext"/>
      </w:docPartObj>
    </w:sdtPr>
    <w:sdtEndPr>
      <w:rPr>
        <w:rFonts w:ascii="Arial" w:hAnsi="Arial" w:cs="Arial"/>
      </w:rPr>
    </w:sdtEndPr>
    <w:sdtContent>
      <w:p>
        <w:pPr>
          <w:pStyle w:val="5"/>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8</w:t>
        </w:r>
        <w:r>
          <w:rPr>
            <w:rFonts w:ascii="Arial" w:hAnsi="Arial" w:cs="Arial"/>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1AC2"/>
    <w:multiLevelType w:val="multilevel"/>
    <w:tmpl w:val="11F81A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A957D41"/>
    <w:multiLevelType w:val="multilevel"/>
    <w:tmpl w:val="1A957D4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AC6817"/>
    <w:multiLevelType w:val="multilevel"/>
    <w:tmpl w:val="1AAC68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2458D0"/>
    <w:multiLevelType w:val="multilevel"/>
    <w:tmpl w:val="1B2458D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BC04473"/>
    <w:multiLevelType w:val="multilevel"/>
    <w:tmpl w:val="1BC0447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8E4689D"/>
    <w:multiLevelType w:val="multilevel"/>
    <w:tmpl w:val="28E4689D"/>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7CB1FB0"/>
    <w:multiLevelType w:val="multilevel"/>
    <w:tmpl w:val="37CB1FB0"/>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6FE72DD"/>
    <w:multiLevelType w:val="multilevel"/>
    <w:tmpl w:val="66FE72D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FC77D09"/>
    <w:multiLevelType w:val="multilevel"/>
    <w:tmpl w:val="6FC77D09"/>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FE1594C"/>
    <w:multiLevelType w:val="multilevel"/>
    <w:tmpl w:val="6FE1594C"/>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1"/>
  </w:num>
  <w:num w:numId="6">
    <w:abstractNumId w:val="6"/>
  </w:num>
  <w:num w:numId="7">
    <w:abstractNumId w:val="9"/>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6D"/>
    <w:rsid w:val="0007283D"/>
    <w:rsid w:val="000A11E6"/>
    <w:rsid w:val="000B5580"/>
    <w:rsid w:val="000C6D88"/>
    <w:rsid w:val="000E033E"/>
    <w:rsid w:val="000F3791"/>
    <w:rsid w:val="001257C8"/>
    <w:rsid w:val="0013118E"/>
    <w:rsid w:val="00155038"/>
    <w:rsid w:val="001773C6"/>
    <w:rsid w:val="001831CA"/>
    <w:rsid w:val="00186D18"/>
    <w:rsid w:val="001B7E5C"/>
    <w:rsid w:val="001C31F9"/>
    <w:rsid w:val="001C69EA"/>
    <w:rsid w:val="002008F7"/>
    <w:rsid w:val="00221673"/>
    <w:rsid w:val="00224E87"/>
    <w:rsid w:val="002316CB"/>
    <w:rsid w:val="00251B31"/>
    <w:rsid w:val="0027759F"/>
    <w:rsid w:val="002779EC"/>
    <w:rsid w:val="00284D57"/>
    <w:rsid w:val="002B717F"/>
    <w:rsid w:val="002D3FCD"/>
    <w:rsid w:val="002D5619"/>
    <w:rsid w:val="002F2D6D"/>
    <w:rsid w:val="002F4966"/>
    <w:rsid w:val="00312080"/>
    <w:rsid w:val="003271B7"/>
    <w:rsid w:val="0036777D"/>
    <w:rsid w:val="0039456C"/>
    <w:rsid w:val="003C1809"/>
    <w:rsid w:val="003C47B7"/>
    <w:rsid w:val="00435EDA"/>
    <w:rsid w:val="0044603A"/>
    <w:rsid w:val="0045370D"/>
    <w:rsid w:val="004555AD"/>
    <w:rsid w:val="004D7949"/>
    <w:rsid w:val="00507C21"/>
    <w:rsid w:val="00527E11"/>
    <w:rsid w:val="00531B71"/>
    <w:rsid w:val="00590F69"/>
    <w:rsid w:val="005A1E65"/>
    <w:rsid w:val="005B117B"/>
    <w:rsid w:val="005B2971"/>
    <w:rsid w:val="005D70FE"/>
    <w:rsid w:val="006250CC"/>
    <w:rsid w:val="0063703F"/>
    <w:rsid w:val="00657822"/>
    <w:rsid w:val="006603E6"/>
    <w:rsid w:val="00661508"/>
    <w:rsid w:val="00666B72"/>
    <w:rsid w:val="006923CC"/>
    <w:rsid w:val="006F4167"/>
    <w:rsid w:val="00744E9D"/>
    <w:rsid w:val="00746EEB"/>
    <w:rsid w:val="007A42E8"/>
    <w:rsid w:val="007C477F"/>
    <w:rsid w:val="00815A25"/>
    <w:rsid w:val="00827E30"/>
    <w:rsid w:val="00847D0A"/>
    <w:rsid w:val="00856D63"/>
    <w:rsid w:val="00880675"/>
    <w:rsid w:val="008C175E"/>
    <w:rsid w:val="00905356"/>
    <w:rsid w:val="009611AB"/>
    <w:rsid w:val="009722B6"/>
    <w:rsid w:val="00985B8D"/>
    <w:rsid w:val="009B6BCC"/>
    <w:rsid w:val="009C5E60"/>
    <w:rsid w:val="00A55375"/>
    <w:rsid w:val="00A639E4"/>
    <w:rsid w:val="00AA7753"/>
    <w:rsid w:val="00AC37DD"/>
    <w:rsid w:val="00AF0BE5"/>
    <w:rsid w:val="00B16A59"/>
    <w:rsid w:val="00B70DCB"/>
    <w:rsid w:val="00BA58B1"/>
    <w:rsid w:val="00BC37F9"/>
    <w:rsid w:val="00BC4CCE"/>
    <w:rsid w:val="00BD15BE"/>
    <w:rsid w:val="00C4154A"/>
    <w:rsid w:val="00C926A3"/>
    <w:rsid w:val="00CD572B"/>
    <w:rsid w:val="00D03567"/>
    <w:rsid w:val="00D3607A"/>
    <w:rsid w:val="00D44172"/>
    <w:rsid w:val="00D503A4"/>
    <w:rsid w:val="00D81C10"/>
    <w:rsid w:val="00D9763D"/>
    <w:rsid w:val="00DD5D5E"/>
    <w:rsid w:val="00E27FAB"/>
    <w:rsid w:val="00E34E20"/>
    <w:rsid w:val="00E72233"/>
    <w:rsid w:val="00E74624"/>
    <w:rsid w:val="00E74D87"/>
    <w:rsid w:val="00EF5987"/>
    <w:rsid w:val="00F1294B"/>
    <w:rsid w:val="00F458EB"/>
    <w:rsid w:val="00F57844"/>
    <w:rsid w:val="00F7498C"/>
    <w:rsid w:val="00FA156D"/>
    <w:rsid w:val="1A9A4C9C"/>
    <w:rsid w:val="369F0A67"/>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d-ID" w:eastAsia="en-US" w:bidi="ar-SA"/>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6"/>
    <w:semiHidden/>
    <w:unhideWhenUsed/>
    <w:uiPriority w:val="99"/>
    <w:pPr>
      <w:spacing w:after="0" w:line="240" w:lineRule="auto"/>
    </w:pPr>
    <w:rPr>
      <w:rFonts w:ascii="Tahoma" w:hAnsi="Tahoma" w:cs="Tahoma"/>
      <w:sz w:val="16"/>
      <w:szCs w:val="16"/>
    </w:rPr>
  </w:style>
  <w:style w:type="paragraph" w:styleId="3">
    <w:name w:val="Body Text"/>
    <w:basedOn w:val="1"/>
    <w:link w:val="14"/>
    <w:uiPriority w:val="0"/>
    <w:pPr>
      <w:spacing w:after="120" w:line="240" w:lineRule="auto"/>
    </w:pPr>
    <w:rPr>
      <w:rFonts w:ascii="Times New Roman" w:hAnsi="Times New Roman" w:eastAsia="Times New Roman" w:cs="Times New Roman"/>
      <w:sz w:val="24"/>
      <w:szCs w:val="20"/>
    </w:rPr>
  </w:style>
  <w:style w:type="paragraph" w:styleId="4">
    <w:name w:val="Body Text Indent 2"/>
    <w:basedOn w:val="1"/>
    <w:link w:val="15"/>
    <w:semiHidden/>
    <w:unhideWhenUsed/>
    <w:uiPriority w:val="99"/>
    <w:pPr>
      <w:spacing w:after="120" w:line="480" w:lineRule="auto"/>
      <w:ind w:left="283"/>
    </w:pPr>
  </w:style>
  <w:style w:type="paragraph" w:styleId="5">
    <w:name w:val="footer"/>
    <w:basedOn w:val="1"/>
    <w:link w:val="13"/>
    <w:unhideWhenUsed/>
    <w:uiPriority w:val="99"/>
    <w:pPr>
      <w:tabs>
        <w:tab w:val="center" w:pos="4513"/>
        <w:tab w:val="right" w:pos="9026"/>
      </w:tabs>
      <w:spacing w:after="0" w:line="240" w:lineRule="auto"/>
    </w:pPr>
  </w:style>
  <w:style w:type="paragraph" w:styleId="6">
    <w:name w:val="header"/>
    <w:basedOn w:val="1"/>
    <w:link w:val="11"/>
    <w:unhideWhenUsed/>
    <w:uiPriority w:val="0"/>
    <w:pPr>
      <w:tabs>
        <w:tab w:val="center" w:pos="4513"/>
        <w:tab w:val="right" w:pos="9026"/>
      </w:tabs>
      <w:spacing w:after="0" w:line="240" w:lineRule="auto"/>
    </w:pPr>
  </w:style>
  <w:style w:type="table" w:styleId="9">
    <w:name w:val="Table Grid"/>
    <w:basedOn w:val="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0">
    <w:name w:val="List Paragraph"/>
    <w:basedOn w:val="1"/>
    <w:qFormat/>
    <w:uiPriority w:val="34"/>
    <w:pPr>
      <w:spacing w:after="0" w:line="240" w:lineRule="auto"/>
      <w:ind w:left="720"/>
      <w:contextualSpacing/>
    </w:pPr>
    <w:rPr>
      <w:lang w:val="en-US"/>
    </w:rPr>
  </w:style>
  <w:style w:type="character" w:customStyle="1" w:styleId="11">
    <w:name w:val="Header Char"/>
    <w:basedOn w:val="7"/>
    <w:link w:val="6"/>
    <w:uiPriority w:val="0"/>
  </w:style>
  <w:style w:type="paragraph" w:customStyle="1" w:styleId="12">
    <w:name w:val="Colorful List - Accent 11"/>
    <w:basedOn w:val="1"/>
    <w:qFormat/>
    <w:uiPriority w:val="34"/>
    <w:pPr>
      <w:spacing w:after="0" w:line="240" w:lineRule="auto"/>
      <w:ind w:left="720"/>
      <w:contextualSpacing/>
      <w:jc w:val="center"/>
    </w:pPr>
    <w:rPr>
      <w:rFonts w:ascii="Cambria" w:hAnsi="Cambria" w:eastAsia="Calibri" w:cs="Traditional Arabic"/>
      <w:szCs w:val="32"/>
      <w:lang w:val="en-GB"/>
    </w:rPr>
  </w:style>
  <w:style w:type="character" w:customStyle="1" w:styleId="13">
    <w:name w:val="Footer Char"/>
    <w:basedOn w:val="7"/>
    <w:link w:val="5"/>
    <w:uiPriority w:val="99"/>
  </w:style>
  <w:style w:type="character" w:customStyle="1" w:styleId="14">
    <w:name w:val="Body Text Char"/>
    <w:basedOn w:val="7"/>
    <w:link w:val="3"/>
    <w:uiPriority w:val="0"/>
    <w:rPr>
      <w:rFonts w:ascii="Times New Roman" w:hAnsi="Times New Roman" w:eastAsia="Times New Roman" w:cs="Times New Roman"/>
      <w:sz w:val="24"/>
      <w:szCs w:val="20"/>
    </w:rPr>
  </w:style>
  <w:style w:type="character" w:customStyle="1" w:styleId="15">
    <w:name w:val="Body Text Indent 2 Char"/>
    <w:basedOn w:val="7"/>
    <w:link w:val="4"/>
    <w:semiHidden/>
    <w:uiPriority w:val="99"/>
  </w:style>
  <w:style w:type="character" w:customStyle="1" w:styleId="16">
    <w:name w:val="Balloon Text Char"/>
    <w:basedOn w:val="7"/>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1761</Words>
  <Characters>10041</Characters>
  <Lines>83</Lines>
  <Paragraphs>23</Paragraphs>
  <TotalTime>5</TotalTime>
  <ScaleCrop>false</ScaleCrop>
  <LinksUpToDate>false</LinksUpToDate>
  <CharactersWithSpaces>11779</CharactersWithSpaces>
  <Application>WPS Office_11.2.0.8641_F1E327BC-269C-435d-A152-05C5408002CA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2020-02-19T14:10:00Z</dcterms:created>
  <dc:creator>LAB Dakwah2</dc:creator>
  <cp:lastModifiedBy>ASUS</cp:lastModifiedBy>
  <cp:lastPrinted>2022-03-08T07:31:30Z</cp:lastPrinted>
  <dcterms:modified xsi:type="dcterms:W3CDTF">2022-03-08T07:33:04Z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