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92807" w14:textId="532E3707" w:rsidR="000E70A7" w:rsidRDefault="000E70A7" w:rsidP="000E70A7">
      <w:pPr>
        <w:jc w:val="center"/>
        <w:rPr>
          <w:b/>
          <w:bCs/>
        </w:rPr>
      </w:pPr>
      <w:bookmarkStart w:id="0" w:name="_GoBack"/>
      <w:bookmarkEnd w:id="0"/>
      <w:r w:rsidRPr="00D50B97">
        <w:rPr>
          <w:b/>
          <w:bCs/>
        </w:rPr>
        <w:t>REVIEW CHECKLIST</w:t>
      </w:r>
      <w:r>
        <w:rPr>
          <w:b/>
          <w:bCs/>
        </w:rPr>
        <w:t xml:space="preserve"> DR </w:t>
      </w:r>
      <w:r w:rsidR="00712A8B">
        <w:rPr>
          <w:b/>
          <w:bCs/>
        </w:rPr>
        <w:t>EDWARD</w:t>
      </w:r>
    </w:p>
    <w:p w14:paraId="66C41FA4" w14:textId="7B7CF24C" w:rsidR="000E70A7" w:rsidRPr="00D50B97" w:rsidRDefault="000E70A7" w:rsidP="000E70A7">
      <w:pPr>
        <w:jc w:val="center"/>
        <w:rPr>
          <w:b/>
          <w:bCs/>
        </w:rPr>
      </w:pPr>
      <w:r>
        <w:rPr>
          <w:b/>
          <w:bCs/>
        </w:rPr>
        <w:t xml:space="preserve">(CHAPTER </w:t>
      </w:r>
      <w:r w:rsidR="00B80EC0">
        <w:rPr>
          <w:b/>
          <w:bCs/>
        </w:rPr>
        <w:t>5</w:t>
      </w:r>
      <w:r>
        <w:rPr>
          <w:b/>
          <w:bCs/>
        </w:rPr>
        <w:t>)</w:t>
      </w:r>
    </w:p>
    <w:tbl>
      <w:tblPr>
        <w:tblStyle w:val="TableGrid"/>
        <w:tblW w:w="0" w:type="auto"/>
        <w:tblLook w:val="04A0" w:firstRow="1" w:lastRow="0" w:firstColumn="1" w:lastColumn="0" w:noHBand="0" w:noVBand="1"/>
      </w:tblPr>
      <w:tblGrid>
        <w:gridCol w:w="1413"/>
        <w:gridCol w:w="3827"/>
        <w:gridCol w:w="3776"/>
      </w:tblGrid>
      <w:tr w:rsidR="000E70A7" w14:paraId="6D8CCFC0" w14:textId="77777777" w:rsidTr="00A0331C">
        <w:tc>
          <w:tcPr>
            <w:tcW w:w="1413" w:type="dxa"/>
          </w:tcPr>
          <w:p w14:paraId="59014984" w14:textId="77777777" w:rsidR="000E70A7" w:rsidRPr="00D50B97" w:rsidRDefault="000E70A7" w:rsidP="00A0331C">
            <w:pPr>
              <w:rPr>
                <w:b/>
                <w:bCs/>
              </w:rPr>
            </w:pPr>
            <w:r w:rsidRPr="00D50B97">
              <w:rPr>
                <w:b/>
                <w:bCs/>
              </w:rPr>
              <w:t>Page</w:t>
            </w:r>
          </w:p>
        </w:tc>
        <w:tc>
          <w:tcPr>
            <w:tcW w:w="3827" w:type="dxa"/>
          </w:tcPr>
          <w:p w14:paraId="216E36E7" w14:textId="77777777" w:rsidR="000E70A7" w:rsidRPr="00D50B97" w:rsidRDefault="000E70A7" w:rsidP="00A0331C">
            <w:pPr>
              <w:rPr>
                <w:b/>
                <w:bCs/>
              </w:rPr>
            </w:pPr>
            <w:r w:rsidRPr="00D50B97">
              <w:rPr>
                <w:b/>
                <w:bCs/>
              </w:rPr>
              <w:t>Reviewer/Supervisor</w:t>
            </w:r>
          </w:p>
        </w:tc>
        <w:tc>
          <w:tcPr>
            <w:tcW w:w="3776" w:type="dxa"/>
          </w:tcPr>
          <w:p w14:paraId="1C3D0F9E" w14:textId="77777777" w:rsidR="000E70A7" w:rsidRPr="00D50B97" w:rsidRDefault="000E70A7" w:rsidP="00A0331C">
            <w:pPr>
              <w:rPr>
                <w:b/>
                <w:bCs/>
              </w:rPr>
            </w:pPr>
            <w:r w:rsidRPr="00D50B97">
              <w:rPr>
                <w:b/>
                <w:bCs/>
              </w:rPr>
              <w:t>Response</w:t>
            </w:r>
          </w:p>
        </w:tc>
      </w:tr>
      <w:tr w:rsidR="000E70A7" w14:paraId="0BE88BCE" w14:textId="77777777" w:rsidTr="00A0331C">
        <w:tc>
          <w:tcPr>
            <w:tcW w:w="1413" w:type="dxa"/>
          </w:tcPr>
          <w:p w14:paraId="4E0AF129" w14:textId="3518597C" w:rsidR="000E70A7" w:rsidRDefault="004B600E" w:rsidP="00A0331C">
            <w:r>
              <w:t>1</w:t>
            </w:r>
          </w:p>
        </w:tc>
        <w:tc>
          <w:tcPr>
            <w:tcW w:w="3827" w:type="dxa"/>
          </w:tcPr>
          <w:p w14:paraId="09AEA827" w14:textId="18DB6E04" w:rsidR="004B600E" w:rsidRDefault="0016119E" w:rsidP="004B600E">
            <w:pPr>
              <w:pStyle w:val="CommentText"/>
            </w:pPr>
            <w:r>
              <w:t>Dr Edward said:</w:t>
            </w:r>
            <w:r w:rsidR="004B600E">
              <w:t xml:space="preserve"> You mean the newly innovated Islamic products or the theoretically ideal products?</w:t>
            </w:r>
          </w:p>
          <w:p w14:paraId="6908161D" w14:textId="77777777" w:rsidR="000E70A7" w:rsidRDefault="000E70A7" w:rsidP="00A0331C"/>
          <w:p w14:paraId="6A4A5343" w14:textId="77777777" w:rsidR="00984215" w:rsidRDefault="00984215" w:rsidP="00984215">
            <w:pPr>
              <w:pStyle w:val="CommentText"/>
            </w:pPr>
            <w:r>
              <w:t>Dr Edward said, I’m not sure how this is connected to the previous paragraph and the following paragraph. Are you suggesting that it is the stiff competition from conventional banks that is driving IBs to innovate their products?</w:t>
            </w:r>
          </w:p>
          <w:p w14:paraId="787CC61B" w14:textId="77777777" w:rsidR="00984215" w:rsidRDefault="00984215" w:rsidP="00A0331C"/>
          <w:p w14:paraId="6BB203B1" w14:textId="1A7B76BA" w:rsidR="004C005E" w:rsidRDefault="004C005E" w:rsidP="00A0331C">
            <w:r>
              <w:t>Dr Edward said, I’m not sure what you mean here.</w:t>
            </w:r>
          </w:p>
        </w:tc>
        <w:tc>
          <w:tcPr>
            <w:tcW w:w="3776" w:type="dxa"/>
          </w:tcPr>
          <w:p w14:paraId="443D88C8" w14:textId="77777777" w:rsidR="000E70A7" w:rsidRDefault="004B600E" w:rsidP="00A0331C">
            <w:r>
              <w:t>Theoretically ideal products</w:t>
            </w:r>
          </w:p>
          <w:p w14:paraId="4C3926D6" w14:textId="77777777" w:rsidR="00984215" w:rsidRDefault="00984215" w:rsidP="00A0331C"/>
          <w:p w14:paraId="0BCA1DB5" w14:textId="77777777" w:rsidR="00984215" w:rsidRDefault="00984215" w:rsidP="00A0331C"/>
          <w:p w14:paraId="7CEDC121" w14:textId="77777777" w:rsidR="00984215" w:rsidRDefault="00984215" w:rsidP="00A0331C"/>
          <w:p w14:paraId="7B2FB992" w14:textId="77777777" w:rsidR="00984215" w:rsidRDefault="00984215" w:rsidP="00A0331C">
            <w:r>
              <w:t xml:space="preserve">I have changed the last sentence, </w:t>
            </w:r>
            <w:r w:rsidR="007750C9">
              <w:t>and said it forces IBs to focus on diversifying their products.</w:t>
            </w:r>
          </w:p>
          <w:p w14:paraId="1C411C36" w14:textId="77777777" w:rsidR="004C005E" w:rsidRDefault="004C005E" w:rsidP="00A0331C"/>
          <w:p w14:paraId="2DEF955B" w14:textId="77777777" w:rsidR="004C005E" w:rsidRDefault="004C005E" w:rsidP="00A0331C"/>
          <w:p w14:paraId="7D6AA835" w14:textId="77777777" w:rsidR="004C005E" w:rsidRDefault="004C005E" w:rsidP="00A0331C"/>
          <w:p w14:paraId="27448D2C" w14:textId="073A8060" w:rsidR="004C005E" w:rsidRDefault="00601BC4" w:rsidP="00A0331C">
            <w:r>
              <w:t xml:space="preserve">I have changed the sentence and said </w:t>
            </w:r>
            <w:r>
              <w:rPr>
                <w:rFonts w:ascii="Times New Roman" w:hAnsi="Times New Roman" w:cs="Times New Roman"/>
                <w:sz w:val="24"/>
                <w:szCs w:val="24"/>
              </w:rPr>
              <w:t xml:space="preserve">what consequences would Islamic Banks have if they are not to benchmark against interest rates.  </w:t>
            </w:r>
          </w:p>
        </w:tc>
      </w:tr>
      <w:tr w:rsidR="000E70A7" w14:paraId="0213BDBA" w14:textId="77777777" w:rsidTr="00A0331C">
        <w:tc>
          <w:tcPr>
            <w:tcW w:w="1413" w:type="dxa"/>
          </w:tcPr>
          <w:p w14:paraId="2A1568CC" w14:textId="7B4C4691" w:rsidR="000E70A7" w:rsidRDefault="00A230D0" w:rsidP="00A0331C">
            <w:r>
              <w:t>2</w:t>
            </w:r>
          </w:p>
        </w:tc>
        <w:tc>
          <w:tcPr>
            <w:tcW w:w="3827" w:type="dxa"/>
          </w:tcPr>
          <w:p w14:paraId="25A5D73B" w14:textId="11E78E56" w:rsidR="00A230D0" w:rsidRDefault="0016119E" w:rsidP="00A230D0">
            <w:pPr>
              <w:pStyle w:val="CommentText"/>
            </w:pPr>
            <w:r>
              <w:t>Dr Edward said:</w:t>
            </w:r>
            <w:r w:rsidR="00A230D0">
              <w:t xml:space="preserve"> These are not attitudes. They are characteristics of a contract.</w:t>
            </w:r>
          </w:p>
          <w:p w14:paraId="73D435B2" w14:textId="77777777" w:rsidR="00E04AFA" w:rsidRDefault="00A230D0" w:rsidP="00A230D0">
            <w:pPr>
              <w:pStyle w:val="CommentText"/>
            </w:pPr>
            <w:proofErr w:type="spellStart"/>
            <w:r>
              <w:t>G</w:t>
            </w:r>
            <w:r w:rsidRPr="00A62CF7">
              <w:t>harar</w:t>
            </w:r>
            <w:proofErr w:type="spellEnd"/>
            <w:r>
              <w:t xml:space="preserve"> is better conceptualised as excessive uncertainty and (potentially deceptive) ambiguity.</w:t>
            </w:r>
          </w:p>
          <w:p w14:paraId="7F8B8142" w14:textId="44214E06" w:rsidR="00A230D0" w:rsidRDefault="00A230D0" w:rsidP="00A230D0">
            <w:pPr>
              <w:pStyle w:val="CommentText"/>
            </w:pPr>
          </w:p>
          <w:p w14:paraId="53656148" w14:textId="45C4BB42" w:rsidR="00AA5491" w:rsidRDefault="00AA5491" w:rsidP="00A230D0">
            <w:pPr>
              <w:pStyle w:val="CommentText"/>
            </w:pPr>
          </w:p>
          <w:p w14:paraId="2750A480" w14:textId="77777777" w:rsidR="002826AA" w:rsidRDefault="002826AA" w:rsidP="00A230D0">
            <w:pPr>
              <w:pStyle w:val="CommentText"/>
            </w:pPr>
          </w:p>
          <w:p w14:paraId="7829A01B" w14:textId="77777777" w:rsidR="002826AA" w:rsidRDefault="00A230D0" w:rsidP="002826AA">
            <w:pPr>
              <w:pStyle w:val="CommentText"/>
            </w:pPr>
            <w:r>
              <w:t>Dr Edward said:</w:t>
            </w:r>
            <w:r w:rsidR="002826AA">
              <w:t xml:space="preserve"> You need a reference for this interpretation of 2:185 because others interpret this verse as meaning something slightly different [e.g. Muhammad Al-Bashir Muhammad Al-Amine in </w:t>
            </w:r>
            <w:r w:rsidR="002826AA" w:rsidRPr="007020E2">
              <w:rPr>
                <w:i/>
              </w:rPr>
              <w:t>Arab Law Quarterly</w:t>
            </w:r>
            <w:r w:rsidR="002826AA">
              <w:t xml:space="preserve"> , 2001, Vol. 16, No. 1 (2001), pp. 27, interprets it as indicating that it is permissible to go beyond what classical scholars deemed halal/haram financial products/transactions, otherwise life is made unduly hard for people. </w:t>
            </w:r>
            <w:proofErr w:type="spellStart"/>
            <w:r w:rsidR="002826AA" w:rsidRPr="007020E2">
              <w:t>Ercanbrack</w:t>
            </w:r>
            <w:proofErr w:type="spellEnd"/>
            <w:r w:rsidR="002826AA" w:rsidRPr="007020E2">
              <w:t>,</w:t>
            </w:r>
            <w:r w:rsidR="002826AA">
              <w:t xml:space="preserve"> in</w:t>
            </w:r>
            <w:r w:rsidR="002826AA" w:rsidRPr="007020E2">
              <w:t xml:space="preserve"> </w:t>
            </w:r>
            <w:r w:rsidR="002826AA" w:rsidRPr="007020E2">
              <w:rPr>
                <w:i/>
              </w:rPr>
              <w:t>The Transformation of Islamic Law in Global Financial Markets</w:t>
            </w:r>
            <w:r w:rsidR="002826AA" w:rsidRPr="007020E2">
              <w:t>, C</w:t>
            </w:r>
            <w:r w:rsidR="002826AA">
              <w:t>ambridge University Press, 2014, p.62, says that the Hanbali interpretation of this verse is that it means jurists cannot judge something to be haram on merely speculative grounds.]</w:t>
            </w:r>
          </w:p>
          <w:p w14:paraId="6FF01D2C" w14:textId="77777777" w:rsidR="002826AA" w:rsidRDefault="002826AA" w:rsidP="002826AA">
            <w:pPr>
              <w:pStyle w:val="CommentText"/>
            </w:pPr>
          </w:p>
          <w:p w14:paraId="4CBB1711" w14:textId="699C1A71" w:rsidR="00A230D0" w:rsidRDefault="002826AA" w:rsidP="002826AA">
            <w:pPr>
              <w:pStyle w:val="CommentText"/>
            </w:pPr>
            <w:r>
              <w:t xml:space="preserve">You could probably also cite </w:t>
            </w:r>
            <w:r w:rsidRPr="00B5097A">
              <w:t>2:278</w:t>
            </w:r>
            <w:r>
              <w:t>-</w:t>
            </w:r>
            <w:r w:rsidRPr="00B5097A">
              <w:t>283</w:t>
            </w:r>
            <w:r>
              <w:t>. It would probably too much work to go into detail about the meanings of all the lines in these verses, but you could indicate that they fairly explicitly refer to certain virtues [which you can identify] that should inhere in trade and contracts.</w:t>
            </w:r>
          </w:p>
          <w:p w14:paraId="0F53F48A" w14:textId="22D912F3" w:rsidR="00A230D0" w:rsidRDefault="00A230D0" w:rsidP="00A230D0">
            <w:pPr>
              <w:pStyle w:val="CommentText"/>
            </w:pPr>
          </w:p>
          <w:p w14:paraId="7CB8AC52" w14:textId="53B7C0E5" w:rsidR="00A230D0" w:rsidRDefault="00A230D0" w:rsidP="00A230D0">
            <w:pPr>
              <w:pStyle w:val="CommentText"/>
            </w:pPr>
            <w:r>
              <w:t>Dr Edward said:</w:t>
            </w:r>
          </w:p>
          <w:p w14:paraId="12622378" w14:textId="2F1CD105" w:rsidR="00A230D0" w:rsidRDefault="00A230D0" w:rsidP="00A230D0">
            <w:pPr>
              <w:pStyle w:val="CommentText"/>
            </w:pPr>
          </w:p>
        </w:tc>
        <w:tc>
          <w:tcPr>
            <w:tcW w:w="3776" w:type="dxa"/>
          </w:tcPr>
          <w:p w14:paraId="465A64D4" w14:textId="77777777" w:rsidR="004D2B47" w:rsidRDefault="00CD3958" w:rsidP="00A0331C">
            <w:r>
              <w:t xml:space="preserve">It is </w:t>
            </w:r>
            <w:proofErr w:type="gramStart"/>
            <w:r>
              <w:t>really hard</w:t>
            </w:r>
            <w:proofErr w:type="gramEnd"/>
            <w:r>
              <w:t xml:space="preserve"> to actually conceptualise it into other than Arabic</w:t>
            </w:r>
            <w:r w:rsidR="00FD06BC">
              <w:t xml:space="preserve">. </w:t>
            </w:r>
            <w:r w:rsidR="00AA5491">
              <w:t>Yes,</w:t>
            </w:r>
            <w:r w:rsidR="0081580F">
              <w:t xml:space="preserve"> </w:t>
            </w:r>
            <w:r w:rsidR="00BE2DA8">
              <w:t xml:space="preserve">they are not </w:t>
            </w:r>
            <w:r w:rsidR="0081580F">
              <w:t xml:space="preserve">related to attitude of a person, </w:t>
            </w:r>
            <w:r w:rsidR="000D69DE">
              <w:t>instead</w:t>
            </w:r>
            <w:r w:rsidR="00393C4C">
              <w:t xml:space="preserve"> </w:t>
            </w:r>
            <w:r w:rsidR="004F1A68">
              <w:t>we</w:t>
            </w:r>
            <w:r w:rsidR="002D1F23">
              <w:t xml:space="preserve"> (in Indonesia)</w:t>
            </w:r>
            <w:r w:rsidR="004F1A68">
              <w:t xml:space="preserve"> do say these as </w:t>
            </w:r>
            <w:r w:rsidR="00393C4C">
              <w:t>Islamic principle</w:t>
            </w:r>
            <w:r w:rsidR="00AA5491">
              <w:t>s</w:t>
            </w:r>
            <w:r w:rsidR="00393C4C">
              <w:t xml:space="preserve"> that should be followed in Islamic financial activities.</w:t>
            </w:r>
          </w:p>
          <w:p w14:paraId="2FF3DE1A" w14:textId="77777777" w:rsidR="002916E6" w:rsidRDefault="002916E6" w:rsidP="00A0331C"/>
          <w:p w14:paraId="59F75F66" w14:textId="229F6874" w:rsidR="002916E6" w:rsidRDefault="002916E6" w:rsidP="00A0331C">
            <w:r>
              <w:t xml:space="preserve">Thanks Edward, </w:t>
            </w:r>
            <w:r w:rsidR="00FC0345">
              <w:t xml:space="preserve">I appreciate your knowledge about this. </w:t>
            </w:r>
            <w:r w:rsidR="00564168">
              <w:t xml:space="preserve">Citing from 2:280 would be more appropriate </w:t>
            </w:r>
            <w:proofErr w:type="gramStart"/>
            <w:r w:rsidR="00564168">
              <w:t>with regard to</w:t>
            </w:r>
            <w:proofErr w:type="gramEnd"/>
            <w:r w:rsidR="00564168">
              <w:t xml:space="preserve"> </w:t>
            </w:r>
            <w:r w:rsidR="0024393F">
              <w:t xml:space="preserve">the purpose of avoiding </w:t>
            </w:r>
            <w:r w:rsidR="00564168">
              <w:t>exploitation</w:t>
            </w:r>
            <w:r w:rsidR="007F6186">
              <w:t xml:space="preserve"> in financial activities</w:t>
            </w:r>
            <w:r w:rsidR="00564168">
              <w:t xml:space="preserve">. </w:t>
            </w:r>
          </w:p>
        </w:tc>
      </w:tr>
      <w:tr w:rsidR="006376F3" w14:paraId="383E4DDD" w14:textId="77777777" w:rsidTr="00A0331C">
        <w:tc>
          <w:tcPr>
            <w:tcW w:w="1413" w:type="dxa"/>
          </w:tcPr>
          <w:p w14:paraId="41D8C8AC" w14:textId="3F2E698C" w:rsidR="006376F3" w:rsidRDefault="00CF6061" w:rsidP="00A0331C">
            <w:r>
              <w:lastRenderedPageBreak/>
              <w:t>3</w:t>
            </w:r>
          </w:p>
        </w:tc>
        <w:tc>
          <w:tcPr>
            <w:tcW w:w="3827" w:type="dxa"/>
          </w:tcPr>
          <w:p w14:paraId="1CCAFEF2" w14:textId="77777777" w:rsidR="00D41015" w:rsidRDefault="0016119E" w:rsidP="000E70A7">
            <w:pPr>
              <w:pStyle w:val="CommentText"/>
            </w:pPr>
            <w:r>
              <w:t>Dr Edward said:</w:t>
            </w:r>
            <w:r w:rsidR="00CF6061">
              <w:t xml:space="preserve"> I’m not sure what you are saying here. This needs to be expressed differently.</w:t>
            </w:r>
          </w:p>
          <w:p w14:paraId="3F7C1717" w14:textId="77777777" w:rsidR="00485700" w:rsidRDefault="00485700" w:rsidP="000E70A7">
            <w:pPr>
              <w:pStyle w:val="CommentText"/>
            </w:pPr>
          </w:p>
          <w:p w14:paraId="168E906B" w14:textId="314CE1D4" w:rsidR="00485700" w:rsidRDefault="00485700" w:rsidP="00485700">
            <w:pPr>
              <w:pStyle w:val="CommentText"/>
            </w:pPr>
            <w:r>
              <w:t xml:space="preserve"> Dr Edward said: Provide Qur’anic reference.</w:t>
            </w:r>
          </w:p>
          <w:p w14:paraId="6D805017" w14:textId="6E8D6688" w:rsidR="00B06658" w:rsidRDefault="00B06658" w:rsidP="00485700">
            <w:pPr>
              <w:pStyle w:val="CommentText"/>
            </w:pPr>
          </w:p>
          <w:p w14:paraId="2D5725A6" w14:textId="3B9CEDA9" w:rsidR="00B70B97" w:rsidRDefault="00B06658" w:rsidP="00B70B97">
            <w:pPr>
              <w:pStyle w:val="CommentText"/>
            </w:pPr>
            <w:r>
              <w:t>Dr Edward said:</w:t>
            </w:r>
            <w:r w:rsidR="00B70B97">
              <w:t xml:space="preserve"> Consider this instead:</w:t>
            </w:r>
          </w:p>
          <w:p w14:paraId="034C247B" w14:textId="77777777" w:rsidR="00B70B97" w:rsidRDefault="00B70B97" w:rsidP="00B70B97">
            <w:pPr>
              <w:pStyle w:val="CommentText"/>
            </w:pPr>
            <w:r>
              <w:rPr>
                <w:rFonts w:ascii="Times New Roman" w:hAnsi="Times New Roman" w:cs="Times New Roman"/>
                <w:sz w:val="24"/>
                <w:szCs w:val="24"/>
              </w:rPr>
              <w:t xml:space="preserve">Expressed in negative terms, it is a financial gain that is </w:t>
            </w:r>
            <w:r>
              <w:rPr>
                <w:rFonts w:ascii="Times New Roman" w:hAnsi="Times New Roman" w:cs="Times New Roman"/>
                <w:i/>
                <w:sz w:val="24"/>
                <w:szCs w:val="24"/>
              </w:rPr>
              <w:t xml:space="preserve">not </w:t>
            </w:r>
            <w:r>
              <w:rPr>
                <w:rFonts w:ascii="Times New Roman" w:hAnsi="Times New Roman" w:cs="Times New Roman"/>
                <w:sz w:val="24"/>
                <w:szCs w:val="24"/>
              </w:rPr>
              <w:t>due to the fair sale, lease, or hiring of a product or resource. Although this arguably includes making a profit on the sale of an asset in an unfair or exploitative fashion (such as price gouging in a shortage), its most common and primal reference is to the making a financial gain by charging a fee for access to money.</w:t>
            </w:r>
          </w:p>
          <w:p w14:paraId="41A36A10" w14:textId="1B2027A0" w:rsidR="00B06658" w:rsidRDefault="00B06658" w:rsidP="00485700">
            <w:pPr>
              <w:pStyle w:val="CommentText"/>
            </w:pPr>
          </w:p>
          <w:p w14:paraId="155B8489" w14:textId="72F84007" w:rsidR="00B06658" w:rsidRDefault="00B06658" w:rsidP="00485700">
            <w:pPr>
              <w:pStyle w:val="CommentText"/>
            </w:pPr>
          </w:p>
          <w:p w14:paraId="544F3D82" w14:textId="77777777" w:rsidR="009871D6" w:rsidRDefault="00B06658" w:rsidP="009871D6">
            <w:pPr>
              <w:pStyle w:val="CommentText"/>
            </w:pPr>
            <w:r>
              <w:t>Dr Edward said:</w:t>
            </w:r>
            <w:r w:rsidR="009871D6">
              <w:t xml:space="preserve"> Consider this instead:</w:t>
            </w:r>
          </w:p>
          <w:p w14:paraId="7EF797B0" w14:textId="77777777" w:rsidR="009871D6" w:rsidRDefault="009871D6" w:rsidP="009871D6">
            <w:pPr>
              <w:pStyle w:val="CommentText"/>
            </w:pPr>
            <w:r>
              <w:rPr>
                <w:rFonts w:ascii="Times New Roman" w:hAnsi="Times New Roman" w:cs="Times New Roman"/>
                <w:sz w:val="24"/>
                <w:szCs w:val="24"/>
              </w:rPr>
              <w:t>The pre-modern exemplar is the practice of the moneylender, and the modern exemplar is conventional financial transactions involving the payment of interest on loans for such things as real estate, cars, and investment in capital goods. Included in this is interest paid on savings and fixed deposit accounts.</w:t>
            </w:r>
          </w:p>
          <w:p w14:paraId="38BD3897" w14:textId="7B83379D" w:rsidR="00B06658" w:rsidRDefault="00B06658" w:rsidP="00485700">
            <w:pPr>
              <w:pStyle w:val="CommentText"/>
            </w:pPr>
          </w:p>
          <w:p w14:paraId="34975836" w14:textId="32A35837" w:rsidR="00485700" w:rsidRDefault="00485700" w:rsidP="000E70A7">
            <w:pPr>
              <w:pStyle w:val="CommentText"/>
            </w:pPr>
          </w:p>
        </w:tc>
        <w:tc>
          <w:tcPr>
            <w:tcW w:w="3776" w:type="dxa"/>
          </w:tcPr>
          <w:p w14:paraId="21F5FE5F" w14:textId="77777777" w:rsidR="00D41015" w:rsidRDefault="00CF6061" w:rsidP="00A0331C">
            <w:r>
              <w:t xml:space="preserve">I have </w:t>
            </w:r>
            <w:r w:rsidR="00ED4B05">
              <w:t xml:space="preserve">changed the sentence and make it more sensible </w:t>
            </w:r>
          </w:p>
          <w:p w14:paraId="40530C37" w14:textId="77777777" w:rsidR="00485700" w:rsidRDefault="00485700" w:rsidP="00A0331C"/>
          <w:p w14:paraId="3682EF13" w14:textId="77777777" w:rsidR="00485700" w:rsidRDefault="00485700" w:rsidP="00A0331C">
            <w:r>
              <w:t>I have mentioned the reference</w:t>
            </w:r>
          </w:p>
          <w:p w14:paraId="0B6A28A2" w14:textId="77777777" w:rsidR="009D5084" w:rsidRDefault="009D5084" w:rsidP="00A0331C"/>
          <w:p w14:paraId="20F8F409" w14:textId="77777777" w:rsidR="009D5084" w:rsidRDefault="009D5084" w:rsidP="00A0331C"/>
          <w:p w14:paraId="712223DC" w14:textId="77777777" w:rsidR="009D5084" w:rsidRDefault="000A32D1" w:rsidP="00A0331C">
            <w:r>
              <w:t xml:space="preserve">I have considered to use this </w:t>
            </w:r>
            <w:r w:rsidR="00E877CB">
              <w:t xml:space="preserve">instead of my version. </w:t>
            </w:r>
          </w:p>
          <w:p w14:paraId="70398764" w14:textId="77777777" w:rsidR="00FD4777" w:rsidRDefault="00FD4777" w:rsidP="00A0331C"/>
          <w:p w14:paraId="66764D05" w14:textId="77777777" w:rsidR="00FD4777" w:rsidRDefault="00FD4777" w:rsidP="00A0331C"/>
          <w:p w14:paraId="362DE7A7" w14:textId="77777777" w:rsidR="00FD4777" w:rsidRDefault="00FD4777" w:rsidP="00A0331C"/>
          <w:p w14:paraId="5D75EEDF" w14:textId="77777777" w:rsidR="00FD4777" w:rsidRDefault="00FD4777" w:rsidP="00A0331C"/>
          <w:p w14:paraId="60059079" w14:textId="77777777" w:rsidR="00FD4777" w:rsidRDefault="00FD4777" w:rsidP="00A0331C"/>
          <w:p w14:paraId="02A3D183" w14:textId="77777777" w:rsidR="00FD4777" w:rsidRDefault="00FD4777" w:rsidP="00A0331C"/>
          <w:p w14:paraId="35B173D8" w14:textId="77777777" w:rsidR="00FD4777" w:rsidRDefault="00FD4777" w:rsidP="00A0331C"/>
          <w:p w14:paraId="23CBFC84" w14:textId="77777777" w:rsidR="00FD4777" w:rsidRDefault="00FD4777" w:rsidP="00A0331C"/>
          <w:p w14:paraId="050CA2D6" w14:textId="77777777" w:rsidR="00FD4777" w:rsidRDefault="00FD4777" w:rsidP="00A0331C"/>
          <w:p w14:paraId="49D6A519" w14:textId="77777777" w:rsidR="00FD4777" w:rsidRDefault="00FD4777" w:rsidP="00A0331C"/>
          <w:p w14:paraId="75AF56EB" w14:textId="77777777" w:rsidR="00FD4777" w:rsidRDefault="00FD4777" w:rsidP="00A0331C"/>
          <w:p w14:paraId="2413BB84" w14:textId="77777777" w:rsidR="00FD4777" w:rsidRDefault="00FD4777" w:rsidP="00A0331C"/>
          <w:p w14:paraId="2D1FCE69" w14:textId="7D314CB5" w:rsidR="00FD4777" w:rsidRDefault="00FD4777" w:rsidP="00A0331C">
            <w:r>
              <w:t xml:space="preserve">I agree to use this, as </w:t>
            </w:r>
            <w:r w:rsidR="005A2F33">
              <w:t xml:space="preserve">it </w:t>
            </w:r>
            <w:r>
              <w:t xml:space="preserve">would be </w:t>
            </w:r>
            <w:r w:rsidR="00575866">
              <w:t>good to give reader idea of what is</w:t>
            </w:r>
            <w:r w:rsidR="00926F6E">
              <w:t xml:space="preserve"> the example of this</w:t>
            </w:r>
            <w:r w:rsidR="00575866">
              <w:t xml:space="preserve"> in pre-modern and in modern financial transaction. </w:t>
            </w:r>
          </w:p>
        </w:tc>
      </w:tr>
      <w:tr w:rsidR="006376F3" w14:paraId="4527530D" w14:textId="77777777" w:rsidTr="00A0331C">
        <w:tc>
          <w:tcPr>
            <w:tcW w:w="1413" w:type="dxa"/>
          </w:tcPr>
          <w:p w14:paraId="7725ECE9" w14:textId="44D0F94F" w:rsidR="006376F3" w:rsidRDefault="00BC7570" w:rsidP="00A0331C">
            <w:r>
              <w:t>4</w:t>
            </w:r>
          </w:p>
        </w:tc>
        <w:tc>
          <w:tcPr>
            <w:tcW w:w="3827" w:type="dxa"/>
          </w:tcPr>
          <w:p w14:paraId="56CD0C57" w14:textId="77777777" w:rsidR="00E315DF" w:rsidRDefault="0016119E" w:rsidP="0065642B">
            <w:pPr>
              <w:pStyle w:val="CommentText"/>
            </w:pPr>
            <w:r>
              <w:t>Dr Edward said:</w:t>
            </w:r>
            <w:r w:rsidR="00C92F71">
              <w:t xml:space="preserve"> This is unclear. Please re-phrase this.</w:t>
            </w:r>
          </w:p>
          <w:p w14:paraId="4A288909" w14:textId="77777777" w:rsidR="009D4059" w:rsidRDefault="009D4059" w:rsidP="0065642B">
            <w:pPr>
              <w:pStyle w:val="CommentText"/>
            </w:pPr>
          </w:p>
          <w:p w14:paraId="101DEF58" w14:textId="263E2111" w:rsidR="009D4059" w:rsidRDefault="009D4059" w:rsidP="009D4059">
            <w:pPr>
              <w:pStyle w:val="CommentText"/>
            </w:pPr>
            <w:r>
              <w:t xml:space="preserve">Dr Edward said, </w:t>
            </w:r>
            <w:proofErr w:type="gramStart"/>
            <w:r>
              <w:t>So</w:t>
            </w:r>
            <w:proofErr w:type="gramEnd"/>
            <w:r>
              <w:t xml:space="preserve"> is this the view that now holds as universally binding in Indonesia, or do IBs themselves argue (or lobby) for a different definition? Is the definition of MUI likely to remain the dominant one into the future? Or is it possible that the MUI could change its verdict in the future? If this is a real possibility, can one then say that the definition of </w:t>
            </w:r>
            <w:proofErr w:type="spellStart"/>
            <w:r>
              <w:t>riba</w:t>
            </w:r>
            <w:proofErr w:type="spellEnd"/>
            <w:r>
              <w:t xml:space="preserve"> for the Indonesian banking system could be adjusted to the needs or demands of IB in the future?</w:t>
            </w:r>
          </w:p>
          <w:p w14:paraId="3B3802FF" w14:textId="77777777" w:rsidR="009D4059" w:rsidRDefault="009D4059" w:rsidP="0065642B">
            <w:pPr>
              <w:pStyle w:val="CommentText"/>
            </w:pPr>
          </w:p>
          <w:p w14:paraId="4F544BF1" w14:textId="77777777" w:rsidR="00963A04" w:rsidRDefault="00963A04" w:rsidP="00736B2A">
            <w:pPr>
              <w:pStyle w:val="CommentText"/>
            </w:pPr>
          </w:p>
          <w:p w14:paraId="3B709CBD" w14:textId="77777777" w:rsidR="00963A04" w:rsidRDefault="00963A04" w:rsidP="00736B2A">
            <w:pPr>
              <w:pStyle w:val="CommentText"/>
            </w:pPr>
          </w:p>
          <w:p w14:paraId="49FF637B" w14:textId="77777777" w:rsidR="00963A04" w:rsidRDefault="00963A04" w:rsidP="00736B2A">
            <w:pPr>
              <w:pStyle w:val="CommentText"/>
            </w:pPr>
          </w:p>
          <w:p w14:paraId="6ED7B50B" w14:textId="6A39E47C" w:rsidR="00736B2A" w:rsidRDefault="00736B2A" w:rsidP="00736B2A">
            <w:pPr>
              <w:pStyle w:val="CommentText"/>
            </w:pPr>
            <w:r>
              <w:t xml:space="preserve">Dr </w:t>
            </w:r>
            <w:proofErr w:type="spellStart"/>
            <w:r>
              <w:t>Edwar</w:t>
            </w:r>
            <w:proofErr w:type="spellEnd"/>
            <w:r>
              <w:t xml:space="preserve"> said, </w:t>
            </w:r>
            <w:proofErr w:type="gramStart"/>
            <w:r>
              <w:t>If</w:t>
            </w:r>
            <w:proofErr w:type="gramEnd"/>
            <w:r>
              <w:t xml:space="preserve"> this section is supposed to be referring to different opinions about the nature and/or role of </w:t>
            </w:r>
            <w:proofErr w:type="spellStart"/>
            <w:r>
              <w:t>maysir</w:t>
            </w:r>
            <w:proofErr w:type="spellEnd"/>
            <w:r>
              <w:t xml:space="preserve">, then it would be better to discuss the views of the people </w:t>
            </w:r>
            <w:r>
              <w:lastRenderedPageBreak/>
              <w:t xml:space="preserve">identified in the footnote. </w:t>
            </w:r>
            <w:proofErr w:type="gramStart"/>
            <w:r>
              <w:t>And also</w:t>
            </w:r>
            <w:proofErr w:type="gramEnd"/>
            <w:r>
              <w:t xml:space="preserve"> say what NU’s, and MUI’s views – and arguments – are (not just Muhammadiyah’s). </w:t>
            </w:r>
          </w:p>
          <w:p w14:paraId="04FE95C4" w14:textId="644960FA" w:rsidR="00736B2A" w:rsidRDefault="00736B2A" w:rsidP="00736B2A">
            <w:pPr>
              <w:pStyle w:val="CommentText"/>
            </w:pPr>
            <w:r>
              <w:t xml:space="preserve">It is probably better to have this discussion after you have provided the definition of </w:t>
            </w:r>
            <w:proofErr w:type="spellStart"/>
            <w:r>
              <w:t>maysir</w:t>
            </w:r>
            <w:proofErr w:type="spellEnd"/>
            <w:r>
              <w:t>.</w:t>
            </w:r>
          </w:p>
        </w:tc>
        <w:tc>
          <w:tcPr>
            <w:tcW w:w="3776" w:type="dxa"/>
          </w:tcPr>
          <w:p w14:paraId="70FA363C" w14:textId="77777777" w:rsidR="00E315DF" w:rsidRDefault="00C92F71" w:rsidP="00A0331C">
            <w:r>
              <w:lastRenderedPageBreak/>
              <w:t xml:space="preserve">I have re-phrased it </w:t>
            </w:r>
          </w:p>
          <w:p w14:paraId="6A47C967" w14:textId="77777777" w:rsidR="000B0D54" w:rsidRDefault="000B0D54" w:rsidP="00A0331C"/>
          <w:p w14:paraId="1322870D" w14:textId="77777777" w:rsidR="000B0D54" w:rsidRDefault="000B0D54" w:rsidP="00A0331C"/>
          <w:p w14:paraId="6196468F" w14:textId="2FA61662" w:rsidR="000B0D54" w:rsidRDefault="000B0D54" w:rsidP="00A0331C">
            <w:r>
              <w:t>This</w:t>
            </w:r>
            <w:r w:rsidR="009C6302">
              <w:t xml:space="preserve"> fatwa</w:t>
            </w:r>
            <w:r>
              <w:t xml:space="preserve"> is a dominant one in Indonesia, </w:t>
            </w:r>
            <w:proofErr w:type="gramStart"/>
            <w:r>
              <w:t>and also</w:t>
            </w:r>
            <w:proofErr w:type="gramEnd"/>
            <w:r>
              <w:t xml:space="preserve"> adopted by the FSA. I can’t really say </w:t>
            </w:r>
            <w:r w:rsidR="0035634E">
              <w:t xml:space="preserve">whether this verdict could be changed or not in future. </w:t>
            </w:r>
            <w:r w:rsidR="00F64471">
              <w:t>Because, t</w:t>
            </w:r>
            <w:r w:rsidR="002235DD">
              <w:t xml:space="preserve">here </w:t>
            </w:r>
            <w:r w:rsidR="00234F60">
              <w:t>is</w:t>
            </w:r>
            <w:r w:rsidR="002235DD">
              <w:t xml:space="preserve"> no evident </w:t>
            </w:r>
            <w:r w:rsidR="00494E9C">
              <w:t>from MUI</w:t>
            </w:r>
            <w:r w:rsidR="00234F60">
              <w:t xml:space="preserve"> in </w:t>
            </w:r>
            <w:r w:rsidR="002235DD">
              <w:t>saying this</w:t>
            </w:r>
            <w:r w:rsidR="00F64471">
              <w:t>. But</w:t>
            </w:r>
            <w:r w:rsidR="0035634E">
              <w:t xml:space="preserve"> I found</w:t>
            </w:r>
            <w:r w:rsidR="001478FD">
              <w:t xml:space="preserve"> there is inconsistency between MUI’s fatwas itself</w:t>
            </w:r>
            <w:r w:rsidR="00B07097">
              <w:t>. (I have explained this in next chapter)</w:t>
            </w:r>
            <w:r w:rsidR="005024B0">
              <w:t xml:space="preserve"> Which means, </w:t>
            </w:r>
            <w:r w:rsidR="00B30979">
              <w:t xml:space="preserve">there is a possibility to adjust this </w:t>
            </w:r>
            <w:r w:rsidR="00963A04">
              <w:t xml:space="preserve">definition </w:t>
            </w:r>
            <w:r w:rsidR="00B30979">
              <w:t>in future under certain circumstance</w:t>
            </w:r>
            <w:r w:rsidR="00963A04">
              <w:t>s</w:t>
            </w:r>
          </w:p>
          <w:p w14:paraId="58AE4E3A" w14:textId="77777777" w:rsidR="00736B2A" w:rsidRDefault="00736B2A" w:rsidP="00A0331C"/>
          <w:p w14:paraId="25ED67F5" w14:textId="77777777" w:rsidR="00736B2A" w:rsidRDefault="00736B2A" w:rsidP="00A0331C"/>
          <w:p w14:paraId="35C44211" w14:textId="1FE43D6E" w:rsidR="00736B2A" w:rsidRDefault="00736B2A" w:rsidP="00A0331C">
            <w:r>
              <w:t xml:space="preserve">I have replaced this into </w:t>
            </w:r>
            <w:proofErr w:type="spellStart"/>
            <w:r>
              <w:t>riba</w:t>
            </w:r>
            <w:proofErr w:type="spellEnd"/>
            <w:r>
              <w:t xml:space="preserve"> section.</w:t>
            </w:r>
          </w:p>
        </w:tc>
      </w:tr>
      <w:tr w:rsidR="0065642B" w14:paraId="37701761" w14:textId="77777777" w:rsidTr="00A0331C">
        <w:tc>
          <w:tcPr>
            <w:tcW w:w="1413" w:type="dxa"/>
          </w:tcPr>
          <w:p w14:paraId="19D1FA32" w14:textId="5B95F453" w:rsidR="0065642B" w:rsidRDefault="00B76012" w:rsidP="00A0331C">
            <w:r>
              <w:t>5</w:t>
            </w:r>
          </w:p>
        </w:tc>
        <w:tc>
          <w:tcPr>
            <w:tcW w:w="3827" w:type="dxa"/>
          </w:tcPr>
          <w:p w14:paraId="2CE544F1" w14:textId="77777777" w:rsidR="00795351" w:rsidRDefault="0016119E" w:rsidP="0065642B">
            <w:pPr>
              <w:pStyle w:val="CommentText"/>
            </w:pPr>
            <w:r>
              <w:t>Dr Edward said:</w:t>
            </w:r>
            <w:r w:rsidR="00B76012">
              <w:t xml:space="preserve"> This sentence seems out of place here. Is it meant to be connected to the previous paragraph? It seems like it should be part of the introduction to 5.3.</w:t>
            </w:r>
          </w:p>
          <w:p w14:paraId="7D8426FE" w14:textId="77777777" w:rsidR="00D905CC" w:rsidRDefault="00D905CC" w:rsidP="0065642B">
            <w:pPr>
              <w:pStyle w:val="CommentText"/>
            </w:pPr>
          </w:p>
          <w:p w14:paraId="51D8CE71" w14:textId="3DAF8E6A" w:rsidR="00D905CC" w:rsidRDefault="00D905CC" w:rsidP="00D905CC">
            <w:pPr>
              <w:pStyle w:val="CommentText"/>
            </w:pPr>
            <w:r>
              <w:t xml:space="preserve">Dr Edward said, </w:t>
            </w:r>
            <w:proofErr w:type="gramStart"/>
            <w:r>
              <w:t>Move</w:t>
            </w:r>
            <w:proofErr w:type="gramEnd"/>
            <w:r>
              <w:t xml:space="preserve"> this to the beginning of the paragraph below starting “</w:t>
            </w:r>
            <w:r w:rsidRPr="00A570F2">
              <w:t>The above definitions</w:t>
            </w:r>
            <w:r>
              <w:t>…”</w:t>
            </w:r>
          </w:p>
          <w:p w14:paraId="27780B5C" w14:textId="72929C54" w:rsidR="00D905CC" w:rsidRDefault="00D905CC" w:rsidP="0065642B">
            <w:pPr>
              <w:pStyle w:val="CommentText"/>
            </w:pPr>
          </w:p>
        </w:tc>
        <w:tc>
          <w:tcPr>
            <w:tcW w:w="3776" w:type="dxa"/>
          </w:tcPr>
          <w:p w14:paraId="341F1D84" w14:textId="77777777" w:rsidR="00530AFF" w:rsidRDefault="005C159C" w:rsidP="00A0331C">
            <w:r>
              <w:t xml:space="preserve">I have deleted </w:t>
            </w:r>
            <w:proofErr w:type="gramStart"/>
            <w:r>
              <w:t>it, and</w:t>
            </w:r>
            <w:proofErr w:type="gramEnd"/>
            <w:r>
              <w:t xml:space="preserve"> replace it in another page.</w:t>
            </w:r>
          </w:p>
          <w:p w14:paraId="532A7D4B" w14:textId="77777777" w:rsidR="00D905CC" w:rsidRDefault="00D905CC" w:rsidP="00A0331C"/>
          <w:p w14:paraId="72BD4AB9" w14:textId="77777777" w:rsidR="00D905CC" w:rsidRDefault="00D905CC" w:rsidP="00A0331C"/>
          <w:p w14:paraId="0FB0478E" w14:textId="77777777" w:rsidR="00D905CC" w:rsidRDefault="00D905CC" w:rsidP="00A0331C"/>
          <w:p w14:paraId="6FEF4BD2" w14:textId="77777777" w:rsidR="00D905CC" w:rsidRDefault="00D905CC" w:rsidP="00A0331C"/>
          <w:p w14:paraId="43588EEE" w14:textId="607D08B3" w:rsidR="00D905CC" w:rsidRDefault="00D905CC" w:rsidP="00A0331C">
            <w:r>
              <w:t>I have changed this according to the suggestion</w:t>
            </w:r>
          </w:p>
        </w:tc>
      </w:tr>
      <w:tr w:rsidR="0083748D" w14:paraId="339E4E05" w14:textId="77777777" w:rsidTr="00A0331C">
        <w:tc>
          <w:tcPr>
            <w:tcW w:w="1413" w:type="dxa"/>
          </w:tcPr>
          <w:p w14:paraId="28B057FA" w14:textId="321985B2" w:rsidR="0083748D" w:rsidRDefault="00A858D2" w:rsidP="00A0331C">
            <w:r>
              <w:t>6</w:t>
            </w:r>
          </w:p>
        </w:tc>
        <w:tc>
          <w:tcPr>
            <w:tcW w:w="3827" w:type="dxa"/>
          </w:tcPr>
          <w:p w14:paraId="5DBA182B" w14:textId="77777777" w:rsidR="009A0A97" w:rsidRDefault="0016119E" w:rsidP="00F449C8">
            <w:pPr>
              <w:pStyle w:val="CommentText"/>
            </w:pPr>
            <w:r>
              <w:t>Dr Edward said:</w:t>
            </w:r>
            <w:r w:rsidR="00A858D2">
              <w:t xml:space="preserve"> Is this a list of examples showing that asymmetric info causes unfairness?</w:t>
            </w:r>
          </w:p>
          <w:p w14:paraId="36223D79" w14:textId="77777777" w:rsidR="00924E21" w:rsidRDefault="00924E21" w:rsidP="00F449C8">
            <w:pPr>
              <w:pStyle w:val="CommentText"/>
            </w:pPr>
          </w:p>
          <w:p w14:paraId="4CCD8E86" w14:textId="77777777" w:rsidR="00924E21" w:rsidRDefault="00924E21" w:rsidP="00F449C8">
            <w:pPr>
              <w:pStyle w:val="CommentText"/>
            </w:pPr>
            <w:r>
              <w:t>Dr Edward said: Who held this view?</w:t>
            </w:r>
          </w:p>
          <w:p w14:paraId="5B550C19" w14:textId="77777777" w:rsidR="0052695A" w:rsidRDefault="0052695A" w:rsidP="00F449C8">
            <w:pPr>
              <w:pStyle w:val="CommentText"/>
            </w:pPr>
          </w:p>
          <w:p w14:paraId="5CEAD691" w14:textId="77777777" w:rsidR="0052695A" w:rsidRDefault="0052695A" w:rsidP="00F449C8">
            <w:pPr>
              <w:pStyle w:val="CommentText"/>
            </w:pPr>
          </w:p>
          <w:p w14:paraId="383653CA" w14:textId="023D612D" w:rsidR="0052695A" w:rsidRDefault="0052695A" w:rsidP="0052695A">
            <w:pPr>
              <w:pStyle w:val="CommentText"/>
            </w:pPr>
            <w:r>
              <w:t xml:space="preserve">Dr Edward said: Who holds this view in Indonesia? Do IBs have a position on this?  Is there scholarly debate about this in Indonesia? If yes, what are the arguments? Which is the stronger position intellectually. And which position is the more popular one in the society? </w:t>
            </w:r>
          </w:p>
          <w:p w14:paraId="04D16A52" w14:textId="77777777" w:rsidR="0052695A" w:rsidRDefault="0052695A" w:rsidP="00F449C8">
            <w:pPr>
              <w:pStyle w:val="CommentText"/>
            </w:pPr>
          </w:p>
          <w:p w14:paraId="102BCFF0" w14:textId="3C098CDA" w:rsidR="00750023" w:rsidRDefault="00750023" w:rsidP="00691527">
            <w:pPr>
              <w:pStyle w:val="CommentText"/>
            </w:pPr>
          </w:p>
        </w:tc>
        <w:tc>
          <w:tcPr>
            <w:tcW w:w="3776" w:type="dxa"/>
          </w:tcPr>
          <w:p w14:paraId="65284924" w14:textId="77777777" w:rsidR="009A0A97" w:rsidRDefault="00A858D2" w:rsidP="00A0331C">
            <w:proofErr w:type="gramStart"/>
            <w:r>
              <w:t>Yes it is</w:t>
            </w:r>
            <w:proofErr w:type="gramEnd"/>
          </w:p>
          <w:p w14:paraId="4C450999" w14:textId="77777777" w:rsidR="00924E21" w:rsidRDefault="00924E21" w:rsidP="00A0331C"/>
          <w:p w14:paraId="56238C8E" w14:textId="77777777" w:rsidR="00924E21" w:rsidRDefault="00924E21" w:rsidP="00A0331C"/>
          <w:p w14:paraId="5B99F12C" w14:textId="77777777" w:rsidR="00924E21" w:rsidRDefault="00924E21" w:rsidP="00A0331C"/>
          <w:p w14:paraId="5D1FAB3F" w14:textId="77777777" w:rsidR="00924E21" w:rsidRDefault="00924E21" w:rsidP="00A0331C">
            <w:r>
              <w:t xml:space="preserve">I have mentioned </w:t>
            </w:r>
            <w:r w:rsidR="003E1E94">
              <w:t xml:space="preserve">it and refer it. </w:t>
            </w:r>
          </w:p>
          <w:p w14:paraId="5728A16B" w14:textId="77777777" w:rsidR="00750023" w:rsidRDefault="00750023" w:rsidP="00A0331C"/>
          <w:p w14:paraId="719FEAE3" w14:textId="77777777" w:rsidR="00750023" w:rsidRDefault="00750023" w:rsidP="00A0331C"/>
          <w:p w14:paraId="4DDC7137" w14:textId="77777777" w:rsidR="00750023" w:rsidRDefault="00750023" w:rsidP="00A0331C"/>
          <w:p w14:paraId="7BD4F3EA" w14:textId="0D6F04DC" w:rsidR="00750023" w:rsidRDefault="00750023" w:rsidP="00A0331C">
            <w:r>
              <w:t xml:space="preserve">I have mentioned that this practice has been widely used in Indonesia, and the MUI has </w:t>
            </w:r>
            <w:r w:rsidR="00482726">
              <w:t>issued fatwa on</w:t>
            </w:r>
            <w:r>
              <w:t xml:space="preserve"> </w:t>
            </w:r>
            <w:proofErr w:type="spellStart"/>
            <w:r>
              <w:t>salam</w:t>
            </w:r>
            <w:proofErr w:type="spellEnd"/>
            <w:r>
              <w:t xml:space="preserve"> </w:t>
            </w:r>
            <w:r w:rsidR="00482726">
              <w:t>contract as permissible</w:t>
            </w:r>
            <w:r w:rsidR="002472F9">
              <w:t xml:space="preserve"> for the need of economic society.</w:t>
            </w:r>
          </w:p>
        </w:tc>
      </w:tr>
      <w:tr w:rsidR="0083748D" w14:paraId="20F53EA1" w14:textId="77777777" w:rsidTr="00A0331C">
        <w:tc>
          <w:tcPr>
            <w:tcW w:w="1413" w:type="dxa"/>
          </w:tcPr>
          <w:p w14:paraId="4EE6F673" w14:textId="796EE686" w:rsidR="0083748D" w:rsidRDefault="00E57F90" w:rsidP="00A0331C">
            <w:r>
              <w:t>8</w:t>
            </w:r>
          </w:p>
        </w:tc>
        <w:tc>
          <w:tcPr>
            <w:tcW w:w="3827" w:type="dxa"/>
          </w:tcPr>
          <w:p w14:paraId="268B3F1C" w14:textId="77777777" w:rsidR="00A32AD3" w:rsidRDefault="0016119E" w:rsidP="00A32AD3">
            <w:pPr>
              <w:pStyle w:val="CommentText"/>
            </w:pPr>
            <w:r>
              <w:t>Dr Edward said:</w:t>
            </w:r>
            <w:r w:rsidR="007311B1">
              <w:t xml:space="preserve"> In what follows below, it would be good to outline the opposing views on insurance/takaful, and what the arguments for and against are (like you did for the discussion of </w:t>
            </w:r>
            <w:proofErr w:type="spellStart"/>
            <w:r w:rsidR="007311B1">
              <w:t>riba</w:t>
            </w:r>
            <w:proofErr w:type="spellEnd"/>
            <w:r w:rsidR="007311B1">
              <w:t>).</w:t>
            </w:r>
          </w:p>
          <w:p w14:paraId="04E1D130" w14:textId="77777777" w:rsidR="006C6D01" w:rsidRDefault="006C6D01" w:rsidP="00A32AD3">
            <w:pPr>
              <w:pStyle w:val="CommentText"/>
            </w:pPr>
          </w:p>
          <w:p w14:paraId="1EB794FA" w14:textId="77777777" w:rsidR="006C6D01" w:rsidRDefault="006C6D01" w:rsidP="00A32AD3">
            <w:pPr>
              <w:pStyle w:val="CommentText"/>
            </w:pPr>
            <w:r>
              <w:t xml:space="preserve">Dr Edward </w:t>
            </w:r>
            <w:proofErr w:type="spellStart"/>
            <w:proofErr w:type="gramStart"/>
            <w:r>
              <w:t>said:I’m</w:t>
            </w:r>
            <w:proofErr w:type="spellEnd"/>
            <w:proofErr w:type="gramEnd"/>
            <w:r>
              <w:t xml:space="preserve"> not sure what you mean by ‘conventional distinctiveness’.</w:t>
            </w:r>
          </w:p>
          <w:p w14:paraId="03BAAB57" w14:textId="77777777" w:rsidR="00614E6D" w:rsidRDefault="00614E6D" w:rsidP="00A32AD3">
            <w:pPr>
              <w:pStyle w:val="CommentText"/>
            </w:pPr>
          </w:p>
          <w:p w14:paraId="2B4BED8B" w14:textId="77777777" w:rsidR="00614E6D" w:rsidRDefault="00614E6D" w:rsidP="00614E6D">
            <w:pPr>
              <w:pStyle w:val="CommentText"/>
            </w:pPr>
            <w:r>
              <w:t xml:space="preserve">Are </w:t>
            </w:r>
            <w:r>
              <w:rPr>
                <w:i/>
              </w:rPr>
              <w:t xml:space="preserve">you </w:t>
            </w:r>
            <w:r>
              <w:t xml:space="preserve">making this claim? Is this a central claim that you are going to make in this chapter? Or are you presenting this as a claim being made by others (that you might not agree with)? Is it possible, for example, that you might argue that the critics who say that the innovative Islamic financial products are very similar to conventional products are correct in certain respects, but they go too far in claiming that therefore these innovated products are only ‘Islamic’ in name (because these products still retain some distinctively Islamic features – not found in conventional products – that are </w:t>
            </w:r>
            <w:r>
              <w:lastRenderedPageBreak/>
              <w:t>intended to instantiate certain Islamic values.</w:t>
            </w:r>
          </w:p>
          <w:p w14:paraId="1AE4A52C" w14:textId="22BBE57C" w:rsidR="00614E6D" w:rsidRDefault="00614E6D" w:rsidP="00614E6D">
            <w:pPr>
              <w:pStyle w:val="CommentText"/>
            </w:pPr>
          </w:p>
          <w:p w14:paraId="7612F554" w14:textId="77777777" w:rsidR="006D1984" w:rsidRDefault="006D1984" w:rsidP="006D1984">
            <w:pPr>
              <w:pStyle w:val="CommentText"/>
            </w:pPr>
            <w:r>
              <w:t>In addition to Saeed, it would be good to use other critical articles as well. Maybe see and use, e.g.,</w:t>
            </w:r>
          </w:p>
          <w:p w14:paraId="505A80F0" w14:textId="77777777" w:rsidR="006D1984" w:rsidRDefault="006D1984" w:rsidP="006D1984">
            <w:pPr>
              <w:pStyle w:val="CommentText"/>
            </w:pPr>
          </w:p>
          <w:p w14:paraId="3B1166E8" w14:textId="77777777" w:rsidR="006D1984" w:rsidRDefault="006D1984" w:rsidP="006D1984">
            <w:pPr>
              <w:pStyle w:val="CommentText"/>
            </w:pPr>
            <w:r>
              <w:t xml:space="preserve">Choudhury, M. 2008. Islamic Economics and Finance – A Fiasco. </w:t>
            </w:r>
            <w:r w:rsidRPr="002C05ED">
              <w:rPr>
                <w:i/>
              </w:rPr>
              <w:t>Middle East Business and Economic Review</w:t>
            </w:r>
            <w:r>
              <w:t>, 20 (1): 38-51.</w:t>
            </w:r>
          </w:p>
          <w:p w14:paraId="25A5A574" w14:textId="77777777" w:rsidR="006D1984" w:rsidRDefault="006D1984" w:rsidP="006D1984">
            <w:pPr>
              <w:pStyle w:val="CommentText"/>
            </w:pPr>
          </w:p>
          <w:p w14:paraId="5EC91E71" w14:textId="77777777" w:rsidR="006D1984" w:rsidRDefault="006D1984" w:rsidP="006D1984">
            <w:pPr>
              <w:pStyle w:val="CommentText"/>
            </w:pPr>
            <w:proofErr w:type="spellStart"/>
            <w:r>
              <w:t>Dusuki</w:t>
            </w:r>
            <w:proofErr w:type="spellEnd"/>
            <w:r>
              <w:t xml:space="preserve">, A. &amp; </w:t>
            </w:r>
            <w:proofErr w:type="spellStart"/>
            <w:r>
              <w:t>Abozaid</w:t>
            </w:r>
            <w:proofErr w:type="spellEnd"/>
            <w:r>
              <w:t xml:space="preserve">, A. 2007. A Critical Appraisal on the Challenges of Realizing </w:t>
            </w:r>
            <w:proofErr w:type="spellStart"/>
            <w:r>
              <w:t>Maqasid</w:t>
            </w:r>
            <w:proofErr w:type="spellEnd"/>
            <w:r>
              <w:t xml:space="preserve"> al-</w:t>
            </w:r>
            <w:proofErr w:type="spellStart"/>
            <w:r>
              <w:t>Shari’ah</w:t>
            </w:r>
            <w:proofErr w:type="spellEnd"/>
            <w:r>
              <w:t xml:space="preserve"> in Islamic Banking and Finance. </w:t>
            </w:r>
            <w:r w:rsidRPr="002C05ED">
              <w:rPr>
                <w:i/>
              </w:rPr>
              <w:t>IIUM Journal of Economics and Management</w:t>
            </w:r>
            <w:r>
              <w:t>, 15 (2): 143-165.</w:t>
            </w:r>
          </w:p>
          <w:p w14:paraId="64A1C3F1" w14:textId="77777777" w:rsidR="006D1984" w:rsidRDefault="006D1984" w:rsidP="006D1984">
            <w:pPr>
              <w:pStyle w:val="CommentText"/>
            </w:pPr>
          </w:p>
          <w:p w14:paraId="1D5F8F8E" w14:textId="2CE6EE29" w:rsidR="006D1984" w:rsidRDefault="006D1984" w:rsidP="006D1984">
            <w:pPr>
              <w:pStyle w:val="CommentText"/>
            </w:pPr>
            <w:r w:rsidRPr="002C05ED">
              <w:t xml:space="preserve">Khan, F. 2010. How ‘Islamic’ is Islamic Banking? </w:t>
            </w:r>
            <w:r w:rsidRPr="008F4D9F">
              <w:rPr>
                <w:i/>
              </w:rPr>
              <w:t xml:space="preserve">Journal of Economic </w:t>
            </w:r>
            <w:proofErr w:type="spellStart"/>
            <w:r w:rsidRPr="008F4D9F">
              <w:rPr>
                <w:i/>
              </w:rPr>
              <w:t>Behavior</w:t>
            </w:r>
            <w:proofErr w:type="spellEnd"/>
            <w:r w:rsidRPr="008F4D9F">
              <w:rPr>
                <w:i/>
              </w:rPr>
              <w:t xml:space="preserve"> &amp; Organization</w:t>
            </w:r>
            <w:r w:rsidRPr="002C05ED">
              <w:t>, 76: 805-820.</w:t>
            </w:r>
          </w:p>
          <w:p w14:paraId="50A13AE3" w14:textId="6B28BEBA" w:rsidR="00614E6D" w:rsidRDefault="00614E6D" w:rsidP="00614E6D">
            <w:pPr>
              <w:pStyle w:val="CommentText"/>
            </w:pPr>
          </w:p>
          <w:p w14:paraId="1529DE95" w14:textId="3543B19E" w:rsidR="00987CEE" w:rsidRDefault="00987CEE" w:rsidP="00614E6D">
            <w:pPr>
              <w:pStyle w:val="CommentText"/>
            </w:pPr>
            <w:r>
              <w:t>Dr Edward said: This sentence is too long. It needs to be re-written and broken up into smaller sentences.</w:t>
            </w:r>
          </w:p>
          <w:p w14:paraId="0D8966CF" w14:textId="03DB00CF" w:rsidR="00614E6D" w:rsidRDefault="00614E6D" w:rsidP="002E59C3">
            <w:pPr>
              <w:pStyle w:val="CommentText"/>
            </w:pPr>
          </w:p>
        </w:tc>
        <w:tc>
          <w:tcPr>
            <w:tcW w:w="3776" w:type="dxa"/>
          </w:tcPr>
          <w:p w14:paraId="4415CBDE" w14:textId="77777777" w:rsidR="00A32AD3" w:rsidRDefault="00E57F90" w:rsidP="00A0331C">
            <w:r>
              <w:lastRenderedPageBreak/>
              <w:t>I have added the arguments regarding this</w:t>
            </w:r>
          </w:p>
          <w:p w14:paraId="56F077D2" w14:textId="77777777" w:rsidR="006C6D01" w:rsidRDefault="006C6D01" w:rsidP="00A0331C"/>
          <w:p w14:paraId="2125867E" w14:textId="77777777" w:rsidR="006C6D01" w:rsidRDefault="006C6D01" w:rsidP="00A0331C"/>
          <w:p w14:paraId="5AF1F5D5" w14:textId="77777777" w:rsidR="006C6D01" w:rsidRDefault="006C6D01" w:rsidP="00A0331C"/>
          <w:p w14:paraId="77F1FBAA" w14:textId="77777777" w:rsidR="006C6D01" w:rsidRDefault="006C6D01" w:rsidP="00A0331C"/>
          <w:p w14:paraId="1C8AD30D" w14:textId="77777777" w:rsidR="006C6D01" w:rsidRDefault="006C6D01" w:rsidP="00A0331C">
            <w:r>
              <w:t>I have changed the title to criticisms</w:t>
            </w:r>
          </w:p>
          <w:p w14:paraId="7086870D" w14:textId="77777777" w:rsidR="00614E6D" w:rsidRDefault="00614E6D" w:rsidP="00A0331C"/>
          <w:p w14:paraId="393D59BF" w14:textId="243D4F34" w:rsidR="00E63738" w:rsidRDefault="00E63738" w:rsidP="00A0331C"/>
          <w:p w14:paraId="7D12679F" w14:textId="324B6D2B" w:rsidR="00935D74" w:rsidRDefault="00935D74" w:rsidP="00935D74">
            <w:pPr>
              <w:pStyle w:val="CommentText"/>
            </w:pPr>
            <w:r>
              <w:t>My position in this argument is similar to what you said in this one: ‘Is it possible, for example, that you might argue that the critics who say that the innovative Islamic financial products are very similar to conventional products are correct in certain respects, but they go too far in claiming that therefore these innovated products are only ‘Islamic’ in name (because these products still retain some distinctively Islamic features – not found in conventional products – that are intended to instantiate certain Islamic values.’</w:t>
            </w:r>
          </w:p>
          <w:p w14:paraId="12A7CF09" w14:textId="4ABE3987" w:rsidR="006D1984" w:rsidRDefault="006D1984" w:rsidP="00935D74">
            <w:pPr>
              <w:pStyle w:val="CommentText"/>
            </w:pPr>
          </w:p>
          <w:p w14:paraId="7EB1BECA" w14:textId="03F147EB" w:rsidR="006D1984" w:rsidRDefault="006D1984" w:rsidP="00935D74">
            <w:pPr>
              <w:pStyle w:val="CommentText"/>
            </w:pPr>
          </w:p>
          <w:p w14:paraId="5A60B1A6" w14:textId="4A8C1EBF" w:rsidR="006D1984" w:rsidRDefault="006D1984" w:rsidP="00935D74">
            <w:pPr>
              <w:pStyle w:val="CommentText"/>
            </w:pPr>
          </w:p>
          <w:p w14:paraId="7C845F5F" w14:textId="7D4BC57B" w:rsidR="006D1984" w:rsidRDefault="006D1984" w:rsidP="00935D74">
            <w:pPr>
              <w:pStyle w:val="CommentText"/>
            </w:pPr>
          </w:p>
          <w:p w14:paraId="5EE3F731" w14:textId="6A8F0836" w:rsidR="006D1984" w:rsidRDefault="006D1984" w:rsidP="00935D74">
            <w:pPr>
              <w:pStyle w:val="CommentText"/>
            </w:pPr>
          </w:p>
          <w:p w14:paraId="0C3AF1A9" w14:textId="027342CF" w:rsidR="006D1984" w:rsidRDefault="006D1984" w:rsidP="00935D74">
            <w:pPr>
              <w:pStyle w:val="CommentText"/>
            </w:pPr>
            <w:r>
              <w:t>I have added these scholars as my references</w:t>
            </w:r>
          </w:p>
          <w:p w14:paraId="0CE569C3" w14:textId="77777777" w:rsidR="00935D74" w:rsidRDefault="00935D74" w:rsidP="00935D74">
            <w:pPr>
              <w:pStyle w:val="CommentText"/>
            </w:pPr>
          </w:p>
          <w:p w14:paraId="5F143F87" w14:textId="461E348D" w:rsidR="00935D74" w:rsidRDefault="00935D74" w:rsidP="00A0331C"/>
          <w:p w14:paraId="3CB9AB08" w14:textId="77777777" w:rsidR="00E63738" w:rsidRDefault="00E63738" w:rsidP="00A0331C"/>
          <w:p w14:paraId="5CA76949" w14:textId="77777777" w:rsidR="00987CEE" w:rsidRDefault="00987CEE" w:rsidP="00A0331C"/>
          <w:p w14:paraId="2D54C432" w14:textId="77777777" w:rsidR="00987CEE" w:rsidRDefault="00987CEE" w:rsidP="00A0331C"/>
          <w:p w14:paraId="5A114A18" w14:textId="77777777" w:rsidR="00987CEE" w:rsidRDefault="00987CEE" w:rsidP="00A0331C"/>
          <w:p w14:paraId="119BCADE" w14:textId="77777777" w:rsidR="00987CEE" w:rsidRDefault="00987CEE" w:rsidP="00A0331C"/>
          <w:p w14:paraId="5B0E0F09" w14:textId="77777777" w:rsidR="00987CEE" w:rsidRDefault="00987CEE" w:rsidP="00A0331C"/>
          <w:p w14:paraId="1F5A9EA2" w14:textId="77777777" w:rsidR="00987CEE" w:rsidRDefault="00987CEE" w:rsidP="00A0331C"/>
          <w:p w14:paraId="5E056A71" w14:textId="77777777" w:rsidR="00987CEE" w:rsidRDefault="00987CEE" w:rsidP="00A0331C"/>
          <w:p w14:paraId="49D0CBE0" w14:textId="77777777" w:rsidR="00987CEE" w:rsidRDefault="00987CEE" w:rsidP="00A0331C"/>
          <w:p w14:paraId="719EEF40" w14:textId="77777777" w:rsidR="00987CEE" w:rsidRDefault="00987CEE" w:rsidP="00A0331C"/>
          <w:p w14:paraId="269B5CB0" w14:textId="77777777" w:rsidR="00987CEE" w:rsidRDefault="00987CEE" w:rsidP="00A0331C"/>
          <w:p w14:paraId="6E523CCB" w14:textId="77777777" w:rsidR="00987CEE" w:rsidRDefault="00987CEE" w:rsidP="00A0331C"/>
          <w:p w14:paraId="6B39BC2F" w14:textId="05DB8F92" w:rsidR="00987CEE" w:rsidRDefault="00987CEE" w:rsidP="00A0331C">
            <w:r>
              <w:t xml:space="preserve">I divided the sentence in to two </w:t>
            </w:r>
            <w:proofErr w:type="gramStart"/>
            <w:r>
              <w:t>parts, and</w:t>
            </w:r>
            <w:proofErr w:type="gramEnd"/>
            <w:r>
              <w:t xml:space="preserve"> put another part near end of the paragraph</w:t>
            </w:r>
            <w:r w:rsidR="00FE3C93">
              <w:t>.</w:t>
            </w:r>
          </w:p>
        </w:tc>
      </w:tr>
      <w:tr w:rsidR="0083748D" w14:paraId="60788624" w14:textId="77777777" w:rsidTr="00A0331C">
        <w:tc>
          <w:tcPr>
            <w:tcW w:w="1413" w:type="dxa"/>
          </w:tcPr>
          <w:p w14:paraId="443A6C09" w14:textId="0128A130" w:rsidR="0083748D" w:rsidRDefault="002D4AD4" w:rsidP="00A0331C">
            <w:r>
              <w:lastRenderedPageBreak/>
              <w:t>9</w:t>
            </w:r>
          </w:p>
        </w:tc>
        <w:tc>
          <w:tcPr>
            <w:tcW w:w="3827" w:type="dxa"/>
          </w:tcPr>
          <w:p w14:paraId="4D025C71" w14:textId="77777777" w:rsidR="006C7B9E" w:rsidRDefault="006C7B9E" w:rsidP="006C7B9E">
            <w:pPr>
              <w:pStyle w:val="CommentText"/>
            </w:pPr>
            <w:r>
              <w:t>Dr Edward Said: Need to fix up this sentence to make it clearer.</w:t>
            </w:r>
          </w:p>
          <w:p w14:paraId="46C718CA" w14:textId="77777777" w:rsidR="006C7B9E" w:rsidRDefault="006C7B9E" w:rsidP="002D4AD4">
            <w:pPr>
              <w:pStyle w:val="CommentText"/>
            </w:pPr>
          </w:p>
          <w:p w14:paraId="5854EC84" w14:textId="77777777" w:rsidR="006C7B9E" w:rsidRDefault="006C7B9E" w:rsidP="002D4AD4">
            <w:pPr>
              <w:pStyle w:val="CommentText"/>
            </w:pPr>
          </w:p>
          <w:p w14:paraId="30E22ADC" w14:textId="5F0EDD84" w:rsidR="002D4AD4" w:rsidRPr="00B7590B" w:rsidRDefault="0016119E" w:rsidP="002D4AD4">
            <w:pPr>
              <w:pStyle w:val="CommentText"/>
            </w:pPr>
            <w:r>
              <w:t>Dr Edward said:</w:t>
            </w:r>
            <w:r w:rsidR="002D4AD4">
              <w:t xml:space="preserve"> </w:t>
            </w:r>
            <w:proofErr w:type="gramStart"/>
            <w:r w:rsidR="002D4AD4">
              <w:t>So</w:t>
            </w:r>
            <w:proofErr w:type="gramEnd"/>
            <w:r w:rsidR="002D4AD4">
              <w:t xml:space="preserve"> you seem to be suggesting that you will </w:t>
            </w:r>
            <w:r w:rsidR="002D4AD4">
              <w:rPr>
                <w:i/>
              </w:rPr>
              <w:t xml:space="preserve">demonstrate </w:t>
            </w:r>
            <w:r w:rsidR="002D4AD4">
              <w:t xml:space="preserve">that some(?) or all(?) of the Islamic financial instruments used by Indonesian IBs are in fact ‘camouflaged’ conventional instruments. Are you thereby saying that they are not ‘really’ or ‘substantively’ Islamic at all? If so, it would be worth prefacing this section with a discussion of the difference between ‘formal’ and ‘substantive’ validity in </w:t>
            </w:r>
            <w:proofErr w:type="spellStart"/>
            <w:r w:rsidR="002D4AD4">
              <w:t>fiqh</w:t>
            </w:r>
            <w:proofErr w:type="spellEnd"/>
            <w:r w:rsidR="002D4AD4">
              <w:t xml:space="preserve">. See, e.g., chapter 2 of </w:t>
            </w:r>
            <w:proofErr w:type="spellStart"/>
            <w:r w:rsidR="002D4AD4" w:rsidRPr="00B7590B">
              <w:t>Alkhamees</w:t>
            </w:r>
            <w:proofErr w:type="spellEnd"/>
            <w:r w:rsidR="002D4AD4" w:rsidRPr="00B7590B">
              <w:t xml:space="preserve">, Ahmad. </w:t>
            </w:r>
            <w:r w:rsidR="002D4AD4" w:rsidRPr="00B7590B">
              <w:rPr>
                <w:i/>
              </w:rPr>
              <w:t xml:space="preserve">A Critique of Creative </w:t>
            </w:r>
            <w:proofErr w:type="spellStart"/>
            <w:r w:rsidR="002D4AD4" w:rsidRPr="00B7590B">
              <w:rPr>
                <w:i/>
              </w:rPr>
              <w:t>Shari'ah</w:t>
            </w:r>
            <w:proofErr w:type="spellEnd"/>
            <w:r w:rsidR="002D4AD4" w:rsidRPr="00B7590B">
              <w:rPr>
                <w:i/>
              </w:rPr>
              <w:t xml:space="preserve"> Compliance in the Islamic Finance Industry</w:t>
            </w:r>
            <w:r w:rsidR="002D4AD4" w:rsidRPr="00B7590B">
              <w:t>, BRILL, 2017</w:t>
            </w:r>
            <w:r w:rsidR="002D4AD4">
              <w:t xml:space="preserve"> (Chapter 2: </w:t>
            </w:r>
            <w:r w:rsidR="002D4AD4" w:rsidRPr="00B7590B">
              <w:t xml:space="preserve">The Form Versus Substance Debate and the Roots of Creative </w:t>
            </w:r>
            <w:proofErr w:type="spellStart"/>
            <w:r w:rsidR="002D4AD4" w:rsidRPr="00B7590B">
              <w:t>Sharīʿah</w:t>
            </w:r>
            <w:proofErr w:type="spellEnd"/>
            <w:r w:rsidR="002D4AD4" w:rsidRPr="00B7590B">
              <w:t xml:space="preserve"> Compliance in Islamic Finance: Why Reinvent the Wheel?</w:t>
            </w:r>
            <w:r w:rsidR="002D4AD4">
              <w:t>)</w:t>
            </w:r>
          </w:p>
          <w:p w14:paraId="056575A5" w14:textId="60897C1D" w:rsidR="00821742" w:rsidRDefault="00821742" w:rsidP="0065642B">
            <w:pPr>
              <w:pStyle w:val="CommentText"/>
            </w:pPr>
          </w:p>
          <w:p w14:paraId="104F71A9" w14:textId="3938FE34" w:rsidR="006C7B9E" w:rsidRDefault="006C7B9E" w:rsidP="006D3352">
            <w:pPr>
              <w:pStyle w:val="CommentText"/>
            </w:pPr>
          </w:p>
        </w:tc>
        <w:tc>
          <w:tcPr>
            <w:tcW w:w="3776" w:type="dxa"/>
          </w:tcPr>
          <w:p w14:paraId="3C709E3B" w14:textId="3C039768" w:rsidR="006C7B9E" w:rsidRDefault="00264AC5" w:rsidP="00A0331C">
            <w:r>
              <w:t xml:space="preserve">I have </w:t>
            </w:r>
            <w:r w:rsidR="006E4B27">
              <w:t>changed</w:t>
            </w:r>
            <w:r>
              <w:t xml:space="preserve"> the sentence to make it more sensible</w:t>
            </w:r>
          </w:p>
          <w:p w14:paraId="229349A9" w14:textId="48CD3441" w:rsidR="006C7B9E" w:rsidRDefault="006C7B9E" w:rsidP="00A0331C"/>
          <w:p w14:paraId="7790EE7D" w14:textId="77777777" w:rsidR="006C7B9E" w:rsidRDefault="006C7B9E" w:rsidP="00A0331C"/>
          <w:p w14:paraId="1E1C23B7" w14:textId="77777777" w:rsidR="006C7B9E" w:rsidRDefault="006C7B9E" w:rsidP="00A0331C"/>
          <w:p w14:paraId="52C81272" w14:textId="55D7EA0F" w:rsidR="00821742" w:rsidRDefault="002D4AD4" w:rsidP="00A0331C">
            <w:r>
              <w:t xml:space="preserve">I think using the word ‘camouflage’ would </w:t>
            </w:r>
            <w:r w:rsidR="00267A76">
              <w:t xml:space="preserve">be </w:t>
            </w:r>
            <w:r>
              <w:t xml:space="preserve">too strong for </w:t>
            </w:r>
            <w:r w:rsidR="0016453F">
              <w:t xml:space="preserve">describing this. I have changed the sentence. </w:t>
            </w:r>
          </w:p>
        </w:tc>
      </w:tr>
      <w:tr w:rsidR="00A0331C" w14:paraId="7EB08B07" w14:textId="77777777" w:rsidTr="00A0331C">
        <w:tc>
          <w:tcPr>
            <w:tcW w:w="1413" w:type="dxa"/>
          </w:tcPr>
          <w:p w14:paraId="323D33AF" w14:textId="74693776" w:rsidR="00A0331C" w:rsidRDefault="00B62EA7" w:rsidP="00A0331C">
            <w:r>
              <w:t>10</w:t>
            </w:r>
          </w:p>
        </w:tc>
        <w:tc>
          <w:tcPr>
            <w:tcW w:w="3827" w:type="dxa"/>
          </w:tcPr>
          <w:p w14:paraId="06F7E615" w14:textId="77777777" w:rsidR="006D3352" w:rsidRDefault="0016119E" w:rsidP="006D3352">
            <w:pPr>
              <w:pStyle w:val="CommentText"/>
            </w:pPr>
            <w:r>
              <w:t>Dr Edward said:</w:t>
            </w:r>
            <w:r w:rsidR="006D3352">
              <w:t xml:space="preserve"> It would be good to have some data about this. [1] Compared to </w:t>
            </w:r>
            <w:proofErr w:type="spellStart"/>
            <w:r w:rsidR="006D3352">
              <w:t>oconventional</w:t>
            </w:r>
            <w:proofErr w:type="spellEnd"/>
            <w:r w:rsidR="006D3352">
              <w:t xml:space="preserve"> banks in Indonesia. [2] Maybe a comparison with market share in Malaysia.</w:t>
            </w:r>
          </w:p>
          <w:p w14:paraId="1A5351B2" w14:textId="77777777" w:rsidR="00EC3BB9" w:rsidRDefault="00EC3BB9" w:rsidP="0064482F">
            <w:pPr>
              <w:pStyle w:val="CommentText"/>
              <w:rPr>
                <w:iCs/>
              </w:rPr>
            </w:pPr>
          </w:p>
          <w:p w14:paraId="24F8D7CA" w14:textId="1DE01C18" w:rsidR="00F53F37" w:rsidRDefault="00F53F37" w:rsidP="00F53F37">
            <w:pPr>
              <w:pStyle w:val="CommentText"/>
            </w:pPr>
            <w:r>
              <w:rPr>
                <w:iCs/>
              </w:rPr>
              <w:t xml:space="preserve">Dr Edward said: </w:t>
            </w:r>
            <w:r>
              <w:t xml:space="preserve">It is not clear to me what the difference between the two accounts is. </w:t>
            </w:r>
            <w:r>
              <w:lastRenderedPageBreak/>
              <w:t xml:space="preserve">Is it that current account funds are </w:t>
            </w:r>
            <w:r w:rsidRPr="00F728F7">
              <w:rPr>
                <w:i/>
              </w:rPr>
              <w:t>not</w:t>
            </w:r>
            <w:r>
              <w:t xml:space="preserve"> used by the bank for generate profit for itself?</w:t>
            </w:r>
          </w:p>
          <w:p w14:paraId="39A2769F" w14:textId="28AD8A8E" w:rsidR="00657ABE" w:rsidRDefault="00657ABE" w:rsidP="00F53F37">
            <w:pPr>
              <w:pStyle w:val="CommentText"/>
            </w:pPr>
          </w:p>
          <w:p w14:paraId="24A9266E" w14:textId="08341053" w:rsidR="00657ABE" w:rsidRDefault="00657ABE" w:rsidP="00F53F37">
            <w:pPr>
              <w:pStyle w:val="CommentText"/>
            </w:pPr>
          </w:p>
          <w:p w14:paraId="5062E2C5" w14:textId="7CA27641" w:rsidR="00657ABE" w:rsidRDefault="00657ABE" w:rsidP="00F53F37">
            <w:pPr>
              <w:pStyle w:val="CommentText"/>
            </w:pPr>
          </w:p>
          <w:p w14:paraId="7F9FA1E2" w14:textId="2A124820" w:rsidR="00657ABE" w:rsidRDefault="00657ABE" w:rsidP="00F53F37">
            <w:pPr>
              <w:pStyle w:val="CommentText"/>
            </w:pPr>
          </w:p>
          <w:p w14:paraId="1A65B231" w14:textId="4A71CEFA" w:rsidR="00657ABE" w:rsidRDefault="00657ABE" w:rsidP="00F53F37">
            <w:pPr>
              <w:pStyle w:val="CommentText"/>
            </w:pPr>
          </w:p>
          <w:p w14:paraId="0B1E2A1C" w14:textId="1F422D1F" w:rsidR="00657ABE" w:rsidRDefault="00657ABE" w:rsidP="00F53F37">
            <w:pPr>
              <w:pStyle w:val="CommentText"/>
            </w:pPr>
          </w:p>
          <w:p w14:paraId="48C9B389" w14:textId="7CF96E3A" w:rsidR="00657ABE" w:rsidRDefault="00657ABE" w:rsidP="00F53F37">
            <w:pPr>
              <w:pStyle w:val="CommentText"/>
            </w:pPr>
          </w:p>
          <w:p w14:paraId="31047BFF" w14:textId="77777777" w:rsidR="009A42F7" w:rsidRDefault="009A42F7" w:rsidP="00657ABE">
            <w:pPr>
              <w:pStyle w:val="CommentText"/>
            </w:pPr>
          </w:p>
          <w:p w14:paraId="7EE7E13B" w14:textId="435BBA3D" w:rsidR="00657ABE" w:rsidRDefault="00657ABE" w:rsidP="00657ABE">
            <w:pPr>
              <w:pStyle w:val="CommentText"/>
            </w:pPr>
            <w:r>
              <w:t xml:space="preserve">Dr Edward said: Make this the second paragraph. Also, it would be good to make the point about how this kind of deposit is </w:t>
            </w:r>
            <w:proofErr w:type="gramStart"/>
            <w:r>
              <w:t>similar to</w:t>
            </w:r>
            <w:proofErr w:type="gramEnd"/>
            <w:r>
              <w:t xml:space="preserve"> a conventional deposit account, which could be criticised [give references] as only superficially ‘Islamic’. But you could provide a reference showing that Indonesian depositors are sensitive to changes in interest rates, which is why IBs need to prove a ‘bonus’ that is competitive with the conventional banks’ rates.[There is a reference in the shared </w:t>
            </w:r>
            <w:proofErr w:type="spellStart"/>
            <w:r>
              <w:t>dropbox</w:t>
            </w:r>
            <w:proofErr w:type="spellEnd"/>
            <w:r>
              <w:t xml:space="preserve"> folder.] So this gives an explanation as to why the IBs need to ‘mimic’ (to some extent) conventional banks – if they don’t, then they will have difficulty surviving in a competitive market (due to insufficient customer growth, and/or fluctuations in customers which could cause a liquidity crisis for the IBs).</w:t>
            </w:r>
          </w:p>
          <w:p w14:paraId="080690A6" w14:textId="77777777" w:rsidR="00657ABE" w:rsidRDefault="00657ABE" w:rsidP="00F53F37">
            <w:pPr>
              <w:pStyle w:val="CommentText"/>
            </w:pPr>
          </w:p>
          <w:p w14:paraId="70F49457" w14:textId="797B2A2F" w:rsidR="00F53F37" w:rsidRPr="00EC3BB9" w:rsidRDefault="00F53F37" w:rsidP="0064482F">
            <w:pPr>
              <w:pStyle w:val="CommentText"/>
              <w:rPr>
                <w:iCs/>
              </w:rPr>
            </w:pPr>
          </w:p>
        </w:tc>
        <w:tc>
          <w:tcPr>
            <w:tcW w:w="3776" w:type="dxa"/>
          </w:tcPr>
          <w:p w14:paraId="103BD407" w14:textId="77777777" w:rsidR="004C3A66" w:rsidRDefault="006D3352" w:rsidP="00A0331C">
            <w:r>
              <w:lastRenderedPageBreak/>
              <w:t>I have added the conventional bank’s products for comparison. I think I will only focus for Indonesia in this section.</w:t>
            </w:r>
          </w:p>
          <w:p w14:paraId="1387BD45" w14:textId="77777777" w:rsidR="00F53F37" w:rsidRDefault="00F53F37" w:rsidP="00A0331C"/>
          <w:p w14:paraId="706E66C1" w14:textId="77777777" w:rsidR="00F53F37" w:rsidRDefault="00F53F37" w:rsidP="00A0331C"/>
          <w:p w14:paraId="14D361B0" w14:textId="77777777" w:rsidR="00F53F37" w:rsidRDefault="00F53F37" w:rsidP="00A0331C"/>
          <w:p w14:paraId="103AAF6B" w14:textId="77777777" w:rsidR="00F53F37" w:rsidRDefault="00DA7360" w:rsidP="00A0331C">
            <w:r w:rsidRPr="00DA7360">
              <w:lastRenderedPageBreak/>
              <w:t xml:space="preserve">The different between both are laid on utilising the fund to generate profit, under the </w:t>
            </w:r>
            <w:r w:rsidR="00657ABE">
              <w:t>former,</w:t>
            </w:r>
            <w:r w:rsidRPr="00DA7360">
              <w:t xml:space="preserve"> bank is allowed to use the fund at its own risk and in the latter</w:t>
            </w:r>
            <w:r w:rsidR="00657ABE">
              <w:t>,</w:t>
            </w:r>
            <w:r w:rsidRPr="00DA7360">
              <w:t xml:space="preserve"> bank is prohibited to use deposited money but permitted to take cost of deposit. In any case, the bank needs to assure depositors that the money is made</w:t>
            </w:r>
          </w:p>
          <w:p w14:paraId="5AE6D8EF" w14:textId="77777777" w:rsidR="00657ABE" w:rsidRDefault="00657ABE" w:rsidP="00A0331C"/>
          <w:p w14:paraId="71EBD0A7" w14:textId="70F33B8A" w:rsidR="00657ABE" w:rsidRDefault="00657ABE" w:rsidP="00A0331C">
            <w:r>
              <w:t>I have move this to second paragraph</w:t>
            </w:r>
            <w:r w:rsidR="004801B4">
              <w:t xml:space="preserve">, I </w:t>
            </w:r>
            <w:r w:rsidR="00C90E8C">
              <w:t xml:space="preserve">have </w:t>
            </w:r>
            <w:r w:rsidR="004801B4">
              <w:t>provide</w:t>
            </w:r>
            <w:r w:rsidR="00C90E8C">
              <w:t>d</w:t>
            </w:r>
            <w:r w:rsidR="004801B4">
              <w:t xml:space="preserve"> the reference about sensitivity of Indonesian depositors </w:t>
            </w:r>
            <w:r w:rsidR="00C90E8C">
              <w:t>to the profit-earning</w:t>
            </w:r>
            <w:r w:rsidR="005535EB">
              <w:t xml:space="preserve"> and use this argument in the </w:t>
            </w:r>
            <w:proofErr w:type="spellStart"/>
            <w:r w:rsidR="005535EB">
              <w:t>paraghraph</w:t>
            </w:r>
            <w:proofErr w:type="spellEnd"/>
          </w:p>
        </w:tc>
      </w:tr>
      <w:tr w:rsidR="00A0331C" w14:paraId="419011CD" w14:textId="77777777" w:rsidTr="00A0331C">
        <w:tc>
          <w:tcPr>
            <w:tcW w:w="1413" w:type="dxa"/>
          </w:tcPr>
          <w:p w14:paraId="28E1018D" w14:textId="6BE6CAFD" w:rsidR="00A0331C" w:rsidRDefault="00D42783" w:rsidP="00A0331C">
            <w:r>
              <w:lastRenderedPageBreak/>
              <w:t>11</w:t>
            </w:r>
          </w:p>
        </w:tc>
        <w:tc>
          <w:tcPr>
            <w:tcW w:w="3827" w:type="dxa"/>
          </w:tcPr>
          <w:p w14:paraId="5B0541E2" w14:textId="166F8634" w:rsidR="004E408D" w:rsidRDefault="0016119E" w:rsidP="0065642B">
            <w:pPr>
              <w:pStyle w:val="CommentText"/>
            </w:pPr>
            <w:r>
              <w:t>Dr Edward said:</w:t>
            </w:r>
            <w:r w:rsidR="00D42783">
              <w:t xml:space="preserve"> What do you mean by ‘identical’? Do you mean from the perspective of customers?</w:t>
            </w:r>
          </w:p>
        </w:tc>
        <w:tc>
          <w:tcPr>
            <w:tcW w:w="3776" w:type="dxa"/>
          </w:tcPr>
          <w:p w14:paraId="73BD55C3" w14:textId="362DA439" w:rsidR="004E408D" w:rsidRDefault="00D42783" w:rsidP="00A0331C">
            <w:r>
              <w:t xml:space="preserve">I think I need your suggestion on how to use the appropriate word for this. I mean by identical is </w:t>
            </w:r>
            <w:r w:rsidR="0046113F">
              <w:t xml:space="preserve">that this Islamic products </w:t>
            </w:r>
            <w:r w:rsidR="001A3ED8">
              <w:t xml:space="preserve">of </w:t>
            </w:r>
            <w:proofErr w:type="spellStart"/>
            <w:r w:rsidR="001A3ED8">
              <w:t>Mudharabah</w:t>
            </w:r>
            <w:proofErr w:type="spellEnd"/>
            <w:r w:rsidR="001A3ED8">
              <w:t xml:space="preserve"> saving account </w:t>
            </w:r>
            <w:r w:rsidR="00D050D3" w:rsidRPr="00DF7094">
              <w:rPr>
                <w:b/>
                <w:bCs/>
              </w:rPr>
              <w:t xml:space="preserve">can also be </w:t>
            </w:r>
            <w:r w:rsidR="001A3ED8" w:rsidRPr="00DF7094">
              <w:rPr>
                <w:b/>
                <w:bCs/>
              </w:rPr>
              <w:t>exemplified</w:t>
            </w:r>
            <w:r w:rsidR="00DF7094" w:rsidRPr="00DF7094">
              <w:rPr>
                <w:b/>
                <w:bCs/>
              </w:rPr>
              <w:t>/</w:t>
            </w:r>
            <w:r w:rsidR="00430621" w:rsidRPr="00DF7094">
              <w:rPr>
                <w:b/>
                <w:bCs/>
              </w:rPr>
              <w:t>mirrored</w:t>
            </w:r>
            <w:r w:rsidR="00430621">
              <w:t xml:space="preserve"> in</w:t>
            </w:r>
            <w:r w:rsidR="001A3ED8">
              <w:t xml:space="preserve"> </w:t>
            </w:r>
            <w:r w:rsidR="0046113F">
              <w:t>conventional product</w:t>
            </w:r>
            <w:r w:rsidR="00DF7094">
              <w:t xml:space="preserve"> as saving account.</w:t>
            </w:r>
          </w:p>
        </w:tc>
      </w:tr>
      <w:tr w:rsidR="00A0331C" w14:paraId="38F07820" w14:textId="77777777" w:rsidTr="00A0331C">
        <w:tc>
          <w:tcPr>
            <w:tcW w:w="1413" w:type="dxa"/>
          </w:tcPr>
          <w:p w14:paraId="1A83C45E" w14:textId="54084CAB" w:rsidR="00A0331C" w:rsidRDefault="00E22743" w:rsidP="00A0331C">
            <w:r>
              <w:t>12</w:t>
            </w:r>
          </w:p>
        </w:tc>
        <w:tc>
          <w:tcPr>
            <w:tcW w:w="3827" w:type="dxa"/>
          </w:tcPr>
          <w:p w14:paraId="7F1CF4E1" w14:textId="77777777" w:rsidR="00E22743" w:rsidRDefault="0016119E" w:rsidP="00E22743">
            <w:pPr>
              <w:pStyle w:val="CommentText"/>
            </w:pPr>
            <w:r>
              <w:t>Dr Edward said:</w:t>
            </w:r>
            <w:r w:rsidR="00E22743">
              <w:t xml:space="preserve"> …because most (all?) scholars deem the imposition of a fee for the use of, or the failure to repay borrowed money as a prohibited form of </w:t>
            </w:r>
            <w:proofErr w:type="spellStart"/>
            <w:r w:rsidR="00E22743">
              <w:t>riba</w:t>
            </w:r>
            <w:proofErr w:type="spellEnd"/>
            <w:r w:rsidR="00E22743">
              <w:t xml:space="preserve">. </w:t>
            </w:r>
          </w:p>
          <w:p w14:paraId="4C111CB8" w14:textId="14EB4611" w:rsidR="00E5355C" w:rsidRDefault="00E5355C" w:rsidP="0065642B">
            <w:pPr>
              <w:pStyle w:val="CommentText"/>
            </w:pPr>
          </w:p>
        </w:tc>
        <w:tc>
          <w:tcPr>
            <w:tcW w:w="3776" w:type="dxa"/>
          </w:tcPr>
          <w:p w14:paraId="47879F20" w14:textId="0DBE0053" w:rsidR="00E5355C" w:rsidRDefault="00224F7A" w:rsidP="00A0331C">
            <w:r>
              <w:t xml:space="preserve">I have changed </w:t>
            </w:r>
            <w:r w:rsidR="000D14D6">
              <w:t>it according to suggestion</w:t>
            </w:r>
            <w:r w:rsidR="007B6403">
              <w:t xml:space="preserve"> </w:t>
            </w:r>
          </w:p>
        </w:tc>
      </w:tr>
      <w:tr w:rsidR="002D7D34" w14:paraId="074D36DD" w14:textId="77777777" w:rsidTr="00A0331C">
        <w:tc>
          <w:tcPr>
            <w:tcW w:w="1413" w:type="dxa"/>
          </w:tcPr>
          <w:p w14:paraId="1A626C55" w14:textId="2DC89E02" w:rsidR="002D7D34" w:rsidRDefault="00135E56" w:rsidP="00A0331C">
            <w:r>
              <w:t>13</w:t>
            </w:r>
          </w:p>
        </w:tc>
        <w:tc>
          <w:tcPr>
            <w:tcW w:w="3827" w:type="dxa"/>
          </w:tcPr>
          <w:p w14:paraId="4CE2B4E5" w14:textId="7A38BD7F" w:rsidR="005B29A0" w:rsidRDefault="0016119E" w:rsidP="0065642B">
            <w:pPr>
              <w:pStyle w:val="CommentText"/>
            </w:pPr>
            <w:r>
              <w:t>Dr Edward said:</w:t>
            </w:r>
            <w:r w:rsidR="004A57BC">
              <w:t xml:space="preserve"> Seems like there should be a new sub-heading here because you are not talking about penalties anymore. You seem to be talking about the way in which the returns to depositors and banks are </w:t>
            </w:r>
            <w:proofErr w:type="gramStart"/>
            <w:r w:rsidR="004A57BC">
              <w:t>actually determined</w:t>
            </w:r>
            <w:proofErr w:type="gramEnd"/>
            <w:r w:rsidR="004A57BC">
              <w:t>. And then later, the types of innovations (initially championed in Malaysia) have become popular but controversial.</w:t>
            </w:r>
          </w:p>
        </w:tc>
        <w:tc>
          <w:tcPr>
            <w:tcW w:w="3776" w:type="dxa"/>
          </w:tcPr>
          <w:p w14:paraId="3042A1FD" w14:textId="01188BAF" w:rsidR="005B29A0" w:rsidRDefault="004A57BC" w:rsidP="00A0331C">
            <w:r>
              <w:t xml:space="preserve">The title of this section is </w:t>
            </w:r>
            <w:proofErr w:type="gramStart"/>
            <w:r>
              <w:t>actually about</w:t>
            </w:r>
            <w:proofErr w:type="gramEnd"/>
            <w:r>
              <w:t xml:space="preserve"> penalty and profit return. But, to avoid the confusion of reader, I have</w:t>
            </w:r>
            <w:r w:rsidR="00462F3E">
              <w:t xml:space="preserve"> created</w:t>
            </w:r>
            <w:r>
              <w:t xml:space="preserve"> A. for penalty and B. for profit return. </w:t>
            </w:r>
          </w:p>
        </w:tc>
      </w:tr>
      <w:tr w:rsidR="005B29A0" w14:paraId="1EE9ADF7" w14:textId="77777777" w:rsidTr="00A0331C">
        <w:tc>
          <w:tcPr>
            <w:tcW w:w="1413" w:type="dxa"/>
          </w:tcPr>
          <w:p w14:paraId="097B1EAD" w14:textId="52CBB2F4" w:rsidR="005B29A0" w:rsidRDefault="00135E56" w:rsidP="005B29A0">
            <w:r>
              <w:lastRenderedPageBreak/>
              <w:t>14</w:t>
            </w:r>
          </w:p>
        </w:tc>
        <w:tc>
          <w:tcPr>
            <w:tcW w:w="3827" w:type="dxa"/>
          </w:tcPr>
          <w:p w14:paraId="02FC91CF" w14:textId="77777777" w:rsidR="00135E56" w:rsidRDefault="0016119E" w:rsidP="00135E56">
            <w:pPr>
              <w:pStyle w:val="CommentText"/>
            </w:pPr>
            <w:r>
              <w:t>Dr Edward said:</w:t>
            </w:r>
            <w:r w:rsidR="00135E56">
              <w:t xml:space="preserve"> And where does the conventional bank interest rate benchmark come into this? Above you say that </w:t>
            </w:r>
            <w:r w:rsidR="00135E56" w:rsidRPr="00731560">
              <w:t>Islamic banks to use the interest rate benchmark to determine their profit-sharing ratio</w:t>
            </w:r>
            <w:r w:rsidR="00135E56">
              <w:t>. But it seems you didn’t need to refer to the conventional interest benchmark in making the calculations here.</w:t>
            </w:r>
          </w:p>
          <w:p w14:paraId="2E726BF8" w14:textId="77777777" w:rsidR="00135E56" w:rsidRDefault="00135E56" w:rsidP="00135E56">
            <w:pPr>
              <w:pStyle w:val="CommentText"/>
            </w:pPr>
          </w:p>
          <w:p w14:paraId="76A4E4A8" w14:textId="77777777" w:rsidR="00135E56" w:rsidRDefault="00135E56" w:rsidP="00135E56">
            <w:pPr>
              <w:pStyle w:val="CommentText"/>
            </w:pPr>
            <w:r>
              <w:t xml:space="preserve">To end this paragraph, you need to be able to compare the IB returns (as calculated here) with a conventional bank in Indonesia. I assume you want to show that the IB returns for depositors are lower compared to conventional banks. Maybe show an abstract calculation that can be compared with your imaginary calculation scenario here. Also, is there published evidence that could show that IBs would have a lower rate of return for depositors compared to conventional bank customers? </w:t>
            </w:r>
          </w:p>
          <w:p w14:paraId="2EE4F087" w14:textId="77777777" w:rsidR="00135E56" w:rsidRDefault="00135E56" w:rsidP="00135E56">
            <w:pPr>
              <w:pStyle w:val="CommentText"/>
            </w:pPr>
          </w:p>
          <w:p w14:paraId="39ECA5B6" w14:textId="5310533E" w:rsidR="00091386" w:rsidRDefault="00135E56" w:rsidP="00EF06E2">
            <w:pPr>
              <w:pStyle w:val="CommentText"/>
            </w:pPr>
            <w:r>
              <w:t xml:space="preserve">If you add that content, you can then safely say that this shows that IBs will struggle to compete on the basis of deposit returns to customers, and so in a free market, will have difficulty attracting depositors (which is a necessity of their business). And </w:t>
            </w:r>
            <w:r>
              <w:rPr>
                <w:i/>
              </w:rPr>
              <w:t xml:space="preserve">then </w:t>
            </w:r>
            <w:r>
              <w:t xml:space="preserve">you can look at Malaysian’s solution to this problem. And </w:t>
            </w:r>
            <w:r>
              <w:rPr>
                <w:i/>
              </w:rPr>
              <w:t xml:space="preserve">then </w:t>
            </w:r>
            <w:r>
              <w:t>point out that the Indonesian ulama mostly reject the Malaysian solution.</w:t>
            </w:r>
          </w:p>
          <w:p w14:paraId="34565507" w14:textId="6F08CFC5" w:rsidR="00714F15" w:rsidRDefault="00714F15" w:rsidP="00EF06E2">
            <w:pPr>
              <w:pStyle w:val="CommentText"/>
            </w:pPr>
          </w:p>
          <w:p w14:paraId="5E9E6BCA" w14:textId="77777777" w:rsidR="00714F15" w:rsidRDefault="00714F15" w:rsidP="00714F15">
            <w:pPr>
              <w:pStyle w:val="CommentText"/>
            </w:pPr>
            <w:r>
              <w:t xml:space="preserve">Dr Edward said: Maybe put this at or near the beginning of the above paragraph which starts with “The </w:t>
            </w:r>
            <w:r w:rsidRPr="00731560">
              <w:t>overwhelming majority of</w:t>
            </w:r>
            <w:r>
              <w:t>…”</w:t>
            </w:r>
          </w:p>
          <w:p w14:paraId="4017BDCA" w14:textId="7E9A1B5E" w:rsidR="00714F15" w:rsidRPr="00FF5BEA" w:rsidRDefault="00714F15" w:rsidP="00EF06E2">
            <w:pPr>
              <w:pStyle w:val="CommentText"/>
            </w:pPr>
          </w:p>
          <w:p w14:paraId="535482F3" w14:textId="41F9935E" w:rsidR="00D635BB" w:rsidRDefault="00D635BB" w:rsidP="00B670D0">
            <w:pPr>
              <w:pStyle w:val="CommentText"/>
            </w:pPr>
          </w:p>
        </w:tc>
        <w:tc>
          <w:tcPr>
            <w:tcW w:w="3776" w:type="dxa"/>
          </w:tcPr>
          <w:p w14:paraId="0598CA0C" w14:textId="00C214EA" w:rsidR="00D635BB" w:rsidRDefault="00135E56" w:rsidP="005B29A0">
            <w:r>
              <w:t xml:space="preserve">I have added </w:t>
            </w:r>
            <w:r w:rsidR="00DE0CBB">
              <w:t xml:space="preserve">the latest version of </w:t>
            </w:r>
            <w:r>
              <w:t xml:space="preserve">how IBs using BI repo rate as benchmark, including the method of calculation. </w:t>
            </w:r>
          </w:p>
          <w:p w14:paraId="7E1EA384" w14:textId="77777777" w:rsidR="00091386" w:rsidRDefault="00091386" w:rsidP="005B29A0"/>
          <w:p w14:paraId="12924FFE" w14:textId="77777777" w:rsidR="00091386" w:rsidRDefault="00091386" w:rsidP="005B29A0"/>
          <w:p w14:paraId="0FDC3422" w14:textId="77777777" w:rsidR="00091386" w:rsidRDefault="00091386" w:rsidP="005B29A0"/>
          <w:p w14:paraId="668FAF60" w14:textId="77777777" w:rsidR="00091386" w:rsidRDefault="00091386" w:rsidP="005B29A0"/>
          <w:p w14:paraId="2F1481D2" w14:textId="77777777" w:rsidR="00091386" w:rsidRDefault="00091386" w:rsidP="005B29A0"/>
          <w:p w14:paraId="65CAEC63" w14:textId="77777777" w:rsidR="00091386" w:rsidRDefault="00091386" w:rsidP="005B29A0"/>
          <w:p w14:paraId="60F74D2E" w14:textId="77777777" w:rsidR="00091386" w:rsidRDefault="00091386" w:rsidP="005B29A0"/>
          <w:p w14:paraId="08D6EA47" w14:textId="77777777" w:rsidR="00091386" w:rsidRDefault="00091386" w:rsidP="005B29A0"/>
          <w:p w14:paraId="1ADEBF09" w14:textId="77777777" w:rsidR="00091386" w:rsidRDefault="00091386" w:rsidP="005B29A0"/>
          <w:p w14:paraId="124EBFEC" w14:textId="77777777" w:rsidR="00091386" w:rsidRDefault="00091386" w:rsidP="005B29A0"/>
          <w:p w14:paraId="25186890" w14:textId="77777777" w:rsidR="00091386" w:rsidRDefault="00091386" w:rsidP="005B29A0"/>
          <w:p w14:paraId="4CE369FB" w14:textId="77777777" w:rsidR="00091386" w:rsidRDefault="00091386" w:rsidP="005B29A0"/>
          <w:p w14:paraId="161F0CD6" w14:textId="77777777" w:rsidR="00091386" w:rsidRDefault="00091386" w:rsidP="005B29A0"/>
          <w:p w14:paraId="5D0FBBCF" w14:textId="77777777" w:rsidR="00091386" w:rsidRDefault="00091386" w:rsidP="005B29A0"/>
          <w:p w14:paraId="323053E8" w14:textId="77777777" w:rsidR="00091386" w:rsidRDefault="00091386" w:rsidP="005B29A0"/>
          <w:p w14:paraId="0E521037" w14:textId="77777777" w:rsidR="00091386" w:rsidRDefault="00091386" w:rsidP="005B29A0"/>
          <w:p w14:paraId="50F5573B" w14:textId="77777777" w:rsidR="00091386" w:rsidRDefault="00091386" w:rsidP="005B29A0"/>
          <w:p w14:paraId="46AD58FF" w14:textId="77777777" w:rsidR="00091386" w:rsidRDefault="00091386" w:rsidP="005B29A0"/>
          <w:p w14:paraId="30D90519" w14:textId="77777777" w:rsidR="00091386" w:rsidRDefault="00091386" w:rsidP="005B29A0"/>
          <w:p w14:paraId="325F481F" w14:textId="77777777" w:rsidR="00091386" w:rsidRDefault="00091386" w:rsidP="005B29A0"/>
          <w:p w14:paraId="23F01CA2" w14:textId="77777777" w:rsidR="00091386" w:rsidRDefault="00091386" w:rsidP="005B29A0"/>
          <w:p w14:paraId="54E4958A" w14:textId="77777777" w:rsidR="00091386" w:rsidRDefault="00091386" w:rsidP="005B29A0"/>
          <w:p w14:paraId="077C2C42" w14:textId="77777777" w:rsidR="00091386" w:rsidRDefault="00091386" w:rsidP="005B29A0"/>
          <w:p w14:paraId="47F3242C" w14:textId="77777777" w:rsidR="00091386" w:rsidRDefault="00091386" w:rsidP="005B29A0"/>
          <w:p w14:paraId="2DA65689" w14:textId="77777777" w:rsidR="00714F15" w:rsidRDefault="00714F15" w:rsidP="005B29A0"/>
          <w:p w14:paraId="377D4F78" w14:textId="77777777" w:rsidR="00714F15" w:rsidRDefault="00714F15" w:rsidP="005B29A0"/>
          <w:p w14:paraId="0CD8F0B1" w14:textId="77777777" w:rsidR="00714F15" w:rsidRDefault="00714F15" w:rsidP="005B29A0"/>
          <w:p w14:paraId="1B677D54" w14:textId="77777777" w:rsidR="00714F15" w:rsidRDefault="00714F15" w:rsidP="005B29A0"/>
          <w:p w14:paraId="6C3095A4" w14:textId="697D3437" w:rsidR="00714F15" w:rsidRDefault="00714F15" w:rsidP="005B29A0">
            <w:r>
              <w:t xml:space="preserve">I have changed </w:t>
            </w:r>
            <w:r w:rsidR="00CF4386">
              <w:t>it according to suggestion</w:t>
            </w:r>
          </w:p>
        </w:tc>
      </w:tr>
      <w:tr w:rsidR="00E539C4" w14:paraId="0EE0A98E" w14:textId="77777777" w:rsidTr="00A0331C">
        <w:tc>
          <w:tcPr>
            <w:tcW w:w="1413" w:type="dxa"/>
          </w:tcPr>
          <w:p w14:paraId="51812906" w14:textId="23746EE2" w:rsidR="00E539C4" w:rsidRDefault="00CA0D43" w:rsidP="005B29A0">
            <w:r>
              <w:t>15</w:t>
            </w:r>
          </w:p>
        </w:tc>
        <w:tc>
          <w:tcPr>
            <w:tcW w:w="3827" w:type="dxa"/>
          </w:tcPr>
          <w:p w14:paraId="44CE9643" w14:textId="371B46AF" w:rsidR="00CA0D43" w:rsidRDefault="0016119E" w:rsidP="00CA0D43">
            <w:pPr>
              <w:pStyle w:val="CommentText"/>
            </w:pPr>
            <w:r>
              <w:t>Dr Edward said:</w:t>
            </w:r>
            <w:r w:rsidR="00CA0D43">
              <w:t xml:space="preserve"> Can you provide commentary by </w:t>
            </w:r>
            <w:proofErr w:type="spellStart"/>
            <w:r w:rsidR="00CA0D43">
              <w:t>Isonesian</w:t>
            </w:r>
            <w:proofErr w:type="spellEnd"/>
            <w:r w:rsidR="00CA0D43">
              <w:t xml:space="preserve"> ulama from NU, Muhammadiyah, or MUI about this?</w:t>
            </w:r>
          </w:p>
          <w:p w14:paraId="2C73671D" w14:textId="62479E92" w:rsidR="00A265C4" w:rsidRDefault="00A265C4" w:rsidP="00CA0D43">
            <w:pPr>
              <w:pStyle w:val="CommentText"/>
            </w:pPr>
          </w:p>
          <w:p w14:paraId="709B3B7A" w14:textId="0E459B81" w:rsidR="00A265C4" w:rsidRDefault="00A265C4" w:rsidP="00CA0D43">
            <w:pPr>
              <w:pStyle w:val="CommentText"/>
            </w:pPr>
          </w:p>
          <w:p w14:paraId="1F6B51CC" w14:textId="732DBFD8" w:rsidR="00A265C4" w:rsidRDefault="00A265C4" w:rsidP="00CA0D43">
            <w:pPr>
              <w:pStyle w:val="CommentText"/>
            </w:pPr>
          </w:p>
          <w:p w14:paraId="3D25BF46" w14:textId="6C27B95E" w:rsidR="00A265C4" w:rsidRDefault="00A265C4" w:rsidP="00CA0D43">
            <w:pPr>
              <w:pStyle w:val="CommentText"/>
            </w:pPr>
          </w:p>
          <w:p w14:paraId="50B6B50A" w14:textId="1631381D" w:rsidR="00A265C4" w:rsidRDefault="00A265C4" w:rsidP="00A265C4">
            <w:pPr>
              <w:pStyle w:val="CommentText"/>
            </w:pPr>
            <w:r>
              <w:t xml:space="preserve">Dr </w:t>
            </w:r>
            <w:proofErr w:type="spellStart"/>
            <w:r>
              <w:t>Edwar</w:t>
            </w:r>
            <w:proofErr w:type="spellEnd"/>
            <w:r>
              <w:t xml:space="preserve"> said: This does not cohere well with earlier statements you made in this chapter about how IBs are mimicking the conventional banks, including your comments on how the conventional interest rate is a benchmark for the PLS ratio on deposit accounts.</w:t>
            </w:r>
          </w:p>
          <w:p w14:paraId="79425AF1" w14:textId="01A7C86A" w:rsidR="00D91EF8" w:rsidRDefault="00D91EF8" w:rsidP="00A265C4">
            <w:pPr>
              <w:pStyle w:val="CommentText"/>
            </w:pPr>
          </w:p>
          <w:p w14:paraId="16057F00" w14:textId="49D0B3B7" w:rsidR="00D91EF8" w:rsidRDefault="00D91EF8" w:rsidP="00D91EF8">
            <w:pPr>
              <w:pStyle w:val="CommentText"/>
            </w:pPr>
            <w:r>
              <w:t xml:space="preserve">Dr Edward said: This info could have been provided when introducing the table above summarising the types of accounts. You </w:t>
            </w:r>
            <w:r>
              <w:lastRenderedPageBreak/>
              <w:t>could then give some commentary about the importance of each of these products to the IBs in Indonesia. (It would also be good to show some data comparing the Indonesian banks with the Malaysian banks, since Malaysia is regarded as a ‘world leader’ and is the nearest neighbour.</w:t>
            </w:r>
          </w:p>
          <w:p w14:paraId="1CC03D89" w14:textId="77777777" w:rsidR="00D91EF8" w:rsidRDefault="00D91EF8" w:rsidP="00A265C4">
            <w:pPr>
              <w:pStyle w:val="CommentText"/>
            </w:pPr>
          </w:p>
          <w:p w14:paraId="4AFF3C4A" w14:textId="0C4C1FA5" w:rsidR="00A265C4" w:rsidRDefault="00A265C4" w:rsidP="00CA0D43">
            <w:pPr>
              <w:pStyle w:val="CommentText"/>
            </w:pPr>
          </w:p>
          <w:p w14:paraId="630FA89D" w14:textId="44677117" w:rsidR="00A229E0" w:rsidRDefault="00A229E0" w:rsidP="00B670D0">
            <w:pPr>
              <w:pStyle w:val="CommentText"/>
            </w:pPr>
          </w:p>
        </w:tc>
        <w:tc>
          <w:tcPr>
            <w:tcW w:w="3776" w:type="dxa"/>
          </w:tcPr>
          <w:p w14:paraId="03623556" w14:textId="77777777" w:rsidR="00A229E0" w:rsidRDefault="00CA0D43" w:rsidP="00742C80">
            <w:r>
              <w:lastRenderedPageBreak/>
              <w:t xml:space="preserve">MUI has issued fatwa about PER and Income </w:t>
            </w:r>
            <w:proofErr w:type="gramStart"/>
            <w:r>
              <w:t>smoothing, but</w:t>
            </w:r>
            <w:proofErr w:type="gramEnd"/>
            <w:r w:rsidR="0001505E">
              <w:t xml:space="preserve"> based on many studies FSA argued that the use of PER would create the idle fund in the internal bank, </w:t>
            </w:r>
            <w:r w:rsidR="004E2E25">
              <w:t xml:space="preserve">those reserve fund </w:t>
            </w:r>
            <w:proofErr w:type="spellStart"/>
            <w:r w:rsidR="004E2E25">
              <w:t>can not</w:t>
            </w:r>
            <w:proofErr w:type="spellEnd"/>
            <w:r w:rsidR="004E2E25">
              <w:t xml:space="preserve"> be used for productive </w:t>
            </w:r>
            <w:r w:rsidR="001A0D46">
              <w:t>activities</w:t>
            </w:r>
            <w:r w:rsidR="004E2E25">
              <w:t xml:space="preserve">. </w:t>
            </w:r>
            <w:r w:rsidR="0001505E">
              <w:t xml:space="preserve"> </w:t>
            </w:r>
          </w:p>
          <w:p w14:paraId="7616A6F1" w14:textId="77777777" w:rsidR="00A265C4" w:rsidRDefault="00A265C4" w:rsidP="00742C80"/>
          <w:p w14:paraId="09F9AAC4" w14:textId="77777777" w:rsidR="00A265C4" w:rsidRDefault="00A265C4" w:rsidP="00742C80">
            <w:r>
              <w:t>I deleted this</w:t>
            </w:r>
          </w:p>
          <w:p w14:paraId="353F4D69" w14:textId="77777777" w:rsidR="00D91EF8" w:rsidRDefault="00D91EF8" w:rsidP="00742C80"/>
          <w:p w14:paraId="2ECC5BE7" w14:textId="77777777" w:rsidR="00D91EF8" w:rsidRDefault="00D91EF8" w:rsidP="00742C80"/>
          <w:p w14:paraId="08D17C5E" w14:textId="77777777" w:rsidR="00D91EF8" w:rsidRDefault="00D91EF8" w:rsidP="00742C80"/>
          <w:p w14:paraId="09798D3F" w14:textId="77777777" w:rsidR="00D91EF8" w:rsidRDefault="00D91EF8" w:rsidP="00742C80"/>
          <w:p w14:paraId="1ABED934" w14:textId="77777777" w:rsidR="00D91EF8" w:rsidRDefault="00D91EF8" w:rsidP="00742C80"/>
          <w:p w14:paraId="4AA6FF4D" w14:textId="77777777" w:rsidR="00D91EF8" w:rsidRDefault="00D91EF8" w:rsidP="00742C80"/>
          <w:p w14:paraId="6AC47C47" w14:textId="3102CA7E" w:rsidR="00D91EF8" w:rsidRDefault="00D91EF8" w:rsidP="00742C80">
            <w:r>
              <w:t xml:space="preserve">I have move this to the </w:t>
            </w:r>
            <w:r w:rsidR="00B57F3F">
              <w:t>paragraph near the table above</w:t>
            </w:r>
          </w:p>
        </w:tc>
      </w:tr>
      <w:tr w:rsidR="00B71B3D" w14:paraId="39436780" w14:textId="77777777" w:rsidTr="00A0331C">
        <w:tc>
          <w:tcPr>
            <w:tcW w:w="1413" w:type="dxa"/>
          </w:tcPr>
          <w:p w14:paraId="2CE36043" w14:textId="7193F041" w:rsidR="00B71B3D" w:rsidRDefault="00B37ADF" w:rsidP="005B29A0">
            <w:r>
              <w:t>16</w:t>
            </w:r>
          </w:p>
        </w:tc>
        <w:tc>
          <w:tcPr>
            <w:tcW w:w="3827" w:type="dxa"/>
          </w:tcPr>
          <w:p w14:paraId="16040790" w14:textId="77777777" w:rsidR="00AF5788" w:rsidRDefault="0016119E" w:rsidP="00AF5788">
            <w:pPr>
              <w:pStyle w:val="CommentText"/>
            </w:pPr>
            <w:r>
              <w:t>Dr Edward said:</w:t>
            </w:r>
            <w:r w:rsidR="00AF5788">
              <w:t xml:space="preserve"> Insert some more references that critique </w:t>
            </w:r>
            <w:proofErr w:type="spellStart"/>
            <w:r w:rsidR="00AF5788" w:rsidRPr="00CD02F6">
              <w:t>tawarruq</w:t>
            </w:r>
            <w:proofErr w:type="spellEnd"/>
            <w:r w:rsidR="00AF5788">
              <w:t xml:space="preserve"> products. E.g.</w:t>
            </w:r>
          </w:p>
          <w:p w14:paraId="33A2C9B9" w14:textId="77777777" w:rsidR="00AF5788" w:rsidRDefault="00AF5788" w:rsidP="00AF5788">
            <w:pPr>
              <w:pStyle w:val="CommentText"/>
            </w:pPr>
          </w:p>
          <w:p w14:paraId="072190B5" w14:textId="77777777" w:rsidR="00AF5788" w:rsidRDefault="00AF5788" w:rsidP="00AF5788">
            <w:pPr>
              <w:pStyle w:val="CommentText"/>
            </w:pPr>
            <w:r>
              <w:t xml:space="preserve">Ahmad A </w:t>
            </w:r>
            <w:proofErr w:type="spellStart"/>
            <w:r>
              <w:t>Alkhamees</w:t>
            </w:r>
            <w:proofErr w:type="spellEnd"/>
            <w:r>
              <w:t xml:space="preserve">, </w:t>
            </w:r>
            <w:r w:rsidRPr="00385A48">
              <w:rPr>
                <w:i/>
              </w:rPr>
              <w:t xml:space="preserve">A Critique of Creative </w:t>
            </w:r>
            <w:proofErr w:type="spellStart"/>
            <w:r w:rsidRPr="00385A48">
              <w:rPr>
                <w:i/>
              </w:rPr>
              <w:t>Shari'ah</w:t>
            </w:r>
            <w:proofErr w:type="spellEnd"/>
            <w:r w:rsidRPr="00385A48">
              <w:rPr>
                <w:i/>
              </w:rPr>
              <w:t xml:space="preserve"> Compliance in the Islamic Finance Industry</w:t>
            </w:r>
            <w:r>
              <w:t xml:space="preserve">. </w:t>
            </w:r>
          </w:p>
          <w:p w14:paraId="2DB922B5" w14:textId="77777777" w:rsidR="00AF5788" w:rsidRDefault="00AF5788" w:rsidP="00AF5788">
            <w:pPr>
              <w:pStyle w:val="CommentText"/>
            </w:pPr>
            <w:r>
              <w:t xml:space="preserve">Brill: </w:t>
            </w:r>
            <w:r w:rsidRPr="00286068">
              <w:t>Dordrecht</w:t>
            </w:r>
            <w:r>
              <w:t>, 2017. See chapter 3. This book is available online via the library.</w:t>
            </w:r>
          </w:p>
          <w:p w14:paraId="32754103" w14:textId="77777777" w:rsidR="00AF5788" w:rsidRDefault="00AF5788" w:rsidP="00AF5788">
            <w:pPr>
              <w:pStyle w:val="CommentText"/>
            </w:pPr>
          </w:p>
          <w:p w14:paraId="574BDFF6" w14:textId="77777777" w:rsidR="00AF5788" w:rsidRDefault="00AF5788" w:rsidP="00AF5788">
            <w:pPr>
              <w:pStyle w:val="CommentText"/>
            </w:pPr>
            <w:proofErr w:type="spellStart"/>
            <w:r w:rsidRPr="002B1B96">
              <w:t>Asni</w:t>
            </w:r>
            <w:proofErr w:type="spellEnd"/>
            <w:r w:rsidRPr="002B1B96">
              <w:t xml:space="preserve">, F., &amp; </w:t>
            </w:r>
            <w:proofErr w:type="spellStart"/>
            <w:r w:rsidRPr="002B1B96">
              <w:t>Sulong</w:t>
            </w:r>
            <w:proofErr w:type="spellEnd"/>
            <w:r w:rsidRPr="002B1B96">
              <w:t xml:space="preserve">, J. (2018). Non-Ethical Elements in </w:t>
            </w:r>
            <w:proofErr w:type="spellStart"/>
            <w:r w:rsidRPr="002B1B96">
              <w:t>Tawarruq</w:t>
            </w:r>
            <w:proofErr w:type="spellEnd"/>
            <w:r w:rsidRPr="002B1B96">
              <w:t xml:space="preserve"> </w:t>
            </w:r>
            <w:proofErr w:type="spellStart"/>
            <w:r w:rsidRPr="002B1B96">
              <w:t>Munazzam</w:t>
            </w:r>
            <w:proofErr w:type="spellEnd"/>
            <w:r w:rsidRPr="002B1B96">
              <w:t xml:space="preserve"> Product for Islamic Housing Financing </w:t>
            </w:r>
            <w:proofErr w:type="gramStart"/>
            <w:r w:rsidRPr="002B1B96">
              <w:t>In</w:t>
            </w:r>
            <w:proofErr w:type="gramEnd"/>
            <w:r w:rsidRPr="002B1B96">
              <w:t xml:space="preserve"> Malaysia. </w:t>
            </w:r>
            <w:r w:rsidRPr="002B1B96">
              <w:rPr>
                <w:i/>
              </w:rPr>
              <w:t>International Journal of Academic Research in Business and Social Sciences</w:t>
            </w:r>
            <w:r w:rsidRPr="002B1B96">
              <w:t>, 8(12), 1013–1019.</w:t>
            </w:r>
          </w:p>
          <w:p w14:paraId="14DBD256" w14:textId="77777777" w:rsidR="00AF5788" w:rsidRDefault="00AF5788" w:rsidP="00AF5788">
            <w:pPr>
              <w:pStyle w:val="CommentText"/>
            </w:pPr>
          </w:p>
          <w:p w14:paraId="5020EB48" w14:textId="77777777" w:rsidR="00AF5788" w:rsidRDefault="00AF5788" w:rsidP="00AF5788">
            <w:pPr>
              <w:pStyle w:val="CommentText"/>
            </w:pPr>
            <w:proofErr w:type="spellStart"/>
            <w:r>
              <w:t>Ellida</w:t>
            </w:r>
            <w:proofErr w:type="spellEnd"/>
            <w:r>
              <w:t xml:space="preserve"> </w:t>
            </w:r>
            <w:proofErr w:type="spellStart"/>
            <w:r>
              <w:t>Fauziah</w:t>
            </w:r>
            <w:proofErr w:type="spellEnd"/>
            <w:r>
              <w:t xml:space="preserve"> Ahmad, Mariyam </w:t>
            </w:r>
            <w:proofErr w:type="spellStart"/>
            <w:r>
              <w:t>Shihama</w:t>
            </w:r>
            <w:proofErr w:type="spellEnd"/>
            <w:r>
              <w:t xml:space="preserve">, Nur </w:t>
            </w:r>
            <w:proofErr w:type="spellStart"/>
            <w:r>
              <w:t>Sulaim</w:t>
            </w:r>
            <w:proofErr w:type="spellEnd"/>
          </w:p>
          <w:p w14:paraId="19EF1249" w14:textId="77777777" w:rsidR="00AF5788" w:rsidRDefault="00AF5788" w:rsidP="00AF5788">
            <w:pPr>
              <w:pStyle w:val="CommentText"/>
            </w:pPr>
            <w:proofErr w:type="spellStart"/>
            <w:r>
              <w:t>Ashikin</w:t>
            </w:r>
            <w:proofErr w:type="spellEnd"/>
            <w:r>
              <w:t xml:space="preserve"> Mohamad </w:t>
            </w:r>
            <w:proofErr w:type="spellStart"/>
            <w:r>
              <w:t>Tarmizi</w:t>
            </w:r>
            <w:proofErr w:type="spellEnd"/>
            <w:r>
              <w:t xml:space="preserve">, </w:t>
            </w:r>
            <w:proofErr w:type="spellStart"/>
            <w:r>
              <w:t>Saidu</w:t>
            </w:r>
            <w:proofErr w:type="spellEnd"/>
            <w:r>
              <w:t xml:space="preserve"> </w:t>
            </w:r>
            <w:proofErr w:type="spellStart"/>
            <w:r>
              <w:t>Mudi</w:t>
            </w:r>
            <w:proofErr w:type="spellEnd"/>
            <w:r>
              <w:t xml:space="preserve"> Jibril, </w:t>
            </w:r>
            <w:proofErr w:type="spellStart"/>
            <w:r>
              <w:t>Samia</w:t>
            </w:r>
            <w:proofErr w:type="spellEnd"/>
          </w:p>
          <w:p w14:paraId="039D27EE" w14:textId="77777777" w:rsidR="00AF5788" w:rsidRDefault="00AF5788" w:rsidP="00AF5788">
            <w:pPr>
              <w:pStyle w:val="CommentText"/>
            </w:pPr>
            <w:r>
              <w:t xml:space="preserve">Ibrahim </w:t>
            </w:r>
            <w:proofErr w:type="spellStart"/>
            <w:r>
              <w:t>Djama</w:t>
            </w:r>
            <w:proofErr w:type="spellEnd"/>
            <w:r>
              <w:t xml:space="preserve"> &amp; Aishath </w:t>
            </w:r>
            <w:proofErr w:type="spellStart"/>
            <w:r>
              <w:t>Muneeza</w:t>
            </w:r>
            <w:proofErr w:type="spellEnd"/>
            <w:r>
              <w:t>. 2017. The</w:t>
            </w:r>
          </w:p>
          <w:p w14:paraId="3F118BC9" w14:textId="77777777" w:rsidR="00AF5788" w:rsidRDefault="00AF5788" w:rsidP="00AF5788">
            <w:pPr>
              <w:pStyle w:val="CommentText"/>
            </w:pPr>
            <w:r>
              <w:t xml:space="preserve">acceptability of </w:t>
            </w:r>
            <w:proofErr w:type="spellStart"/>
            <w:r>
              <w:t>tawarruq</w:t>
            </w:r>
            <w:proofErr w:type="spellEnd"/>
            <w:r>
              <w:t xml:space="preserve"> as a product for financing</w:t>
            </w:r>
          </w:p>
          <w:p w14:paraId="1F2C6BF3" w14:textId="77777777" w:rsidR="00AF5788" w:rsidRPr="002B1B96" w:rsidRDefault="00AF5788" w:rsidP="00AF5788">
            <w:pPr>
              <w:pStyle w:val="CommentText"/>
              <w:rPr>
                <w:i/>
              </w:rPr>
            </w:pPr>
            <w:r>
              <w:t xml:space="preserve">within the Islamic banking system. </w:t>
            </w:r>
            <w:r w:rsidRPr="002B1B96">
              <w:rPr>
                <w:i/>
              </w:rPr>
              <w:t>International</w:t>
            </w:r>
          </w:p>
          <w:p w14:paraId="0635F929" w14:textId="77777777" w:rsidR="00AF5788" w:rsidRDefault="00AF5788" w:rsidP="00AF5788">
            <w:pPr>
              <w:pStyle w:val="CommentText"/>
            </w:pPr>
            <w:r w:rsidRPr="002B1B96">
              <w:rPr>
                <w:i/>
              </w:rPr>
              <w:t>Journal of Management and Applied Research</w:t>
            </w:r>
          </w:p>
          <w:p w14:paraId="5FA44FFE" w14:textId="77777777" w:rsidR="00AF5788" w:rsidRDefault="00AF5788" w:rsidP="00AF5788">
            <w:pPr>
              <w:pStyle w:val="CommentText"/>
            </w:pPr>
            <w:r>
              <w:t>1: 31-43.</w:t>
            </w:r>
          </w:p>
          <w:p w14:paraId="3D9DA2A8" w14:textId="77777777" w:rsidR="00AF5788" w:rsidRDefault="00AF5788" w:rsidP="00AF5788">
            <w:pPr>
              <w:pStyle w:val="CommentText"/>
            </w:pPr>
          </w:p>
          <w:p w14:paraId="6375E9A3" w14:textId="77777777" w:rsidR="00AF5788" w:rsidRDefault="00AF5788" w:rsidP="00AF5788">
            <w:pPr>
              <w:pStyle w:val="CommentText"/>
            </w:pPr>
            <w:r>
              <w:t xml:space="preserve">Salman H. Khan. 2009. Why </w:t>
            </w:r>
            <w:proofErr w:type="spellStart"/>
            <w:r>
              <w:t>Tawarruq</w:t>
            </w:r>
            <w:proofErr w:type="spellEnd"/>
            <w:r>
              <w:t xml:space="preserve"> Needs to go.</w:t>
            </w:r>
          </w:p>
          <w:p w14:paraId="3D90ED8E" w14:textId="77777777" w:rsidR="00AF5788" w:rsidRDefault="00AF5788" w:rsidP="00AF5788">
            <w:pPr>
              <w:pStyle w:val="CommentText"/>
            </w:pPr>
            <w:r>
              <w:t xml:space="preserve">AAOIFI and the OIC </w:t>
            </w:r>
            <w:proofErr w:type="spellStart"/>
            <w:r>
              <w:t>Fiqh</w:t>
            </w:r>
            <w:proofErr w:type="spellEnd"/>
            <w:r>
              <w:t xml:space="preserve"> Academy: Divergence or</w:t>
            </w:r>
          </w:p>
          <w:p w14:paraId="7BF6242B" w14:textId="77777777" w:rsidR="00AF5788" w:rsidRDefault="00AF5788" w:rsidP="00AF5788">
            <w:pPr>
              <w:pStyle w:val="CommentText"/>
            </w:pPr>
            <w:r>
              <w:t xml:space="preserve">Agreement? </w:t>
            </w:r>
            <w:r w:rsidRPr="00385A48">
              <w:rPr>
                <w:i/>
              </w:rPr>
              <w:t>Islamic Finance News</w:t>
            </w:r>
            <w:r>
              <w:t xml:space="preserve">, 4th September, pp. 17-22. </w:t>
            </w:r>
          </w:p>
          <w:p w14:paraId="2CD67FAE" w14:textId="77777777" w:rsidR="00AF5788" w:rsidRDefault="00AF5788" w:rsidP="00AF5788">
            <w:pPr>
              <w:pStyle w:val="CommentText"/>
            </w:pPr>
          </w:p>
          <w:p w14:paraId="3BED0C01" w14:textId="77777777" w:rsidR="00AF5788" w:rsidRDefault="00AF5788" w:rsidP="00AF5788">
            <w:pPr>
              <w:pStyle w:val="CommentText"/>
            </w:pPr>
            <w:r>
              <w:t>Salman H. Khan, “O</w:t>
            </w:r>
            <w:r w:rsidRPr="002B1B96">
              <w:t xml:space="preserve">rganised </w:t>
            </w:r>
            <w:proofErr w:type="spellStart"/>
            <w:r w:rsidRPr="002B1B96">
              <w:t>tawarruq</w:t>
            </w:r>
            <w:proofErr w:type="spellEnd"/>
            <w:r w:rsidRPr="002B1B96">
              <w:t xml:space="preserve"> in practice</w:t>
            </w:r>
            <w:r>
              <w:t xml:space="preserve">: A shariah </w:t>
            </w:r>
            <w:proofErr w:type="spellStart"/>
            <w:r>
              <w:t>nonn</w:t>
            </w:r>
            <w:proofErr w:type="spellEnd"/>
            <w:r>
              <w:t xml:space="preserve">-compliant and unjustified transaction”, </w:t>
            </w:r>
            <w:r>
              <w:rPr>
                <w:i/>
              </w:rPr>
              <w:t xml:space="preserve">New Horizon, </w:t>
            </w:r>
            <w:r w:rsidRPr="00CD02F6">
              <w:t>issue no. 177</w:t>
            </w:r>
            <w:r>
              <w:t xml:space="preserve">, </w:t>
            </w:r>
            <w:r w:rsidRPr="00CD02F6">
              <w:t>October</w:t>
            </w:r>
            <w:r>
              <w:t>-</w:t>
            </w:r>
            <w:r w:rsidRPr="00CD02F6">
              <w:t>December 2010</w:t>
            </w:r>
            <w:r>
              <w:t>, pp.16-21.</w:t>
            </w:r>
          </w:p>
          <w:p w14:paraId="3A5E7E87" w14:textId="77777777" w:rsidR="009A0CFC" w:rsidRDefault="009A0CFC" w:rsidP="00B71B3D">
            <w:pPr>
              <w:pStyle w:val="CommentText"/>
            </w:pPr>
          </w:p>
          <w:p w14:paraId="2592B5A1" w14:textId="77777777" w:rsidR="00163F57" w:rsidRDefault="00163F57" w:rsidP="00163F57">
            <w:pPr>
              <w:pStyle w:val="CommentText"/>
            </w:pPr>
            <w:r>
              <w:t xml:space="preserve">Dr Edward said: It would be good to have some references and comments from </w:t>
            </w:r>
            <w:r w:rsidRPr="005C4EC2">
              <w:rPr>
                <w:i/>
              </w:rPr>
              <w:t>Indonesian</w:t>
            </w:r>
            <w:r>
              <w:t xml:space="preserve"> ulama criticising </w:t>
            </w:r>
            <w:proofErr w:type="spellStart"/>
            <w:r w:rsidRPr="00CD02F6">
              <w:t>tawarruq</w:t>
            </w:r>
            <w:proofErr w:type="spellEnd"/>
            <w:r>
              <w:t xml:space="preserve"> deposit accounts.</w:t>
            </w:r>
          </w:p>
          <w:p w14:paraId="29F0C485" w14:textId="084EB08B" w:rsidR="00163F57" w:rsidRDefault="00163F57" w:rsidP="00B71B3D">
            <w:pPr>
              <w:pStyle w:val="CommentText"/>
            </w:pPr>
          </w:p>
        </w:tc>
        <w:tc>
          <w:tcPr>
            <w:tcW w:w="3776" w:type="dxa"/>
          </w:tcPr>
          <w:p w14:paraId="5C031592" w14:textId="77777777" w:rsidR="009A0CFC" w:rsidRDefault="00855FE0" w:rsidP="005B29A0">
            <w:r>
              <w:lastRenderedPageBreak/>
              <w:t>I have added these reference</w:t>
            </w:r>
          </w:p>
          <w:p w14:paraId="5000E524" w14:textId="77777777" w:rsidR="00163F57" w:rsidRDefault="00163F57" w:rsidP="005B29A0"/>
          <w:p w14:paraId="7AB25D13" w14:textId="77777777" w:rsidR="00163F57" w:rsidRDefault="00163F57" w:rsidP="005B29A0"/>
          <w:p w14:paraId="30DC81A5" w14:textId="77777777" w:rsidR="00163F57" w:rsidRDefault="00163F57" w:rsidP="005B29A0"/>
          <w:p w14:paraId="70697833" w14:textId="77777777" w:rsidR="00163F57" w:rsidRDefault="00163F57" w:rsidP="005B29A0"/>
          <w:p w14:paraId="294550D2" w14:textId="77777777" w:rsidR="00163F57" w:rsidRDefault="00163F57" w:rsidP="005B29A0"/>
          <w:p w14:paraId="4D3BB28E" w14:textId="77777777" w:rsidR="00163F57" w:rsidRDefault="00163F57" w:rsidP="005B29A0"/>
          <w:p w14:paraId="0B41CB51" w14:textId="77777777" w:rsidR="00163F57" w:rsidRDefault="00163F57" w:rsidP="005B29A0"/>
          <w:p w14:paraId="028624D3" w14:textId="77777777" w:rsidR="00163F57" w:rsidRDefault="00163F57" w:rsidP="005B29A0"/>
          <w:p w14:paraId="6F7A036F" w14:textId="77777777" w:rsidR="00163F57" w:rsidRDefault="00163F57" w:rsidP="005B29A0"/>
          <w:p w14:paraId="31A6D0CB" w14:textId="77777777" w:rsidR="00163F57" w:rsidRDefault="00163F57" w:rsidP="005B29A0"/>
          <w:p w14:paraId="3783659C" w14:textId="77777777" w:rsidR="00163F57" w:rsidRDefault="00163F57" w:rsidP="005B29A0"/>
          <w:p w14:paraId="468D6135" w14:textId="77777777" w:rsidR="00163F57" w:rsidRDefault="00163F57" w:rsidP="005B29A0"/>
          <w:p w14:paraId="2C44738E" w14:textId="77777777" w:rsidR="00163F57" w:rsidRDefault="00163F57" w:rsidP="005B29A0"/>
          <w:p w14:paraId="1ECC523F" w14:textId="77777777" w:rsidR="00163F57" w:rsidRDefault="00163F57" w:rsidP="005B29A0"/>
          <w:p w14:paraId="7317B910" w14:textId="77777777" w:rsidR="00163F57" w:rsidRDefault="00163F57" w:rsidP="005B29A0"/>
          <w:p w14:paraId="1F862B12" w14:textId="77777777" w:rsidR="00163F57" w:rsidRDefault="00163F57" w:rsidP="005B29A0"/>
          <w:p w14:paraId="1C3C37FD" w14:textId="77777777" w:rsidR="00163F57" w:rsidRDefault="00163F57" w:rsidP="005B29A0"/>
          <w:p w14:paraId="2BDF3AE9" w14:textId="77777777" w:rsidR="00163F57" w:rsidRDefault="00163F57" w:rsidP="005B29A0"/>
          <w:p w14:paraId="15AB871F" w14:textId="77777777" w:rsidR="00163F57" w:rsidRDefault="00163F57" w:rsidP="005B29A0"/>
          <w:p w14:paraId="6619F616" w14:textId="77777777" w:rsidR="00163F57" w:rsidRDefault="00163F57" w:rsidP="005B29A0"/>
          <w:p w14:paraId="34D8D06E" w14:textId="77777777" w:rsidR="00163F57" w:rsidRDefault="00163F57" w:rsidP="005B29A0"/>
          <w:p w14:paraId="0F1FFC71" w14:textId="77777777" w:rsidR="00163F57" w:rsidRDefault="00163F57" w:rsidP="005B29A0"/>
          <w:p w14:paraId="5C75BE93" w14:textId="77777777" w:rsidR="00163F57" w:rsidRDefault="00163F57" w:rsidP="005B29A0"/>
          <w:p w14:paraId="6F0AA2B9" w14:textId="77777777" w:rsidR="00163F57" w:rsidRDefault="00163F57" w:rsidP="005B29A0"/>
          <w:p w14:paraId="69908910" w14:textId="77777777" w:rsidR="00163F57" w:rsidRDefault="00163F57" w:rsidP="005B29A0"/>
          <w:p w14:paraId="06FFAEEA" w14:textId="77777777" w:rsidR="00163F57" w:rsidRDefault="00163F57" w:rsidP="005B29A0"/>
          <w:p w14:paraId="26909B2E" w14:textId="77777777" w:rsidR="00163F57" w:rsidRDefault="00163F57" w:rsidP="005B29A0"/>
          <w:p w14:paraId="08E60C2C" w14:textId="77777777" w:rsidR="00163F57" w:rsidRDefault="00163F57" w:rsidP="005B29A0"/>
          <w:p w14:paraId="17E8F295" w14:textId="77777777" w:rsidR="00163F57" w:rsidRDefault="00163F57" w:rsidP="005B29A0"/>
          <w:p w14:paraId="79F307E8" w14:textId="77777777" w:rsidR="00163F57" w:rsidRDefault="00163F57" w:rsidP="005B29A0"/>
          <w:p w14:paraId="76736677" w14:textId="77777777" w:rsidR="00163F57" w:rsidRDefault="00163F57" w:rsidP="005B29A0"/>
          <w:p w14:paraId="541D3EFC" w14:textId="77777777" w:rsidR="00163F57" w:rsidRDefault="00163F57" w:rsidP="005B29A0"/>
          <w:p w14:paraId="67A18F6E" w14:textId="77777777" w:rsidR="00163F57" w:rsidRDefault="00163F57" w:rsidP="005B29A0"/>
          <w:p w14:paraId="2958AA02" w14:textId="77777777" w:rsidR="00163F57" w:rsidRDefault="00163F57" w:rsidP="005B29A0"/>
          <w:p w14:paraId="243419C8" w14:textId="77777777" w:rsidR="00163F57" w:rsidRDefault="00163F57" w:rsidP="005B29A0"/>
          <w:p w14:paraId="5C56E5EA" w14:textId="77777777" w:rsidR="00163F57" w:rsidRDefault="00163F57" w:rsidP="005B29A0"/>
          <w:p w14:paraId="1D7084EB" w14:textId="77777777" w:rsidR="00163F57" w:rsidRDefault="00163F57" w:rsidP="005B29A0"/>
          <w:p w14:paraId="42A441F0" w14:textId="77777777" w:rsidR="00163F57" w:rsidRDefault="00163F57" w:rsidP="005B29A0"/>
          <w:p w14:paraId="14AFD9CE" w14:textId="50288D17" w:rsidR="00163F57" w:rsidRDefault="00163F57" w:rsidP="005B29A0">
            <w:r>
              <w:t>I wouldn’t discuss all of them here in this chapter, because I want to discuss more about this in the next chapter.</w:t>
            </w:r>
          </w:p>
        </w:tc>
      </w:tr>
      <w:tr w:rsidR="00B71B3D" w14:paraId="5C6F548A" w14:textId="77777777" w:rsidTr="00A0331C">
        <w:tc>
          <w:tcPr>
            <w:tcW w:w="1413" w:type="dxa"/>
          </w:tcPr>
          <w:p w14:paraId="136071E0" w14:textId="24AD18F2" w:rsidR="00B71B3D" w:rsidRDefault="00B7413A" w:rsidP="005B29A0">
            <w:r>
              <w:t>17</w:t>
            </w:r>
          </w:p>
        </w:tc>
        <w:tc>
          <w:tcPr>
            <w:tcW w:w="3827" w:type="dxa"/>
          </w:tcPr>
          <w:p w14:paraId="1FA2BE4E" w14:textId="77777777" w:rsidR="00B7413A" w:rsidRDefault="0016119E" w:rsidP="00B7413A">
            <w:pPr>
              <w:pStyle w:val="CommentText"/>
            </w:pPr>
            <w:r>
              <w:t>Dr Edward said:</w:t>
            </w:r>
            <w:r w:rsidR="00D15C05">
              <w:t xml:space="preserve"> </w:t>
            </w:r>
            <w:r w:rsidR="00B7413A">
              <w:t>Again, refer to, e.g.,</w:t>
            </w:r>
          </w:p>
          <w:p w14:paraId="416B6744" w14:textId="77777777" w:rsidR="00B7413A" w:rsidRDefault="00B7413A" w:rsidP="00B7413A">
            <w:pPr>
              <w:pStyle w:val="CommentText"/>
            </w:pPr>
          </w:p>
          <w:p w14:paraId="506566A1" w14:textId="77777777" w:rsidR="00B7413A" w:rsidRDefault="00B7413A" w:rsidP="00B7413A">
            <w:pPr>
              <w:pStyle w:val="CommentText"/>
            </w:pPr>
            <w:r>
              <w:t xml:space="preserve">Choudhury, M. 2008. Islamic Economics and Finance – A Fiasco. </w:t>
            </w:r>
            <w:r w:rsidRPr="002C05ED">
              <w:rPr>
                <w:i/>
              </w:rPr>
              <w:t>Middle East Business and Economic Review</w:t>
            </w:r>
            <w:r>
              <w:t>, 20 (1): 38-51.</w:t>
            </w:r>
          </w:p>
          <w:p w14:paraId="5D1F20E7" w14:textId="77777777" w:rsidR="00B7413A" w:rsidRDefault="00B7413A" w:rsidP="00B7413A">
            <w:pPr>
              <w:pStyle w:val="CommentText"/>
            </w:pPr>
          </w:p>
          <w:p w14:paraId="0E3E25C6" w14:textId="77777777" w:rsidR="00B7413A" w:rsidRDefault="00B7413A" w:rsidP="00B7413A">
            <w:pPr>
              <w:pStyle w:val="CommentText"/>
            </w:pPr>
            <w:proofErr w:type="spellStart"/>
            <w:r>
              <w:t>Dusuki</w:t>
            </w:r>
            <w:proofErr w:type="spellEnd"/>
            <w:r>
              <w:t xml:space="preserve">, A. &amp; </w:t>
            </w:r>
            <w:proofErr w:type="spellStart"/>
            <w:r>
              <w:t>Abozaid</w:t>
            </w:r>
            <w:proofErr w:type="spellEnd"/>
            <w:r>
              <w:t xml:space="preserve">, A. 2007. A Critical Appraisal on the Challenges of Realizing </w:t>
            </w:r>
            <w:proofErr w:type="spellStart"/>
            <w:r>
              <w:t>Maqasid</w:t>
            </w:r>
            <w:proofErr w:type="spellEnd"/>
            <w:r>
              <w:t xml:space="preserve"> al-</w:t>
            </w:r>
            <w:proofErr w:type="spellStart"/>
            <w:r>
              <w:t>Shari’ah</w:t>
            </w:r>
            <w:proofErr w:type="spellEnd"/>
            <w:r>
              <w:t xml:space="preserve"> in Islamic Banking and Finance. </w:t>
            </w:r>
            <w:r w:rsidRPr="002C05ED">
              <w:rPr>
                <w:i/>
              </w:rPr>
              <w:t>IIUM Journal of Economics and Management</w:t>
            </w:r>
            <w:r>
              <w:t>, 15 (2): 143-165.</w:t>
            </w:r>
          </w:p>
          <w:p w14:paraId="013BC6F8" w14:textId="77777777" w:rsidR="00B7413A" w:rsidRDefault="00B7413A" w:rsidP="00B7413A">
            <w:pPr>
              <w:pStyle w:val="CommentText"/>
            </w:pPr>
          </w:p>
          <w:p w14:paraId="6D4CC7BF" w14:textId="77777777" w:rsidR="00B7413A" w:rsidRDefault="00B7413A" w:rsidP="00B7413A">
            <w:pPr>
              <w:pStyle w:val="CommentText"/>
            </w:pPr>
            <w:r w:rsidRPr="002C05ED">
              <w:t xml:space="preserve">Khan, F. 2010. How ‘Islamic’ is Islamic Banking? </w:t>
            </w:r>
            <w:r w:rsidRPr="008F4D9F">
              <w:rPr>
                <w:i/>
              </w:rPr>
              <w:t xml:space="preserve">Journal of Economic </w:t>
            </w:r>
            <w:proofErr w:type="spellStart"/>
            <w:r w:rsidRPr="008F4D9F">
              <w:rPr>
                <w:i/>
              </w:rPr>
              <w:t>Behavior</w:t>
            </w:r>
            <w:proofErr w:type="spellEnd"/>
            <w:r w:rsidRPr="008F4D9F">
              <w:rPr>
                <w:i/>
              </w:rPr>
              <w:t xml:space="preserve"> &amp; Organization</w:t>
            </w:r>
            <w:r w:rsidRPr="002C05ED">
              <w:t>, 76: 805-820.</w:t>
            </w:r>
          </w:p>
          <w:p w14:paraId="3597D84F" w14:textId="77777777" w:rsidR="00B7413A" w:rsidRDefault="00B7413A" w:rsidP="00B7413A">
            <w:pPr>
              <w:pStyle w:val="CommentText"/>
            </w:pPr>
          </w:p>
          <w:p w14:paraId="1D521FB3" w14:textId="77777777" w:rsidR="00B7413A" w:rsidRDefault="00B7413A" w:rsidP="00B7413A">
            <w:pPr>
              <w:pStyle w:val="CommentText"/>
            </w:pPr>
            <w:r>
              <w:rPr>
                <w:i/>
              </w:rPr>
              <w:t>S</w:t>
            </w:r>
            <w:r w:rsidRPr="005B2257">
              <w:t xml:space="preserve">aeed </w:t>
            </w:r>
            <w:r>
              <w:t>(</w:t>
            </w:r>
            <w:r w:rsidRPr="005B2257">
              <w:t>1999</w:t>
            </w:r>
            <w:r>
              <w:t>)</w:t>
            </w:r>
            <w:r w:rsidRPr="005B2257">
              <w:t xml:space="preserve"> </w:t>
            </w:r>
            <w:r w:rsidRPr="005B2257">
              <w:rPr>
                <w:i/>
              </w:rPr>
              <w:t xml:space="preserve">Islamic Banking and Interest A Study of the Prohibition of </w:t>
            </w:r>
            <w:proofErr w:type="spellStart"/>
            <w:r w:rsidRPr="005B2257">
              <w:rPr>
                <w:i/>
              </w:rPr>
              <w:t>Riba</w:t>
            </w:r>
            <w:proofErr w:type="spellEnd"/>
            <w:r>
              <w:t>.</w:t>
            </w:r>
          </w:p>
          <w:p w14:paraId="7296D710" w14:textId="77777777" w:rsidR="00B7413A" w:rsidRDefault="00B7413A" w:rsidP="00B7413A">
            <w:pPr>
              <w:pStyle w:val="CommentText"/>
            </w:pPr>
          </w:p>
          <w:p w14:paraId="1FC57421" w14:textId="77777777" w:rsidR="00B7413A" w:rsidRDefault="00B7413A" w:rsidP="00B7413A">
            <w:pPr>
              <w:pStyle w:val="CommentText"/>
            </w:pPr>
            <w:r>
              <w:t>A couple of quotes from them would be nice.</w:t>
            </w:r>
          </w:p>
          <w:p w14:paraId="75FD5A77" w14:textId="7504DE71" w:rsidR="00B71B3D" w:rsidRDefault="00B71B3D" w:rsidP="00B71B3D">
            <w:pPr>
              <w:pStyle w:val="CommentText"/>
              <w:rPr>
                <w:rStyle w:val="CommentReference"/>
              </w:rPr>
            </w:pPr>
          </w:p>
        </w:tc>
        <w:tc>
          <w:tcPr>
            <w:tcW w:w="3776" w:type="dxa"/>
          </w:tcPr>
          <w:p w14:paraId="13847AFF" w14:textId="236B0BA5" w:rsidR="00B71B3D" w:rsidRDefault="00B7413A" w:rsidP="005B29A0">
            <w:r>
              <w:t xml:space="preserve">I have used these references and </w:t>
            </w:r>
            <w:r w:rsidR="00875B73">
              <w:t xml:space="preserve">added some quotes </w:t>
            </w:r>
          </w:p>
        </w:tc>
      </w:tr>
      <w:tr w:rsidR="00B71B3D" w14:paraId="5A19ACC1" w14:textId="77777777" w:rsidTr="00A0331C">
        <w:tc>
          <w:tcPr>
            <w:tcW w:w="1413" w:type="dxa"/>
          </w:tcPr>
          <w:p w14:paraId="0B6B1B5B" w14:textId="03CF26C7" w:rsidR="00B71B3D" w:rsidRDefault="009D3796" w:rsidP="005B29A0">
            <w:r>
              <w:t>18</w:t>
            </w:r>
          </w:p>
        </w:tc>
        <w:tc>
          <w:tcPr>
            <w:tcW w:w="3827" w:type="dxa"/>
          </w:tcPr>
          <w:p w14:paraId="0FC5A17A" w14:textId="77777777" w:rsidR="009D3796" w:rsidRDefault="0016119E" w:rsidP="009D3796">
            <w:pPr>
              <w:pStyle w:val="CommentText"/>
            </w:pPr>
            <w:r>
              <w:t>Dr Edward said:</w:t>
            </w:r>
            <w:r w:rsidR="009D3796">
              <w:t xml:space="preserve"> Maybe put this after the paragraph immediately after the second paragraph (below). </w:t>
            </w:r>
          </w:p>
          <w:p w14:paraId="2BD06C49" w14:textId="77777777" w:rsidR="009D3796" w:rsidRDefault="009D3796" w:rsidP="009D3796">
            <w:pPr>
              <w:pStyle w:val="CommentText"/>
            </w:pPr>
          </w:p>
          <w:p w14:paraId="75D6F160" w14:textId="77777777" w:rsidR="009D3796" w:rsidRDefault="009D3796" w:rsidP="009D3796">
            <w:pPr>
              <w:pStyle w:val="CommentText"/>
            </w:pPr>
            <w:r>
              <w:t xml:space="preserve">Also it would be good to open this sub-section with a statement (or quote) about how in the 1970s, it was hoped that PLS contracts would be the ‘jewel in the crown’ of Islamic banking in the Muslim world because in its purist form, it perfectly encapsulated the Islamic economic ideals of cooperative sharing of profits and risk, and thus an equitable, non-predatory relationship between capital-rich and capital-poor business partners. It was widely believed that this type of contract, when used as the basis of banking, could </w:t>
            </w:r>
            <w:proofErr w:type="gramStart"/>
            <w:r>
              <w:t>entirely eliminate</w:t>
            </w:r>
            <w:proofErr w:type="gramEnd"/>
            <w:r>
              <w:t xml:space="preserve"> any hint of </w:t>
            </w:r>
            <w:proofErr w:type="spellStart"/>
            <w:r>
              <w:rPr>
                <w:i/>
              </w:rPr>
              <w:t>riba</w:t>
            </w:r>
            <w:proofErr w:type="spellEnd"/>
            <w:r>
              <w:t xml:space="preserve"> from the financial transactions of Muslims. However, as time passed, the optimism about PLS contracts waned. In practice, the contract was not overly popular with customers, and did it prove as profitable for the banks as was hoped. In response, Islamic banks began to modify the traditional PLS contract </w:t>
            </w:r>
            <w:proofErr w:type="gramStart"/>
            <w:r>
              <w:t>in an attempt to</w:t>
            </w:r>
            <w:proofErr w:type="gramEnd"/>
            <w:r>
              <w:t xml:space="preserve"> make it a more financially viable product. And it was these innovative efforts that has sparked controversy over the contract.</w:t>
            </w:r>
          </w:p>
          <w:p w14:paraId="51F6ED4E" w14:textId="77777777" w:rsidR="009D3796" w:rsidRDefault="009D3796" w:rsidP="009D3796">
            <w:pPr>
              <w:pStyle w:val="CommentText"/>
            </w:pPr>
          </w:p>
          <w:p w14:paraId="08FAA5E0" w14:textId="77777777" w:rsidR="009D3796" w:rsidRPr="00D46815" w:rsidRDefault="009D3796" w:rsidP="009D3796">
            <w:pPr>
              <w:pStyle w:val="CommentText"/>
            </w:pPr>
            <w:r>
              <w:t xml:space="preserve">See, e.g., </w:t>
            </w:r>
            <w:proofErr w:type="spellStart"/>
            <w:r>
              <w:t>Boudjellal</w:t>
            </w:r>
            <w:proofErr w:type="spellEnd"/>
            <w:r>
              <w:t xml:space="preserve">, </w:t>
            </w:r>
            <w:r w:rsidRPr="006C1C64">
              <w:t>2006</w:t>
            </w:r>
            <w:r>
              <w:t>,</w:t>
            </w:r>
            <w:r w:rsidRPr="006C1C64">
              <w:t xml:space="preserve"> </w:t>
            </w:r>
            <w:r>
              <w:t xml:space="preserve">“Three Decades of Experimentation: Rethinking the Theory of Islamic Banking”, </w:t>
            </w:r>
            <w:r w:rsidRPr="006C1C64">
              <w:rPr>
                <w:i/>
              </w:rPr>
              <w:t>Review of Islamic Economics</w:t>
            </w:r>
            <w:r>
              <w:t>, vol.10, no.1.</w:t>
            </w:r>
          </w:p>
          <w:p w14:paraId="2705296F" w14:textId="12BA425E" w:rsidR="00B71B3D" w:rsidRDefault="00B71B3D" w:rsidP="00762B04">
            <w:pPr>
              <w:pStyle w:val="CommentText"/>
            </w:pPr>
          </w:p>
        </w:tc>
        <w:tc>
          <w:tcPr>
            <w:tcW w:w="3776" w:type="dxa"/>
          </w:tcPr>
          <w:p w14:paraId="0C1343B8" w14:textId="54FCD908" w:rsidR="00B71B3D" w:rsidRDefault="009779E4" w:rsidP="005B29A0">
            <w:r>
              <w:lastRenderedPageBreak/>
              <w:t xml:space="preserve">I have modified this as suggested and quote a statement from </w:t>
            </w:r>
            <w:proofErr w:type="spellStart"/>
            <w:r>
              <w:t>boudjellal</w:t>
            </w:r>
            <w:proofErr w:type="spellEnd"/>
            <w:r>
              <w:t xml:space="preserve"> for the opening of the sentence.</w:t>
            </w:r>
            <w:r w:rsidR="002C113D">
              <w:t xml:space="preserve"> I also combined your texts with mine in this section</w:t>
            </w:r>
          </w:p>
        </w:tc>
      </w:tr>
      <w:tr w:rsidR="009D3796" w14:paraId="6C12AAD1" w14:textId="77777777" w:rsidTr="00A0331C">
        <w:tc>
          <w:tcPr>
            <w:tcW w:w="1413" w:type="dxa"/>
          </w:tcPr>
          <w:p w14:paraId="4C05060C" w14:textId="25B885FD" w:rsidR="009D3796" w:rsidRDefault="00B84AAD" w:rsidP="005B29A0">
            <w:r>
              <w:t>19</w:t>
            </w:r>
          </w:p>
        </w:tc>
        <w:tc>
          <w:tcPr>
            <w:tcW w:w="3827" w:type="dxa"/>
          </w:tcPr>
          <w:p w14:paraId="1359B814" w14:textId="77777777" w:rsidR="00B84AAD" w:rsidRDefault="009D3796" w:rsidP="00B84AAD">
            <w:pPr>
              <w:pStyle w:val="CommentText"/>
            </w:pPr>
            <w:r>
              <w:t>Dr Edward said:</w:t>
            </w:r>
            <w:r w:rsidR="00B84AAD">
              <w:t xml:space="preserve"> May express it as: a bank becomes a </w:t>
            </w:r>
            <w:proofErr w:type="gramStart"/>
            <w:r w:rsidR="00B84AAD">
              <w:t>joint-owner</w:t>
            </w:r>
            <w:proofErr w:type="gramEnd"/>
            <w:r w:rsidR="00B84AAD">
              <w:t xml:space="preserve"> </w:t>
            </w:r>
            <w:r w:rsidR="00B84AAD" w:rsidRPr="005E378B">
              <w:t>(</w:t>
            </w:r>
            <w:proofErr w:type="spellStart"/>
            <w:r w:rsidR="00B84AAD" w:rsidRPr="005E378B">
              <w:t>shahibul</w:t>
            </w:r>
            <w:proofErr w:type="spellEnd"/>
            <w:r w:rsidR="00B84AAD" w:rsidRPr="005E378B">
              <w:t xml:space="preserve"> </w:t>
            </w:r>
            <w:proofErr w:type="spellStart"/>
            <w:r w:rsidR="00B84AAD" w:rsidRPr="005E378B">
              <w:t>maal</w:t>
            </w:r>
            <w:proofErr w:type="spellEnd"/>
            <w:r w:rsidR="00B84AAD" w:rsidRPr="005E378B">
              <w:t xml:space="preserve">) </w:t>
            </w:r>
            <w:r w:rsidR="00B84AAD">
              <w:t xml:space="preserve">of a prima facie halal business venture by virtue of the fact that it provides the necessary capital. The entrepreneur </w:t>
            </w:r>
            <w:r w:rsidR="00B84AAD" w:rsidRPr="005E378B">
              <w:t>(</w:t>
            </w:r>
            <w:proofErr w:type="spellStart"/>
            <w:r w:rsidR="00B84AAD" w:rsidRPr="005E378B">
              <w:t>mudharib</w:t>
            </w:r>
            <w:proofErr w:type="spellEnd"/>
            <w:r w:rsidR="00B84AAD" w:rsidRPr="005E378B">
              <w:t>)</w:t>
            </w:r>
            <w:r w:rsidR="00B84AAD">
              <w:t xml:space="preserve"> contributes knowledge, skill and effort to run the business venture. </w:t>
            </w:r>
          </w:p>
          <w:p w14:paraId="77C5D7CB" w14:textId="73F798E6" w:rsidR="009D3796" w:rsidRDefault="009D3796" w:rsidP="00762B04">
            <w:pPr>
              <w:pStyle w:val="CommentText"/>
            </w:pPr>
          </w:p>
        </w:tc>
        <w:tc>
          <w:tcPr>
            <w:tcW w:w="3776" w:type="dxa"/>
          </w:tcPr>
          <w:p w14:paraId="7BF473FD" w14:textId="3627F6A0" w:rsidR="009D3796" w:rsidRDefault="00B84AAD" w:rsidP="005B29A0">
            <w:r>
              <w:t>I have</w:t>
            </w:r>
            <w:r w:rsidR="000120CA">
              <w:t xml:space="preserve"> agreed to</w:t>
            </w:r>
            <w:r>
              <w:t xml:space="preserve"> </w:t>
            </w:r>
            <w:r w:rsidR="000120CA">
              <w:t>use this version instead of mine.</w:t>
            </w:r>
          </w:p>
        </w:tc>
      </w:tr>
      <w:tr w:rsidR="009D3796" w14:paraId="12862241" w14:textId="77777777" w:rsidTr="00A0331C">
        <w:tc>
          <w:tcPr>
            <w:tcW w:w="1413" w:type="dxa"/>
          </w:tcPr>
          <w:p w14:paraId="48948412" w14:textId="61AA1CCB" w:rsidR="009D3796" w:rsidRDefault="008B441E" w:rsidP="005B29A0">
            <w:r>
              <w:t>20</w:t>
            </w:r>
          </w:p>
        </w:tc>
        <w:tc>
          <w:tcPr>
            <w:tcW w:w="3827" w:type="dxa"/>
          </w:tcPr>
          <w:p w14:paraId="613CF5D6" w14:textId="5DF42044" w:rsidR="008B441E" w:rsidRDefault="009D3796" w:rsidP="008B441E">
            <w:pPr>
              <w:pStyle w:val="CommentText"/>
            </w:pPr>
            <w:r>
              <w:t>Dr Edward said:</w:t>
            </w:r>
            <w:r w:rsidR="008B441E">
              <w:t xml:space="preserve"> You should say whether the IBs </w:t>
            </w:r>
            <w:r w:rsidR="008B441E">
              <w:rPr>
                <w:i/>
              </w:rPr>
              <w:t xml:space="preserve">in Indonesia </w:t>
            </w:r>
            <w:r w:rsidR="008B441E">
              <w:t xml:space="preserve">do this (given reference). And then say something about </w:t>
            </w:r>
            <w:r w:rsidR="008B441E">
              <w:rPr>
                <w:i/>
              </w:rPr>
              <w:t xml:space="preserve">why </w:t>
            </w:r>
            <w:r w:rsidR="008B441E">
              <w:t xml:space="preserve">the IBs in Indonesia do this. What argument has been offered for this practice. Include the ulama fatwas that support this innovation. </w:t>
            </w:r>
          </w:p>
          <w:p w14:paraId="7986ACB6" w14:textId="3E9CC46B" w:rsidR="0005675A" w:rsidRDefault="0005675A" w:rsidP="008B441E">
            <w:pPr>
              <w:pStyle w:val="CommentText"/>
            </w:pPr>
          </w:p>
          <w:p w14:paraId="1F2811EB" w14:textId="5F441E10" w:rsidR="0005675A" w:rsidRDefault="0005675A" w:rsidP="008B441E">
            <w:pPr>
              <w:pStyle w:val="CommentText"/>
            </w:pPr>
          </w:p>
          <w:p w14:paraId="534246C5" w14:textId="30A1D02E" w:rsidR="0005675A" w:rsidRDefault="0005675A" w:rsidP="008B441E">
            <w:pPr>
              <w:pStyle w:val="CommentText"/>
            </w:pPr>
          </w:p>
          <w:p w14:paraId="4ABC3BAB" w14:textId="3249E97C" w:rsidR="0005675A" w:rsidRDefault="0005675A" w:rsidP="008B441E">
            <w:pPr>
              <w:pStyle w:val="CommentText"/>
            </w:pPr>
          </w:p>
          <w:p w14:paraId="588F1622" w14:textId="0450F943" w:rsidR="0005675A" w:rsidRDefault="0005675A" w:rsidP="008B441E">
            <w:pPr>
              <w:pStyle w:val="CommentText"/>
            </w:pPr>
          </w:p>
          <w:p w14:paraId="0FB1E95A" w14:textId="77777777" w:rsidR="0005675A" w:rsidRDefault="0005675A" w:rsidP="0005675A">
            <w:pPr>
              <w:pStyle w:val="CommentText"/>
            </w:pPr>
          </w:p>
          <w:p w14:paraId="5D261FB8" w14:textId="77777777" w:rsidR="0005675A" w:rsidRDefault="0005675A" w:rsidP="0005675A">
            <w:pPr>
              <w:pStyle w:val="CommentText"/>
            </w:pPr>
          </w:p>
          <w:p w14:paraId="438C5D1E" w14:textId="428F0B8D" w:rsidR="0005675A" w:rsidRDefault="0005675A" w:rsidP="0005675A">
            <w:pPr>
              <w:pStyle w:val="CommentText"/>
            </w:pPr>
            <w:r>
              <w:t>Dr Edward said: You can put come of this in the main text.</w:t>
            </w:r>
          </w:p>
          <w:p w14:paraId="317729D3" w14:textId="77777777" w:rsidR="0005675A" w:rsidRPr="00444055" w:rsidRDefault="0005675A" w:rsidP="008B441E">
            <w:pPr>
              <w:pStyle w:val="CommentText"/>
            </w:pPr>
          </w:p>
          <w:p w14:paraId="049B803B" w14:textId="7AB00814" w:rsidR="009D3796" w:rsidRDefault="009D3796" w:rsidP="00762B04">
            <w:pPr>
              <w:pStyle w:val="CommentText"/>
            </w:pPr>
          </w:p>
        </w:tc>
        <w:tc>
          <w:tcPr>
            <w:tcW w:w="3776" w:type="dxa"/>
          </w:tcPr>
          <w:p w14:paraId="638CC8C7" w14:textId="270D4471" w:rsidR="009D3796" w:rsidRDefault="008B441E" w:rsidP="005B29A0">
            <w:r>
              <w:t>I have</w:t>
            </w:r>
            <w:r w:rsidR="00A11A73">
              <w:t xml:space="preserve"> given the reference of this practice in Indonesian Islamic finance, </w:t>
            </w:r>
            <w:r w:rsidR="00067342">
              <w:t xml:space="preserve">and </w:t>
            </w:r>
            <w:r w:rsidR="006201CB">
              <w:t xml:space="preserve">why they do this. This practice is contradicted with the </w:t>
            </w:r>
            <w:r w:rsidR="00DD3FD6">
              <w:t>MUI fatwa and FSA standard. But to my assumption, they do this because</w:t>
            </w:r>
            <w:r w:rsidR="0013587E">
              <w:t xml:space="preserve"> there is possibility that fund manager (customer) do not tell truthfully about their real </w:t>
            </w:r>
            <w:r w:rsidR="00961BCD">
              <w:t>income and</w:t>
            </w:r>
            <w:r w:rsidR="0013587E">
              <w:t xml:space="preserve"> </w:t>
            </w:r>
            <w:r w:rsidR="00961BCD">
              <w:t>tweak the report so that the instalment payments are small.</w:t>
            </w:r>
          </w:p>
          <w:p w14:paraId="213163AE" w14:textId="77777777" w:rsidR="0005675A" w:rsidRDefault="0005675A" w:rsidP="005B29A0"/>
          <w:p w14:paraId="1EC3807D" w14:textId="77777777" w:rsidR="0005675A" w:rsidRDefault="0005675A" w:rsidP="005B29A0"/>
          <w:p w14:paraId="5C931B2B" w14:textId="39A9C294" w:rsidR="0005675A" w:rsidRDefault="0005675A" w:rsidP="005B29A0">
            <w:r>
              <w:t>I put them all in the text</w:t>
            </w:r>
          </w:p>
        </w:tc>
      </w:tr>
      <w:tr w:rsidR="009D3796" w14:paraId="7A052763" w14:textId="77777777" w:rsidTr="00A0331C">
        <w:tc>
          <w:tcPr>
            <w:tcW w:w="1413" w:type="dxa"/>
          </w:tcPr>
          <w:p w14:paraId="5AB04A84" w14:textId="055D9B7B" w:rsidR="009D3796" w:rsidRDefault="00947D85" w:rsidP="005B29A0">
            <w:r>
              <w:t>2</w:t>
            </w:r>
            <w:r w:rsidR="009243B3">
              <w:t>0</w:t>
            </w:r>
          </w:p>
        </w:tc>
        <w:tc>
          <w:tcPr>
            <w:tcW w:w="3827" w:type="dxa"/>
          </w:tcPr>
          <w:p w14:paraId="6426FFDA" w14:textId="6EEDFC9F" w:rsidR="00947D85" w:rsidRPr="00444055" w:rsidRDefault="009D3796" w:rsidP="00947D85">
            <w:pPr>
              <w:pStyle w:val="CommentText"/>
            </w:pPr>
            <w:r>
              <w:t>Dr Edward said:</w:t>
            </w:r>
            <w:r w:rsidR="00947D85">
              <w:t xml:space="preserve"> Provide statements and references from </w:t>
            </w:r>
            <w:r w:rsidR="00947D85">
              <w:rPr>
                <w:i/>
              </w:rPr>
              <w:t xml:space="preserve">Indonesian </w:t>
            </w:r>
            <w:r w:rsidR="00947D85">
              <w:t>scholars who make this criticism.</w:t>
            </w:r>
          </w:p>
          <w:p w14:paraId="38278DFC" w14:textId="47324781" w:rsidR="009D3796" w:rsidRDefault="009D3796" w:rsidP="00762B04">
            <w:pPr>
              <w:pStyle w:val="CommentText"/>
            </w:pPr>
          </w:p>
        </w:tc>
        <w:tc>
          <w:tcPr>
            <w:tcW w:w="3776" w:type="dxa"/>
          </w:tcPr>
          <w:p w14:paraId="607EC2D4" w14:textId="7A6B02C0" w:rsidR="009D3796" w:rsidRDefault="00947D85" w:rsidP="005B29A0">
            <w:r>
              <w:t>I have given a reference from Indonesian scholar</w:t>
            </w:r>
          </w:p>
        </w:tc>
      </w:tr>
      <w:tr w:rsidR="009D3796" w14:paraId="1B0DA337" w14:textId="77777777" w:rsidTr="00A0331C">
        <w:tc>
          <w:tcPr>
            <w:tcW w:w="1413" w:type="dxa"/>
          </w:tcPr>
          <w:p w14:paraId="6FAD7FAC" w14:textId="79545347" w:rsidR="009D3796" w:rsidRDefault="00F77E07" w:rsidP="005B29A0">
            <w:r>
              <w:t>21</w:t>
            </w:r>
          </w:p>
        </w:tc>
        <w:tc>
          <w:tcPr>
            <w:tcW w:w="3827" w:type="dxa"/>
          </w:tcPr>
          <w:p w14:paraId="7D9B96C1" w14:textId="77777777" w:rsidR="009D3796" w:rsidRDefault="009D3796" w:rsidP="00F77E07">
            <w:pPr>
              <w:pStyle w:val="CommentText"/>
            </w:pPr>
            <w:r>
              <w:t>Dr Edward said:</w:t>
            </w:r>
            <w:r w:rsidR="00F77E07">
              <w:t xml:space="preserve"> Negligence is a separate issue to the issue of instalments.</w:t>
            </w:r>
          </w:p>
          <w:p w14:paraId="193417E6" w14:textId="77777777" w:rsidR="009A74DE" w:rsidRDefault="009A74DE" w:rsidP="00F77E07">
            <w:pPr>
              <w:pStyle w:val="CommentText"/>
            </w:pPr>
          </w:p>
          <w:p w14:paraId="62CFD9F3" w14:textId="77777777" w:rsidR="009A74DE" w:rsidRDefault="009A74DE" w:rsidP="00F77E07">
            <w:pPr>
              <w:pStyle w:val="CommentText"/>
            </w:pPr>
          </w:p>
          <w:p w14:paraId="3C1C1E12" w14:textId="77777777" w:rsidR="009A74DE" w:rsidRDefault="009A74DE" w:rsidP="00F77E07">
            <w:pPr>
              <w:pStyle w:val="CommentText"/>
            </w:pPr>
          </w:p>
          <w:p w14:paraId="1DBA6917" w14:textId="782F7EF1" w:rsidR="009A74DE" w:rsidRDefault="009A74DE" w:rsidP="009A74DE">
            <w:pPr>
              <w:pStyle w:val="CommentText"/>
            </w:pPr>
            <w:r>
              <w:t xml:space="preserve">Dr Edward said: Perceived </w:t>
            </w:r>
            <w:r w:rsidRPr="00F9781E">
              <w:rPr>
                <w:i/>
              </w:rPr>
              <w:t>by whom</w:t>
            </w:r>
            <w:r>
              <w:t>? Most scholars? IB customers? The general public? Are there any references on this?</w:t>
            </w:r>
          </w:p>
          <w:p w14:paraId="135E54F3" w14:textId="77777777" w:rsidR="009A74DE" w:rsidRDefault="009A74DE" w:rsidP="009A74DE">
            <w:pPr>
              <w:pStyle w:val="CommentText"/>
            </w:pPr>
          </w:p>
          <w:p w14:paraId="24EDAD98" w14:textId="4AE6B6C1" w:rsidR="009A74DE" w:rsidRDefault="009A74DE" w:rsidP="009A74DE">
            <w:pPr>
              <w:pStyle w:val="CommentText"/>
            </w:pPr>
            <w:r>
              <w:t xml:space="preserve">Also, are you willing to ‘take a position’ on this issue. E.g. although they are </w:t>
            </w:r>
            <w:r>
              <w:rPr>
                <w:i/>
              </w:rPr>
              <w:t>perceived</w:t>
            </w:r>
            <w:r>
              <w:t xml:space="preserve"> as being similar, do you think they </w:t>
            </w:r>
            <w:r>
              <w:rPr>
                <w:i/>
              </w:rPr>
              <w:t xml:space="preserve">are in fact </w:t>
            </w:r>
            <w:r>
              <w:t>similar (i.e. that the perception matches the reality) or that the perception is inaccurate, or that the perception is partially inaccurate?</w:t>
            </w:r>
          </w:p>
          <w:p w14:paraId="0FFDDDD0" w14:textId="193323EB" w:rsidR="00577A4F" w:rsidRDefault="00577A4F" w:rsidP="009A74DE">
            <w:pPr>
              <w:pStyle w:val="CommentText"/>
            </w:pPr>
          </w:p>
          <w:p w14:paraId="43E39EBD" w14:textId="77777777" w:rsidR="00577A4F" w:rsidRDefault="00577A4F" w:rsidP="00577A4F">
            <w:pPr>
              <w:pStyle w:val="CommentText"/>
            </w:pPr>
            <w:r>
              <w:t>Dr Edward said: Maybe re-think this sub-heading. Compare it to the previous sub-heading. Is this section also dealing with ‘controversies’?</w:t>
            </w:r>
          </w:p>
          <w:p w14:paraId="59F5C06B" w14:textId="77777777" w:rsidR="00577A4F" w:rsidRPr="00F9781E" w:rsidRDefault="00577A4F" w:rsidP="009A74DE">
            <w:pPr>
              <w:pStyle w:val="CommentText"/>
            </w:pPr>
          </w:p>
          <w:p w14:paraId="6E07E377" w14:textId="5AE91D76" w:rsidR="009A74DE" w:rsidRDefault="009A74DE" w:rsidP="00F77E07">
            <w:pPr>
              <w:pStyle w:val="CommentText"/>
            </w:pPr>
          </w:p>
        </w:tc>
        <w:tc>
          <w:tcPr>
            <w:tcW w:w="3776" w:type="dxa"/>
          </w:tcPr>
          <w:p w14:paraId="32213D02" w14:textId="77777777" w:rsidR="009D3796" w:rsidRDefault="00F77E07" w:rsidP="005B29A0">
            <w:r>
              <w:t xml:space="preserve">I think I will take this out from this section. It need in-depth discussion and I haven’t found arguments which pro and against for this in Indonesia. </w:t>
            </w:r>
          </w:p>
          <w:p w14:paraId="4837074F" w14:textId="77777777" w:rsidR="009A74DE" w:rsidRDefault="009A74DE" w:rsidP="005B29A0"/>
          <w:p w14:paraId="0616C8BB" w14:textId="77777777" w:rsidR="009A74DE" w:rsidRDefault="009A74DE" w:rsidP="005B29A0">
            <w:r>
              <w:t xml:space="preserve">I have </w:t>
            </w:r>
            <w:r w:rsidR="008F5C6C">
              <w:t>changed the sentence and have taken my position in this issue</w:t>
            </w:r>
          </w:p>
          <w:p w14:paraId="5689C393" w14:textId="77777777" w:rsidR="00577A4F" w:rsidRDefault="00577A4F" w:rsidP="005B29A0"/>
          <w:p w14:paraId="4820B601" w14:textId="77777777" w:rsidR="00577A4F" w:rsidRDefault="00577A4F" w:rsidP="005B29A0"/>
          <w:p w14:paraId="71AEE1F8" w14:textId="77777777" w:rsidR="00577A4F" w:rsidRDefault="00577A4F" w:rsidP="005B29A0"/>
          <w:p w14:paraId="2B8065CA" w14:textId="77777777" w:rsidR="00577A4F" w:rsidRDefault="00577A4F" w:rsidP="005B29A0"/>
          <w:p w14:paraId="2BE56176" w14:textId="77777777" w:rsidR="00577A4F" w:rsidRDefault="00577A4F" w:rsidP="005B29A0"/>
          <w:p w14:paraId="2945A389" w14:textId="77777777" w:rsidR="00577A4F" w:rsidRDefault="00577A4F" w:rsidP="005B29A0"/>
          <w:p w14:paraId="55BD4C3A" w14:textId="77777777" w:rsidR="00577A4F" w:rsidRDefault="00577A4F" w:rsidP="005B29A0"/>
          <w:p w14:paraId="6BFF0185" w14:textId="77777777" w:rsidR="00577A4F" w:rsidRDefault="00577A4F" w:rsidP="005B29A0"/>
          <w:p w14:paraId="258E5404" w14:textId="77777777" w:rsidR="00577A4F" w:rsidRDefault="00577A4F" w:rsidP="005B29A0"/>
          <w:p w14:paraId="3FAE4158" w14:textId="3EF7AED1" w:rsidR="00577A4F" w:rsidRDefault="00577A4F" w:rsidP="005B29A0">
            <w:r>
              <w:t xml:space="preserve">This sub-heading is still part of the Islamic credits and I also provided the reasons why the </w:t>
            </w:r>
            <w:proofErr w:type="spellStart"/>
            <w:r>
              <w:rPr>
                <w:i/>
                <w:iCs/>
              </w:rPr>
              <w:t>murabahah</w:t>
            </w:r>
            <w:proofErr w:type="spellEnd"/>
            <w:r>
              <w:rPr>
                <w:i/>
                <w:iCs/>
              </w:rPr>
              <w:t xml:space="preserve"> </w:t>
            </w:r>
            <w:r w:rsidRPr="00453A9F">
              <w:t>(mark-up)</w:t>
            </w:r>
            <w:r>
              <w:rPr>
                <w:i/>
                <w:iCs/>
              </w:rPr>
              <w:t xml:space="preserve"> </w:t>
            </w:r>
            <w:r>
              <w:t>based financing resembles to the conventional loan agreement.</w:t>
            </w:r>
          </w:p>
        </w:tc>
      </w:tr>
      <w:tr w:rsidR="009D3796" w14:paraId="42F25896" w14:textId="77777777" w:rsidTr="00A0331C">
        <w:tc>
          <w:tcPr>
            <w:tcW w:w="1413" w:type="dxa"/>
          </w:tcPr>
          <w:p w14:paraId="3A4E24E5" w14:textId="671F8896" w:rsidR="009D3796" w:rsidRDefault="00B960DF" w:rsidP="005B29A0">
            <w:r>
              <w:t>22</w:t>
            </w:r>
          </w:p>
        </w:tc>
        <w:tc>
          <w:tcPr>
            <w:tcW w:w="3827" w:type="dxa"/>
          </w:tcPr>
          <w:p w14:paraId="1A09640B" w14:textId="1822E601" w:rsidR="00B960DF" w:rsidRDefault="00B960DF" w:rsidP="00B960DF">
            <w:pPr>
              <w:pStyle w:val="CommentText"/>
            </w:pPr>
            <w:r>
              <w:t>Dr Edward said: Put this at the end of the section (after you have outlined how this type of contract works).</w:t>
            </w:r>
          </w:p>
          <w:p w14:paraId="2CCA626C" w14:textId="35C72DEE" w:rsidR="00A75B2A" w:rsidRDefault="00B960DF" w:rsidP="00A75B2A">
            <w:pPr>
              <w:pStyle w:val="CommentText"/>
            </w:pPr>
            <w:r>
              <w:lastRenderedPageBreak/>
              <w:t>Structure of this (maybe break it up into a two or three paragraphs):</w:t>
            </w:r>
          </w:p>
          <w:p w14:paraId="10429B28" w14:textId="77777777" w:rsidR="00B960DF" w:rsidRDefault="00B960DF" w:rsidP="00B960DF">
            <w:pPr>
              <w:pStyle w:val="CommentText"/>
              <w:numPr>
                <w:ilvl w:val="0"/>
                <w:numId w:val="2"/>
              </w:numPr>
            </w:pPr>
            <w:r>
              <w:t xml:space="preserve">Which scholars have sanctioned this contract in Indonesia? Is it regarded as an ‘innovation’? What arguments do they give for it? (references) </w:t>
            </w:r>
          </w:p>
          <w:p w14:paraId="6647061A" w14:textId="77777777" w:rsidR="00B960DF" w:rsidRDefault="00B960DF" w:rsidP="00B960DF">
            <w:pPr>
              <w:pStyle w:val="CommentText"/>
              <w:numPr>
                <w:ilvl w:val="0"/>
                <w:numId w:val="2"/>
              </w:numPr>
            </w:pPr>
            <w:r>
              <w:t xml:space="preserve">Which scholars have criticised this contract? What arguments do they give? (references) [E.g. </w:t>
            </w:r>
            <w:r w:rsidRPr="00426FBA">
              <w:t xml:space="preserve">the pre-agreed profit amounts to a fixed, guaranteed return to the bank at no (or extremely small little) risk to it. In this respect, the profit mark-up could be characterised as being akin to </w:t>
            </w:r>
            <w:proofErr w:type="spellStart"/>
            <w:r w:rsidRPr="00426FBA">
              <w:t>riba</w:t>
            </w:r>
            <w:proofErr w:type="spellEnd"/>
            <w:r w:rsidRPr="00426FBA">
              <w:t>.</w:t>
            </w:r>
            <w:r>
              <w:t>]</w:t>
            </w:r>
          </w:p>
          <w:p w14:paraId="4DC1F29B" w14:textId="77777777" w:rsidR="00B960DF" w:rsidRDefault="00B960DF" w:rsidP="00B960DF">
            <w:pPr>
              <w:pStyle w:val="CommentText"/>
              <w:numPr>
                <w:ilvl w:val="0"/>
                <w:numId w:val="2"/>
              </w:numPr>
            </w:pPr>
            <w:r>
              <w:t xml:space="preserve">Has there been a response to these critics? (references) [E.g. </w:t>
            </w:r>
            <w:r w:rsidRPr="00426FBA">
              <w:t xml:space="preserve">‘in essence’ </w:t>
            </w:r>
            <w:proofErr w:type="spellStart"/>
            <w:r w:rsidRPr="00426FBA">
              <w:t>riba</w:t>
            </w:r>
            <w:proofErr w:type="spellEnd"/>
            <w:r w:rsidRPr="00426FBA">
              <w:t xml:space="preserve"> is a monetary surplus generated purely by the exchange of money, but </w:t>
            </w:r>
            <w:r>
              <w:t xml:space="preserve">by contrast, </w:t>
            </w:r>
            <w:r w:rsidRPr="00426FBA">
              <w:t xml:space="preserve">in a </w:t>
            </w:r>
            <w:proofErr w:type="spellStart"/>
            <w:r w:rsidRPr="00426FBA">
              <w:t>murabahah</w:t>
            </w:r>
            <w:proofErr w:type="spellEnd"/>
            <w:r w:rsidRPr="00426FBA">
              <w:t xml:space="preserve"> contract a monetary surplus is gained via the trade in real goods and is (theoretically) not </w:t>
            </w:r>
            <w:proofErr w:type="gramStart"/>
            <w:r w:rsidRPr="00426FBA">
              <w:t>time-dependent</w:t>
            </w:r>
            <w:proofErr w:type="gramEnd"/>
            <w:r w:rsidRPr="00426FBA">
              <w:t>. The fact that there happens to be little risk to the bank in each trade is an incidental or contingent feature of the trade which has no bearing on the matter</w:t>
            </w:r>
            <w:r>
              <w:t>.]</w:t>
            </w:r>
          </w:p>
          <w:p w14:paraId="2484F203" w14:textId="77777777" w:rsidR="00B960DF" w:rsidRDefault="00B960DF" w:rsidP="00B960DF">
            <w:pPr>
              <w:pStyle w:val="CommentText"/>
              <w:numPr>
                <w:ilvl w:val="0"/>
                <w:numId w:val="2"/>
              </w:numPr>
            </w:pPr>
            <w:r>
              <w:t>Are the critics right in your opinion?</w:t>
            </w:r>
          </w:p>
          <w:p w14:paraId="1B451E6E" w14:textId="77777777" w:rsidR="00B960DF" w:rsidRDefault="00B960DF" w:rsidP="00B960DF">
            <w:pPr>
              <w:pStyle w:val="CommentText"/>
            </w:pPr>
          </w:p>
          <w:p w14:paraId="45AD246C" w14:textId="77777777" w:rsidR="00B960DF" w:rsidRDefault="00B960DF" w:rsidP="00B960DF">
            <w:pPr>
              <w:pStyle w:val="CommentText"/>
            </w:pPr>
            <w:r>
              <w:t>Examples of non-Indonesian references to this debate:</w:t>
            </w:r>
          </w:p>
          <w:p w14:paraId="1E5B217F" w14:textId="77777777" w:rsidR="00B960DF" w:rsidRDefault="00B960DF" w:rsidP="00B960DF">
            <w:pPr>
              <w:pStyle w:val="CommentText"/>
            </w:pPr>
          </w:p>
          <w:p w14:paraId="2920CBF2" w14:textId="77777777" w:rsidR="00B960DF" w:rsidRDefault="00B960DF" w:rsidP="00B960DF">
            <w:pPr>
              <w:pStyle w:val="CommentText"/>
            </w:pPr>
            <w:r>
              <w:t xml:space="preserve">Choudhury, M. 2008. Islamic Economics and Finance – A Fiasco. </w:t>
            </w:r>
            <w:r w:rsidRPr="002C05ED">
              <w:rPr>
                <w:i/>
              </w:rPr>
              <w:t>Middle East Business and Economic Review</w:t>
            </w:r>
            <w:r>
              <w:t>, 20 (1): 38-51.</w:t>
            </w:r>
          </w:p>
          <w:p w14:paraId="6A3CCF57" w14:textId="77777777" w:rsidR="00B960DF" w:rsidRDefault="00B960DF" w:rsidP="00B960DF">
            <w:pPr>
              <w:pStyle w:val="CommentText"/>
            </w:pPr>
          </w:p>
          <w:p w14:paraId="39EB20EF" w14:textId="77777777" w:rsidR="00B960DF" w:rsidRDefault="00B960DF" w:rsidP="00B960DF">
            <w:pPr>
              <w:pStyle w:val="CommentText"/>
            </w:pPr>
            <w:proofErr w:type="spellStart"/>
            <w:r>
              <w:t>Dusuki</w:t>
            </w:r>
            <w:proofErr w:type="spellEnd"/>
            <w:r>
              <w:t xml:space="preserve">, A. &amp; </w:t>
            </w:r>
            <w:proofErr w:type="spellStart"/>
            <w:r>
              <w:t>Abozaid</w:t>
            </w:r>
            <w:proofErr w:type="spellEnd"/>
            <w:r>
              <w:t xml:space="preserve">, A. 2007. A Critical Appraisal on the Challenges of Realizing </w:t>
            </w:r>
            <w:proofErr w:type="spellStart"/>
            <w:r>
              <w:t>Maqasid</w:t>
            </w:r>
            <w:proofErr w:type="spellEnd"/>
            <w:r>
              <w:t xml:space="preserve"> al-</w:t>
            </w:r>
            <w:proofErr w:type="spellStart"/>
            <w:r>
              <w:t>Shari’ah</w:t>
            </w:r>
            <w:proofErr w:type="spellEnd"/>
            <w:r>
              <w:t xml:space="preserve"> in Islamic Banking and Finance. </w:t>
            </w:r>
            <w:r w:rsidRPr="002C05ED">
              <w:rPr>
                <w:i/>
              </w:rPr>
              <w:t>IIUM Journal of Economics and Management</w:t>
            </w:r>
            <w:r>
              <w:t>, 15 (2): 143-165.</w:t>
            </w:r>
          </w:p>
          <w:p w14:paraId="0C5B52FC" w14:textId="77777777" w:rsidR="00B960DF" w:rsidRDefault="00B960DF" w:rsidP="00B960DF">
            <w:pPr>
              <w:pStyle w:val="CommentText"/>
            </w:pPr>
          </w:p>
          <w:p w14:paraId="268B3F14" w14:textId="77777777" w:rsidR="00B960DF" w:rsidRDefault="00B960DF" w:rsidP="00B960DF">
            <w:pPr>
              <w:pStyle w:val="CommentText"/>
            </w:pPr>
            <w:r w:rsidRPr="002C05ED">
              <w:t xml:space="preserve">Khan, F. 2010. How ‘Islamic’ is Islamic Banking? </w:t>
            </w:r>
            <w:r w:rsidRPr="008F4D9F">
              <w:rPr>
                <w:i/>
              </w:rPr>
              <w:t xml:space="preserve">Journal of Economic </w:t>
            </w:r>
            <w:proofErr w:type="spellStart"/>
            <w:r w:rsidRPr="008F4D9F">
              <w:rPr>
                <w:i/>
              </w:rPr>
              <w:t>Behavior</w:t>
            </w:r>
            <w:proofErr w:type="spellEnd"/>
            <w:r w:rsidRPr="008F4D9F">
              <w:rPr>
                <w:i/>
              </w:rPr>
              <w:t xml:space="preserve"> &amp; Organization</w:t>
            </w:r>
            <w:r w:rsidRPr="002C05ED">
              <w:t>, 76: 805-820.</w:t>
            </w:r>
          </w:p>
          <w:p w14:paraId="46FF9837" w14:textId="77777777" w:rsidR="00B960DF" w:rsidRDefault="00B960DF" w:rsidP="00B960DF">
            <w:pPr>
              <w:pStyle w:val="CommentText"/>
            </w:pPr>
          </w:p>
          <w:p w14:paraId="567F476D" w14:textId="77777777" w:rsidR="00B960DF" w:rsidRDefault="00B960DF" w:rsidP="00B960DF">
            <w:pPr>
              <w:pStyle w:val="CommentText"/>
            </w:pPr>
            <w:proofErr w:type="spellStart"/>
            <w:r w:rsidRPr="008F4D9F">
              <w:t>Usmani</w:t>
            </w:r>
            <w:proofErr w:type="spellEnd"/>
            <w:r w:rsidRPr="008F4D9F">
              <w:t xml:space="preserve">, M.T., 2002. </w:t>
            </w:r>
            <w:r w:rsidRPr="008F4D9F">
              <w:rPr>
                <w:i/>
              </w:rPr>
              <w:t>An Introduction to Islamic Finance</w:t>
            </w:r>
            <w:r w:rsidRPr="008F4D9F">
              <w:t>. Kluwer Law International, The Hague.</w:t>
            </w:r>
          </w:p>
          <w:p w14:paraId="047C0C39" w14:textId="77777777" w:rsidR="009D3796" w:rsidRDefault="009D3796" w:rsidP="00B960DF">
            <w:pPr>
              <w:pStyle w:val="CommentText"/>
              <w:jc w:val="center"/>
            </w:pPr>
          </w:p>
          <w:p w14:paraId="62EA3523" w14:textId="187B8581" w:rsidR="00A75B2A" w:rsidRDefault="00A75B2A" w:rsidP="00E1119F">
            <w:pPr>
              <w:pStyle w:val="CommentText"/>
            </w:pPr>
          </w:p>
        </w:tc>
        <w:tc>
          <w:tcPr>
            <w:tcW w:w="3776" w:type="dxa"/>
          </w:tcPr>
          <w:p w14:paraId="4E0578A6" w14:textId="00A665E2" w:rsidR="009D3796" w:rsidRPr="00453A9F" w:rsidRDefault="00B960DF" w:rsidP="005B29A0">
            <w:r>
              <w:lastRenderedPageBreak/>
              <w:t xml:space="preserve">I have moved this to the end of section, and outlines the </w:t>
            </w:r>
            <w:r w:rsidR="00024541">
              <w:t>references based on the suggestions</w:t>
            </w:r>
            <w:r w:rsidR="00812924">
              <w:t xml:space="preserve">. I also provided the </w:t>
            </w:r>
            <w:r w:rsidR="00812924">
              <w:lastRenderedPageBreak/>
              <w:t>reference from Indonesian scholar</w:t>
            </w:r>
            <w:r w:rsidR="00BF421E">
              <w:t xml:space="preserve"> who says monetary surplus is gained from the real transaction in the economy and not from the exchange of money.</w:t>
            </w:r>
          </w:p>
        </w:tc>
      </w:tr>
      <w:tr w:rsidR="009D3796" w14:paraId="1EE72195" w14:textId="77777777" w:rsidTr="00A0331C">
        <w:tc>
          <w:tcPr>
            <w:tcW w:w="1413" w:type="dxa"/>
          </w:tcPr>
          <w:p w14:paraId="5885A736" w14:textId="77FEB7B8" w:rsidR="009D3796" w:rsidRDefault="00FD0A49" w:rsidP="005B29A0">
            <w:r>
              <w:lastRenderedPageBreak/>
              <w:t>23</w:t>
            </w:r>
          </w:p>
        </w:tc>
        <w:tc>
          <w:tcPr>
            <w:tcW w:w="3827" w:type="dxa"/>
          </w:tcPr>
          <w:p w14:paraId="0605B123" w14:textId="77777777" w:rsidR="00B7516F" w:rsidRDefault="00B7516F" w:rsidP="00B7516F">
            <w:pPr>
              <w:pStyle w:val="CommentText"/>
            </w:pPr>
            <w:r>
              <w:t>Dr Edward Said: Think about re-structuring this section to make it into an ordered argument. E.g.</w:t>
            </w:r>
          </w:p>
          <w:p w14:paraId="23693F31" w14:textId="77777777" w:rsidR="00B7516F" w:rsidRDefault="00B7516F" w:rsidP="00B7516F">
            <w:pPr>
              <w:pStyle w:val="CommentText"/>
              <w:numPr>
                <w:ilvl w:val="0"/>
                <w:numId w:val="3"/>
              </w:numPr>
            </w:pPr>
            <w:r>
              <w:t>Although interest-based products (deposits and loans) are prohibited, and although the products offered by IBs technically comply with the sharia as interpreted by the MUI, it seems clear that profit rates and lease rates are empirically closely related to conventional bank interest rates (they ‘track’ as if pegged).</w:t>
            </w:r>
          </w:p>
          <w:p w14:paraId="17AA0C7A" w14:textId="77777777" w:rsidR="00B7516F" w:rsidRDefault="00B7516F" w:rsidP="00B7516F">
            <w:pPr>
              <w:pStyle w:val="CommentText"/>
              <w:numPr>
                <w:ilvl w:val="0"/>
                <w:numId w:val="3"/>
              </w:numPr>
            </w:pPr>
            <w:r>
              <w:t xml:space="preserve">While for the majority of Islamic finance scholars it would be highly desirable to have ‘pure’ financial products that are unrelated to interest rates, in the real world of a competitive financial system that is dominated by conventional banking, it appears that perfect adherence to the ideal versions of Islamic financial products is not practically possible. There are </w:t>
            </w:r>
            <w:proofErr w:type="gramStart"/>
            <w:r>
              <w:t>a number of</w:t>
            </w:r>
            <w:proofErr w:type="gramEnd"/>
            <w:r>
              <w:t xml:space="preserve"> related reasons for this.</w:t>
            </w:r>
          </w:p>
          <w:p w14:paraId="71AD5758" w14:textId="77777777" w:rsidR="00B7516F" w:rsidRDefault="00B7516F" w:rsidP="00B7516F">
            <w:pPr>
              <w:pStyle w:val="CommentText"/>
              <w:numPr>
                <w:ilvl w:val="0"/>
                <w:numId w:val="3"/>
              </w:numPr>
            </w:pPr>
            <w:r>
              <w:t xml:space="preserve">First, on the liability (deposit) side of the ledger, customers – both Muslims and non-Muslims – appear to be driven by strong pecuniary motives. Many depositors look for the best rate of return offered in the market. (references) Many depositors are also looking for security for their deposits and stability in returns that maintains the </w:t>
            </w:r>
            <w:proofErr w:type="gramStart"/>
            <w:r>
              <w:t>p[</w:t>
            </w:r>
            <w:proofErr w:type="spellStart"/>
            <w:proofErr w:type="gramEnd"/>
            <w:r>
              <w:t>urchasing</w:t>
            </w:r>
            <w:proofErr w:type="spellEnd"/>
            <w:r>
              <w:t xml:space="preserve"> power of their savings. If an IB cannot satisfy these demands relative to conventional banks, they will suffer from periodic liquidity crisis and ultimately will be driven out of the market (or at best remain niche institutions). </w:t>
            </w:r>
            <w:proofErr w:type="gramStart"/>
            <w:r>
              <w:t>Thus</w:t>
            </w:r>
            <w:proofErr w:type="gramEnd"/>
            <w:r>
              <w:t xml:space="preserve"> IBs are compelled to offer competitive and stable rates of return to depositors via innovated products that are comparable and competitive with conventional deposit accounts.</w:t>
            </w:r>
          </w:p>
          <w:p w14:paraId="21FCBF8F" w14:textId="77777777" w:rsidR="00B7516F" w:rsidRDefault="00B7516F" w:rsidP="00B7516F">
            <w:pPr>
              <w:pStyle w:val="CommentText"/>
              <w:numPr>
                <w:ilvl w:val="0"/>
                <w:numId w:val="3"/>
              </w:numPr>
            </w:pPr>
            <w:r>
              <w:t xml:space="preserve">Second, on the asset (investment) side of the ledger, IBs face </w:t>
            </w:r>
            <w:proofErr w:type="gramStart"/>
            <w:r>
              <w:t>a number of</w:t>
            </w:r>
            <w:proofErr w:type="gramEnd"/>
            <w:r>
              <w:t xml:space="preserve"> challenges. One is the problem of adverse selection: riskier ventures will be attracted to PLS contracts. This would be compounded by the problem of moral hazard (entrepreneurs may </w:t>
            </w:r>
            <w:r>
              <w:lastRenderedPageBreak/>
              <w:t xml:space="preserve">be encouraged to engage in even riskier trading behaviour knowing that they will not bear the entire risk). These problems combined would substantially increase the risk profile of IBs specialising in PLS contracts compared to their conventional competitors (which don’t offer PLS contracts). See e.g. </w:t>
            </w:r>
            <w:proofErr w:type="spellStart"/>
            <w:r w:rsidRPr="00DD0F0F">
              <w:t>Kuran</w:t>
            </w:r>
            <w:proofErr w:type="spellEnd"/>
            <w:r w:rsidRPr="00DD0F0F">
              <w:t xml:space="preserve">, T. 1995. </w:t>
            </w:r>
            <w:r>
              <w:t>“</w:t>
            </w:r>
            <w:r w:rsidRPr="00DD0F0F">
              <w:t xml:space="preserve">Islamic economics and the Islamic </w:t>
            </w:r>
            <w:proofErr w:type="spellStart"/>
            <w:r w:rsidRPr="00DD0F0F">
              <w:t>subeconomy</w:t>
            </w:r>
            <w:proofErr w:type="spellEnd"/>
            <w:r w:rsidRPr="00DD0F0F">
              <w:t>.</w:t>
            </w:r>
            <w:r>
              <w:t>”</w:t>
            </w:r>
            <w:r w:rsidRPr="00DD0F0F">
              <w:t xml:space="preserve"> </w:t>
            </w:r>
            <w:r w:rsidRPr="00DD0F0F">
              <w:rPr>
                <w:i/>
              </w:rPr>
              <w:t>Journal of Economic Perspectives</w:t>
            </w:r>
            <w:r>
              <w:t>, 9 (4): 155-173</w:t>
            </w:r>
            <w:r w:rsidRPr="00DD0F0F">
              <w:t>; Adnan &amp; Muhammad, 2007</w:t>
            </w:r>
            <w:r>
              <w:t xml:space="preserve"> “Agency Problems in </w:t>
            </w:r>
            <w:proofErr w:type="spellStart"/>
            <w:r>
              <w:t>Mudārabah</w:t>
            </w:r>
            <w:proofErr w:type="spellEnd"/>
            <w:r>
              <w:t xml:space="preserve"> Financing: The Case of Sharia (Rural) Banks, Indonesia”. </w:t>
            </w:r>
            <w:r w:rsidRPr="00DD0F0F">
              <w:rPr>
                <w:i/>
              </w:rPr>
              <w:t>IIUM Journal of Economics and Management</w:t>
            </w:r>
            <w:r>
              <w:t xml:space="preserve">, 15 (2): 219-243. For these reasons, in order to survive in the banking sector, IBs have had to shift away from the ideal PLS </w:t>
            </w:r>
            <w:proofErr w:type="gramStart"/>
            <w:r>
              <w:t>contract, and</w:t>
            </w:r>
            <w:proofErr w:type="gramEnd"/>
            <w:r>
              <w:t xml:space="preserve"> develop a ‘modern’ PLS contract that mitigates the additional risks they would otherwise face. Further, they have been forced to develop other kinds of contracts – especially the ‘modern’ cost-plus, lease, and lease-and-ownership contracts as substitutes for the PLS contract because these contracts are inherently less risky for the IBs.</w:t>
            </w:r>
          </w:p>
          <w:p w14:paraId="784D9CB3" w14:textId="77777777" w:rsidR="00B7516F" w:rsidRDefault="00B7516F" w:rsidP="00B7516F">
            <w:pPr>
              <w:pStyle w:val="CommentText"/>
              <w:numPr>
                <w:ilvl w:val="0"/>
                <w:numId w:val="3"/>
              </w:numPr>
            </w:pPr>
            <w:r>
              <w:t xml:space="preserve">Finally, one of the most important ‘macro’ reasons why IBs are ‘forced’ to take into account money market interest rates is that they exist in a financial system regulated by a secular monetary authority (Bank Indonesia) that is itself integrated to some extent into a global financial system. Relative interest rates between Indonesia and other countries has a significant impact on capital inflows to Indonesia, which in turn has an impact on the currency exchange rate, which in turn impacts on net exports and thus inflation and unemployment. Since Bank Indonesia is partly responsible for inflation targeting and external stability, it cannot ‘afford’ to ignore interest rate levels and movements in the rest of the world relative to domestic bank interest rates. And since IBs are integrated within the </w:t>
            </w:r>
            <w:r>
              <w:lastRenderedPageBreak/>
              <w:t xml:space="preserve">Indonesian monetary system as financial intermediaries, their ‘profit rates’ and ‘leasing rates’ must be subject to a degree of regulation just as conventional domestic interest rates are. </w:t>
            </w:r>
            <w:r w:rsidRPr="00B80C04">
              <w:rPr>
                <w:i/>
              </w:rPr>
              <w:t>Even if</w:t>
            </w:r>
            <w:r>
              <w:t xml:space="preserve"> </w:t>
            </w:r>
            <w:r w:rsidRPr="00B80C04">
              <w:rPr>
                <w:i/>
              </w:rPr>
              <w:t xml:space="preserve">all </w:t>
            </w:r>
            <w:r>
              <w:t>the banks in Indonesia were Islamic banks that used ‘profit rates’ and ‘leasing rates’ (instead of ‘interest rates’), Bank Indonesia would still need to regulate ‘profit rates’ and ‘leasing rates’ in a way that took into account - and were thus implicitly ‘pegged’ - to interest rates in other economically significant countries in North America, Asia and Europe).</w:t>
            </w:r>
          </w:p>
          <w:p w14:paraId="5481715E" w14:textId="77777777" w:rsidR="00B7516F" w:rsidRDefault="00B7516F" w:rsidP="00B7516F">
            <w:pPr>
              <w:pStyle w:val="CommentText"/>
              <w:numPr>
                <w:ilvl w:val="0"/>
                <w:numId w:val="3"/>
              </w:numPr>
            </w:pPr>
            <w:r>
              <w:t xml:space="preserve">In sum, IBs must walk a fine line between the Islamic ideals of offering perfectly fair, equitable and non-exploitative </w:t>
            </w:r>
            <w:proofErr w:type="spellStart"/>
            <w:r>
              <w:t>riba</w:t>
            </w:r>
            <w:proofErr w:type="spellEnd"/>
            <w:r>
              <w:t xml:space="preserve">-free contracts on the one hand, and the real-world pressures that demand that they ‘match’ their conventional </w:t>
            </w:r>
            <w:proofErr w:type="spellStart"/>
            <w:r>
              <w:t>riba</w:t>
            </w:r>
            <w:proofErr w:type="spellEnd"/>
            <w:r>
              <w:t xml:space="preserve">-based competitors in increasingly globalised financial markets. Like IBs all over the world, Indonesian IBs have been forced to walk this line. As to whether they can retain their Islamic identity as time passes is uncertain – nothing is a forgone conclusion. What is clear, however, is that it will not just depend on ‘competitive </w:t>
            </w:r>
            <w:proofErr w:type="gramStart"/>
            <w:r>
              <w:t>forces’</w:t>
            </w:r>
            <w:proofErr w:type="gramEnd"/>
            <w:r>
              <w:t>. It will also depend on future possible shifts in religious preferences and commitments of customers – both households and enterprises, as well as on possible changes in the regulatory environment, both nationally and internationally, in which IBs operate.</w:t>
            </w:r>
          </w:p>
          <w:p w14:paraId="7F62D907" w14:textId="04E7042F" w:rsidR="00FD0A49" w:rsidRDefault="00FD0A49" w:rsidP="00762B04">
            <w:pPr>
              <w:pStyle w:val="CommentText"/>
            </w:pPr>
          </w:p>
          <w:p w14:paraId="6CA359B3" w14:textId="77777777" w:rsidR="00FD0A49" w:rsidRDefault="00FD0A49" w:rsidP="00762B04">
            <w:pPr>
              <w:pStyle w:val="CommentText"/>
            </w:pPr>
          </w:p>
          <w:p w14:paraId="1A6CB69C" w14:textId="278A6687" w:rsidR="009D3796" w:rsidRDefault="009D3796" w:rsidP="00762B04">
            <w:pPr>
              <w:pStyle w:val="CommentText"/>
            </w:pPr>
            <w:r>
              <w:t>Dr Edward said:</w:t>
            </w:r>
            <w:r w:rsidR="00FD0A49">
              <w:t xml:space="preserve"> Why only focus on cost-plus contracts here? Doesn’t the issue of pegging to a conventional interest rate benchmark apply to</w:t>
            </w:r>
            <w:r w:rsidR="00FD0A49" w:rsidRPr="00840D90">
              <w:rPr>
                <w:i/>
              </w:rPr>
              <w:t xml:space="preserve"> all </w:t>
            </w:r>
            <w:r w:rsidR="00FD0A49">
              <w:t xml:space="preserve">contracts (including the modern version of </w:t>
            </w:r>
            <w:proofErr w:type="spellStart"/>
            <w:r w:rsidR="00FD0A49">
              <w:t>mudharabah</w:t>
            </w:r>
            <w:proofErr w:type="spellEnd"/>
            <w:r w:rsidR="00FD0A49">
              <w:t xml:space="preserve"> and </w:t>
            </w:r>
            <w:proofErr w:type="spellStart"/>
            <w:r w:rsidR="00FD0A49" w:rsidRPr="00840D90">
              <w:t>mushārakah</w:t>
            </w:r>
            <w:proofErr w:type="spellEnd"/>
            <w:r w:rsidR="00FD0A49" w:rsidRPr="00840D90">
              <w:t xml:space="preserve"> </w:t>
            </w:r>
            <w:r w:rsidR="00FD0A49">
              <w:t xml:space="preserve">contracts)? See p.9 (including footnote 10) and half of p.10 of </w:t>
            </w:r>
            <w:proofErr w:type="spellStart"/>
            <w:r w:rsidR="00FD0A49">
              <w:t>Mariyani</w:t>
            </w:r>
            <w:proofErr w:type="spellEnd"/>
            <w:r w:rsidR="00FD0A49">
              <w:t>-</w:t>
            </w:r>
            <w:proofErr w:type="gramStart"/>
            <w:r w:rsidR="00FD0A49">
              <w:t>Squire ,</w:t>
            </w:r>
            <w:proofErr w:type="gramEnd"/>
            <w:r w:rsidR="00FD0A49">
              <w:t xml:space="preserve"> </w:t>
            </w:r>
            <w:r w:rsidR="00FD0A49" w:rsidRPr="00840D90">
              <w:t>2013</w:t>
            </w:r>
            <w:r w:rsidR="00FD0A49">
              <w:t>,</w:t>
            </w:r>
            <w:r w:rsidR="00FD0A49" w:rsidRPr="00840D90">
              <w:t xml:space="preserve"> </w:t>
            </w:r>
            <w:r w:rsidR="00FD0A49">
              <w:t>“</w:t>
            </w:r>
            <w:r w:rsidR="00FD0A49" w:rsidRPr="00840D90">
              <w:t>Tensions in Islamic Economics</w:t>
            </w:r>
            <w:r w:rsidR="00FD0A49">
              <w:t>”.</w:t>
            </w:r>
          </w:p>
        </w:tc>
        <w:tc>
          <w:tcPr>
            <w:tcW w:w="3776" w:type="dxa"/>
          </w:tcPr>
          <w:p w14:paraId="0FDC31E4" w14:textId="34A2549B" w:rsidR="009D3796" w:rsidRDefault="00B7516F" w:rsidP="005B29A0">
            <w:r>
              <w:lastRenderedPageBreak/>
              <w:t xml:space="preserve">I </w:t>
            </w:r>
            <w:r w:rsidR="007F1191">
              <w:t>have</w:t>
            </w:r>
            <w:r>
              <w:t xml:space="preserve"> revised this section and follow your suggestions. I also</w:t>
            </w:r>
            <w:r w:rsidR="007F1191">
              <w:t xml:space="preserve"> have considered to use</w:t>
            </w:r>
            <w:r>
              <w:t xml:space="preserve"> these comments in this section</w:t>
            </w:r>
            <w:r w:rsidR="007F1191">
              <w:t xml:space="preserve"> </w:t>
            </w:r>
            <w:r w:rsidR="00ED4F06">
              <w:t>and combine them with my version. S</w:t>
            </w:r>
            <w:r w:rsidR="007F1191">
              <w:t>ome</w:t>
            </w:r>
            <w:r w:rsidR="00ED4F06">
              <w:t xml:space="preserve"> more</w:t>
            </w:r>
            <w:r w:rsidR="007F1191">
              <w:t xml:space="preserve"> references </w:t>
            </w:r>
            <w:r w:rsidR="00ED4F06">
              <w:t>are also added.</w:t>
            </w:r>
            <w:r w:rsidR="007F1191">
              <w:t xml:space="preserve"> </w:t>
            </w:r>
          </w:p>
          <w:p w14:paraId="016AD4CC" w14:textId="77777777" w:rsidR="00B7516F" w:rsidRDefault="00B7516F" w:rsidP="005B29A0"/>
          <w:p w14:paraId="0FED951B" w14:textId="77777777" w:rsidR="00B7516F" w:rsidRDefault="00B7516F" w:rsidP="005B29A0"/>
          <w:p w14:paraId="7FF5637B" w14:textId="77777777" w:rsidR="00B7516F" w:rsidRDefault="00B7516F" w:rsidP="005B29A0"/>
          <w:p w14:paraId="1F0B8313" w14:textId="77777777" w:rsidR="00B7516F" w:rsidRDefault="00B7516F" w:rsidP="005B29A0"/>
          <w:p w14:paraId="5F800169" w14:textId="77777777" w:rsidR="00B7516F" w:rsidRDefault="00B7516F" w:rsidP="005B29A0"/>
          <w:p w14:paraId="71FE3088" w14:textId="77777777" w:rsidR="00B7516F" w:rsidRDefault="00B7516F" w:rsidP="005B29A0"/>
          <w:p w14:paraId="6021F3DE" w14:textId="77777777" w:rsidR="00B7516F" w:rsidRDefault="00B7516F" w:rsidP="005B29A0"/>
          <w:p w14:paraId="3051254F" w14:textId="77777777" w:rsidR="00B7516F" w:rsidRDefault="00B7516F" w:rsidP="005B29A0"/>
          <w:p w14:paraId="0F46680F" w14:textId="77777777" w:rsidR="00B7516F" w:rsidRDefault="00B7516F" w:rsidP="005B29A0"/>
          <w:p w14:paraId="3A8571A8" w14:textId="77777777" w:rsidR="00B7516F" w:rsidRDefault="00B7516F" w:rsidP="005B29A0"/>
          <w:p w14:paraId="60E49CE7" w14:textId="77777777" w:rsidR="00B7516F" w:rsidRDefault="00B7516F" w:rsidP="005B29A0"/>
          <w:p w14:paraId="455DBF6B" w14:textId="77777777" w:rsidR="00B7516F" w:rsidRDefault="00B7516F" w:rsidP="005B29A0"/>
          <w:p w14:paraId="692127B2" w14:textId="77777777" w:rsidR="00B7516F" w:rsidRDefault="00B7516F" w:rsidP="005B29A0"/>
          <w:p w14:paraId="7800E7B1" w14:textId="77777777" w:rsidR="00B7516F" w:rsidRDefault="00B7516F" w:rsidP="005B29A0"/>
          <w:p w14:paraId="102AAFDC" w14:textId="77777777" w:rsidR="00B7516F" w:rsidRDefault="00B7516F" w:rsidP="005B29A0"/>
          <w:p w14:paraId="0ABF9EB8" w14:textId="77777777" w:rsidR="00B7516F" w:rsidRDefault="00B7516F" w:rsidP="005B29A0"/>
          <w:p w14:paraId="3BB388EC" w14:textId="77777777" w:rsidR="00B7516F" w:rsidRDefault="00B7516F" w:rsidP="005B29A0"/>
          <w:p w14:paraId="04433DB4" w14:textId="77777777" w:rsidR="00B7516F" w:rsidRDefault="00B7516F" w:rsidP="005B29A0"/>
          <w:p w14:paraId="5B807C7E" w14:textId="77777777" w:rsidR="00B7516F" w:rsidRDefault="00B7516F" w:rsidP="005B29A0"/>
          <w:p w14:paraId="647E50D3" w14:textId="77777777" w:rsidR="00B7516F" w:rsidRDefault="00B7516F" w:rsidP="005B29A0"/>
          <w:p w14:paraId="6E148745" w14:textId="77777777" w:rsidR="00B7516F" w:rsidRDefault="00B7516F" w:rsidP="005B29A0"/>
          <w:p w14:paraId="33D835C5" w14:textId="77777777" w:rsidR="00B7516F" w:rsidRDefault="00B7516F" w:rsidP="005B29A0"/>
          <w:p w14:paraId="1F9508F3" w14:textId="77777777" w:rsidR="00B7516F" w:rsidRDefault="00B7516F" w:rsidP="005B29A0"/>
          <w:p w14:paraId="15E3791E" w14:textId="77777777" w:rsidR="00B7516F" w:rsidRDefault="00B7516F" w:rsidP="005B29A0"/>
          <w:p w14:paraId="670E2484" w14:textId="77777777" w:rsidR="00B7516F" w:rsidRDefault="00B7516F" w:rsidP="005B29A0"/>
          <w:p w14:paraId="07B07ADB" w14:textId="77777777" w:rsidR="00B7516F" w:rsidRDefault="00B7516F" w:rsidP="005B29A0"/>
          <w:p w14:paraId="18898854" w14:textId="77777777" w:rsidR="00B7516F" w:rsidRDefault="00B7516F" w:rsidP="005B29A0"/>
          <w:p w14:paraId="7BD83535" w14:textId="77777777" w:rsidR="00B7516F" w:rsidRDefault="00B7516F" w:rsidP="005B29A0"/>
          <w:p w14:paraId="72295DDB" w14:textId="77777777" w:rsidR="00B7516F" w:rsidRDefault="00B7516F" w:rsidP="005B29A0"/>
          <w:p w14:paraId="53BF01A1" w14:textId="77777777" w:rsidR="00B7516F" w:rsidRDefault="00B7516F" w:rsidP="005B29A0"/>
          <w:p w14:paraId="774DAF36" w14:textId="77777777" w:rsidR="00B7516F" w:rsidRDefault="00B7516F" w:rsidP="005B29A0"/>
          <w:p w14:paraId="2A516D63" w14:textId="77777777" w:rsidR="00B7516F" w:rsidRDefault="00B7516F" w:rsidP="005B29A0"/>
          <w:p w14:paraId="35D90F58" w14:textId="77777777" w:rsidR="00B7516F" w:rsidRDefault="00B7516F" w:rsidP="005B29A0"/>
          <w:p w14:paraId="06CAC1A8" w14:textId="77777777" w:rsidR="00B7516F" w:rsidRDefault="00B7516F" w:rsidP="005B29A0"/>
          <w:p w14:paraId="1941D363" w14:textId="77777777" w:rsidR="00B7516F" w:rsidRDefault="00B7516F" w:rsidP="005B29A0"/>
          <w:p w14:paraId="67AD50E8" w14:textId="77777777" w:rsidR="00B7516F" w:rsidRDefault="00B7516F" w:rsidP="005B29A0"/>
          <w:p w14:paraId="1B3187B1" w14:textId="77777777" w:rsidR="00B7516F" w:rsidRDefault="00B7516F" w:rsidP="005B29A0"/>
          <w:p w14:paraId="6EBED457" w14:textId="77777777" w:rsidR="00B7516F" w:rsidRDefault="00B7516F" w:rsidP="005B29A0"/>
          <w:p w14:paraId="5332D13D" w14:textId="77777777" w:rsidR="00B7516F" w:rsidRDefault="00B7516F" w:rsidP="005B29A0"/>
          <w:p w14:paraId="7D588081" w14:textId="77777777" w:rsidR="00B7516F" w:rsidRDefault="00B7516F" w:rsidP="005B29A0"/>
          <w:p w14:paraId="00E1FC1A" w14:textId="77777777" w:rsidR="00B7516F" w:rsidRDefault="00B7516F" w:rsidP="005B29A0"/>
          <w:p w14:paraId="70820317" w14:textId="77777777" w:rsidR="00B7516F" w:rsidRDefault="00B7516F" w:rsidP="005B29A0"/>
          <w:p w14:paraId="6E141E8F" w14:textId="77777777" w:rsidR="00B7516F" w:rsidRDefault="00B7516F" w:rsidP="005B29A0"/>
          <w:p w14:paraId="3ADD64E2" w14:textId="77777777" w:rsidR="00B7516F" w:rsidRDefault="00B7516F" w:rsidP="005B29A0"/>
          <w:p w14:paraId="2D54B841" w14:textId="77777777" w:rsidR="00B7516F" w:rsidRDefault="00B7516F" w:rsidP="005B29A0"/>
          <w:p w14:paraId="3786ED69" w14:textId="77777777" w:rsidR="00B7516F" w:rsidRDefault="00B7516F" w:rsidP="005B29A0"/>
          <w:p w14:paraId="388B0E87" w14:textId="77777777" w:rsidR="00B7516F" w:rsidRDefault="00B7516F" w:rsidP="005B29A0"/>
          <w:p w14:paraId="5BBDFF2A" w14:textId="77777777" w:rsidR="00B7516F" w:rsidRDefault="00B7516F" w:rsidP="005B29A0"/>
          <w:p w14:paraId="5AEFAAD8" w14:textId="77777777" w:rsidR="00B7516F" w:rsidRDefault="00B7516F" w:rsidP="005B29A0"/>
          <w:p w14:paraId="5CACE412" w14:textId="77777777" w:rsidR="00B7516F" w:rsidRDefault="00B7516F" w:rsidP="005B29A0"/>
          <w:p w14:paraId="42DE57F0" w14:textId="77777777" w:rsidR="00B7516F" w:rsidRDefault="00B7516F" w:rsidP="005B29A0"/>
          <w:p w14:paraId="47D9FA07" w14:textId="77777777" w:rsidR="00B7516F" w:rsidRDefault="00B7516F" w:rsidP="005B29A0"/>
          <w:p w14:paraId="5F64BDDB" w14:textId="77777777" w:rsidR="00B7516F" w:rsidRDefault="00B7516F" w:rsidP="005B29A0"/>
          <w:p w14:paraId="0BF2D081" w14:textId="77777777" w:rsidR="00B7516F" w:rsidRDefault="00B7516F" w:rsidP="005B29A0"/>
          <w:p w14:paraId="0D1F07E6" w14:textId="77777777" w:rsidR="00B7516F" w:rsidRDefault="00B7516F" w:rsidP="005B29A0"/>
          <w:p w14:paraId="6D337EE2" w14:textId="77777777" w:rsidR="00B7516F" w:rsidRDefault="00B7516F" w:rsidP="005B29A0"/>
          <w:p w14:paraId="2FC1418A" w14:textId="77777777" w:rsidR="00B7516F" w:rsidRDefault="00B7516F" w:rsidP="005B29A0"/>
          <w:p w14:paraId="16EA66C2" w14:textId="77777777" w:rsidR="00B7516F" w:rsidRDefault="00B7516F" w:rsidP="005B29A0"/>
          <w:p w14:paraId="5421B039" w14:textId="77777777" w:rsidR="00B7516F" w:rsidRDefault="00B7516F" w:rsidP="005B29A0"/>
          <w:p w14:paraId="5CFCC6B3" w14:textId="77777777" w:rsidR="00B7516F" w:rsidRDefault="00B7516F" w:rsidP="005B29A0"/>
          <w:p w14:paraId="3B8211BF" w14:textId="77777777" w:rsidR="00B7516F" w:rsidRDefault="00B7516F" w:rsidP="005B29A0"/>
          <w:p w14:paraId="0DCEE782" w14:textId="77777777" w:rsidR="00B7516F" w:rsidRDefault="00B7516F" w:rsidP="005B29A0"/>
          <w:p w14:paraId="2D0FA70C" w14:textId="77777777" w:rsidR="00B7516F" w:rsidRDefault="00B7516F" w:rsidP="005B29A0"/>
          <w:p w14:paraId="2369712B" w14:textId="77777777" w:rsidR="00B7516F" w:rsidRDefault="00B7516F" w:rsidP="005B29A0"/>
          <w:p w14:paraId="411DD3B3" w14:textId="77777777" w:rsidR="00B7516F" w:rsidRDefault="00B7516F" w:rsidP="005B29A0"/>
          <w:p w14:paraId="6BB65B52" w14:textId="77777777" w:rsidR="00B7516F" w:rsidRDefault="00B7516F" w:rsidP="005B29A0"/>
          <w:p w14:paraId="4C109FF8" w14:textId="77777777" w:rsidR="00B7516F" w:rsidRDefault="00B7516F" w:rsidP="005B29A0"/>
          <w:p w14:paraId="08E16921" w14:textId="77777777" w:rsidR="00B7516F" w:rsidRDefault="00B7516F" w:rsidP="005B29A0"/>
          <w:p w14:paraId="48BFB1D3" w14:textId="77777777" w:rsidR="00B7516F" w:rsidRDefault="00B7516F" w:rsidP="005B29A0"/>
          <w:p w14:paraId="499389EF" w14:textId="77777777" w:rsidR="00B7516F" w:rsidRDefault="00B7516F" w:rsidP="005B29A0"/>
          <w:p w14:paraId="1CDDA080" w14:textId="77777777" w:rsidR="00B7516F" w:rsidRDefault="00B7516F" w:rsidP="005B29A0"/>
          <w:p w14:paraId="5E6036AD" w14:textId="77777777" w:rsidR="00B7516F" w:rsidRDefault="00B7516F" w:rsidP="005B29A0"/>
          <w:p w14:paraId="259EFEE3" w14:textId="77777777" w:rsidR="00B7516F" w:rsidRDefault="00B7516F" w:rsidP="005B29A0"/>
          <w:p w14:paraId="59FEFD95" w14:textId="77777777" w:rsidR="00B7516F" w:rsidRDefault="00B7516F" w:rsidP="005B29A0"/>
          <w:p w14:paraId="14F38756" w14:textId="77777777" w:rsidR="00B7516F" w:rsidRDefault="00B7516F" w:rsidP="005B29A0"/>
          <w:p w14:paraId="3A6EF549" w14:textId="77777777" w:rsidR="004020AF" w:rsidRDefault="004020AF" w:rsidP="005B29A0"/>
          <w:p w14:paraId="132A498B" w14:textId="77777777" w:rsidR="004020AF" w:rsidRDefault="004020AF" w:rsidP="005B29A0"/>
          <w:p w14:paraId="2CE12E5A" w14:textId="77777777" w:rsidR="004020AF" w:rsidRDefault="004020AF" w:rsidP="005B29A0"/>
          <w:p w14:paraId="298D3D34" w14:textId="77777777" w:rsidR="004020AF" w:rsidRDefault="004020AF" w:rsidP="005B29A0"/>
          <w:p w14:paraId="67ACB61C" w14:textId="77777777" w:rsidR="004020AF" w:rsidRDefault="004020AF" w:rsidP="005B29A0"/>
          <w:p w14:paraId="2BCE7D74" w14:textId="77777777" w:rsidR="004020AF" w:rsidRDefault="004020AF" w:rsidP="005B29A0"/>
          <w:p w14:paraId="080EF443" w14:textId="77777777" w:rsidR="004020AF" w:rsidRDefault="004020AF" w:rsidP="005B29A0"/>
          <w:p w14:paraId="3C80DF0C" w14:textId="77777777" w:rsidR="004020AF" w:rsidRDefault="004020AF" w:rsidP="005B29A0"/>
          <w:p w14:paraId="21222F1E" w14:textId="77777777" w:rsidR="004020AF" w:rsidRDefault="004020AF" w:rsidP="005B29A0"/>
          <w:p w14:paraId="525E225F" w14:textId="77777777" w:rsidR="004020AF" w:rsidRDefault="004020AF" w:rsidP="005B29A0"/>
          <w:p w14:paraId="00E4CDA2" w14:textId="77777777" w:rsidR="004020AF" w:rsidRDefault="004020AF" w:rsidP="005B29A0"/>
          <w:p w14:paraId="04B3D3CF" w14:textId="77777777" w:rsidR="004020AF" w:rsidRDefault="004020AF" w:rsidP="005B29A0"/>
          <w:p w14:paraId="588F7EAC" w14:textId="77777777" w:rsidR="004020AF" w:rsidRDefault="004020AF" w:rsidP="005B29A0"/>
          <w:p w14:paraId="32293D72" w14:textId="77777777" w:rsidR="004020AF" w:rsidRDefault="004020AF" w:rsidP="005B29A0"/>
          <w:p w14:paraId="3A45508A" w14:textId="77777777" w:rsidR="004020AF" w:rsidRDefault="004020AF" w:rsidP="005B29A0"/>
          <w:p w14:paraId="0E616C10" w14:textId="77777777" w:rsidR="004020AF" w:rsidRDefault="004020AF" w:rsidP="005B29A0"/>
          <w:p w14:paraId="776A163A" w14:textId="77777777" w:rsidR="004020AF" w:rsidRDefault="004020AF" w:rsidP="005B29A0"/>
          <w:p w14:paraId="25FF0240" w14:textId="77777777" w:rsidR="004020AF" w:rsidRDefault="004020AF" w:rsidP="005B29A0"/>
          <w:p w14:paraId="5D990F92" w14:textId="77777777" w:rsidR="004020AF" w:rsidRDefault="004020AF" w:rsidP="005B29A0"/>
          <w:p w14:paraId="4F00A761" w14:textId="77777777" w:rsidR="004020AF" w:rsidRDefault="004020AF" w:rsidP="005B29A0"/>
          <w:p w14:paraId="23996360" w14:textId="77777777" w:rsidR="004020AF" w:rsidRDefault="004020AF" w:rsidP="005B29A0"/>
          <w:p w14:paraId="0A4D49C1" w14:textId="77777777" w:rsidR="004020AF" w:rsidRDefault="004020AF" w:rsidP="005B29A0"/>
          <w:p w14:paraId="45AB8CCB" w14:textId="77777777" w:rsidR="004020AF" w:rsidRDefault="004020AF" w:rsidP="005B29A0"/>
          <w:p w14:paraId="31EA42E7" w14:textId="77777777" w:rsidR="004020AF" w:rsidRDefault="004020AF" w:rsidP="005B29A0"/>
          <w:p w14:paraId="6513BB2D" w14:textId="77777777" w:rsidR="004020AF" w:rsidRDefault="004020AF" w:rsidP="005B29A0"/>
          <w:p w14:paraId="517C497E" w14:textId="77777777" w:rsidR="004020AF" w:rsidRDefault="004020AF" w:rsidP="005B29A0"/>
          <w:p w14:paraId="603AC972" w14:textId="77777777" w:rsidR="004020AF" w:rsidRDefault="004020AF" w:rsidP="005B29A0"/>
          <w:p w14:paraId="53C91E98" w14:textId="77777777" w:rsidR="004020AF" w:rsidRDefault="004020AF" w:rsidP="005B29A0"/>
          <w:p w14:paraId="65CFE94F" w14:textId="77777777" w:rsidR="004020AF" w:rsidRDefault="004020AF" w:rsidP="005B29A0"/>
          <w:p w14:paraId="68EBA235" w14:textId="77777777" w:rsidR="004020AF" w:rsidRDefault="004020AF" w:rsidP="005B29A0"/>
          <w:p w14:paraId="431C192D" w14:textId="77777777" w:rsidR="004020AF" w:rsidRDefault="004020AF" w:rsidP="005B29A0"/>
          <w:p w14:paraId="70359CE2" w14:textId="77777777" w:rsidR="004020AF" w:rsidRDefault="004020AF" w:rsidP="005B29A0"/>
          <w:p w14:paraId="003A3C66" w14:textId="77777777" w:rsidR="004020AF" w:rsidRDefault="004020AF" w:rsidP="005B29A0"/>
          <w:p w14:paraId="0DD262E6" w14:textId="77777777" w:rsidR="004020AF" w:rsidRDefault="004020AF" w:rsidP="005B29A0"/>
          <w:p w14:paraId="47B0E358" w14:textId="77777777" w:rsidR="004020AF" w:rsidRDefault="004020AF" w:rsidP="005B29A0"/>
          <w:p w14:paraId="0E87815A" w14:textId="77777777" w:rsidR="004020AF" w:rsidRDefault="004020AF" w:rsidP="005B29A0"/>
          <w:p w14:paraId="068F1739" w14:textId="77777777" w:rsidR="004020AF" w:rsidRDefault="004020AF" w:rsidP="005B29A0"/>
          <w:p w14:paraId="0CBAED18" w14:textId="77777777" w:rsidR="004020AF" w:rsidRDefault="004020AF" w:rsidP="005B29A0"/>
          <w:p w14:paraId="2EB738D2" w14:textId="77777777" w:rsidR="004020AF" w:rsidRDefault="004020AF" w:rsidP="005B29A0"/>
          <w:p w14:paraId="44ADB226" w14:textId="77777777" w:rsidR="004020AF" w:rsidRDefault="004020AF" w:rsidP="005B29A0"/>
          <w:p w14:paraId="27F8907F" w14:textId="77777777" w:rsidR="004020AF" w:rsidRDefault="004020AF" w:rsidP="005B29A0"/>
          <w:p w14:paraId="011CC9BE" w14:textId="77777777" w:rsidR="004020AF" w:rsidRDefault="004020AF" w:rsidP="005B29A0"/>
          <w:p w14:paraId="2ED4F391" w14:textId="77777777" w:rsidR="004020AF" w:rsidRDefault="004020AF" w:rsidP="005B29A0"/>
          <w:p w14:paraId="625C0776" w14:textId="77777777" w:rsidR="004020AF" w:rsidRDefault="004020AF" w:rsidP="005B29A0"/>
          <w:p w14:paraId="61FB7700" w14:textId="77777777" w:rsidR="004020AF" w:rsidRDefault="004020AF" w:rsidP="005B29A0"/>
          <w:p w14:paraId="39FF583D" w14:textId="77777777" w:rsidR="004020AF" w:rsidRDefault="004020AF" w:rsidP="005B29A0"/>
          <w:p w14:paraId="68694FBE" w14:textId="77777777" w:rsidR="004020AF" w:rsidRDefault="004020AF" w:rsidP="005B29A0"/>
          <w:p w14:paraId="49FC5750" w14:textId="77777777" w:rsidR="004020AF" w:rsidRDefault="004020AF" w:rsidP="005B29A0"/>
          <w:p w14:paraId="719EE234" w14:textId="77777777" w:rsidR="004020AF" w:rsidRDefault="004020AF" w:rsidP="005B29A0"/>
          <w:p w14:paraId="28CC964B" w14:textId="77777777" w:rsidR="004020AF" w:rsidRDefault="004020AF" w:rsidP="005B29A0"/>
          <w:p w14:paraId="02E246F2" w14:textId="77777777" w:rsidR="004020AF" w:rsidRDefault="004020AF" w:rsidP="005B29A0"/>
          <w:p w14:paraId="4B1D480E" w14:textId="77777777" w:rsidR="004020AF" w:rsidRDefault="004020AF" w:rsidP="005B29A0"/>
          <w:p w14:paraId="784DE0A7" w14:textId="77777777" w:rsidR="004020AF" w:rsidRDefault="004020AF" w:rsidP="005B29A0"/>
          <w:p w14:paraId="30DD2562" w14:textId="77777777" w:rsidR="004020AF" w:rsidRDefault="004020AF" w:rsidP="005B29A0"/>
          <w:p w14:paraId="45034E45" w14:textId="77777777" w:rsidR="004020AF" w:rsidRDefault="004020AF" w:rsidP="005B29A0"/>
          <w:p w14:paraId="3529AC9E" w14:textId="77777777" w:rsidR="004020AF" w:rsidRDefault="004020AF" w:rsidP="005B29A0"/>
          <w:p w14:paraId="3A2A208C" w14:textId="77777777" w:rsidR="004020AF" w:rsidRDefault="004020AF" w:rsidP="005B29A0"/>
          <w:p w14:paraId="1F5DB70F" w14:textId="77777777" w:rsidR="004020AF" w:rsidRDefault="004020AF" w:rsidP="005B29A0"/>
          <w:p w14:paraId="00BB7477" w14:textId="77777777" w:rsidR="004020AF" w:rsidRDefault="004020AF" w:rsidP="005B29A0"/>
          <w:p w14:paraId="7F9DC04E" w14:textId="77777777" w:rsidR="004020AF" w:rsidRDefault="004020AF" w:rsidP="005B29A0"/>
          <w:p w14:paraId="06AB81CC" w14:textId="77777777" w:rsidR="004020AF" w:rsidRDefault="004020AF" w:rsidP="005B29A0"/>
          <w:p w14:paraId="7EF35230" w14:textId="77777777" w:rsidR="004020AF" w:rsidRDefault="004020AF" w:rsidP="005B29A0"/>
          <w:p w14:paraId="6F39D59E" w14:textId="77777777" w:rsidR="004020AF" w:rsidRDefault="004020AF" w:rsidP="005B29A0"/>
          <w:p w14:paraId="57A6390A" w14:textId="374F4916" w:rsidR="004020AF" w:rsidRDefault="004020AF" w:rsidP="005B29A0">
            <w:r>
              <w:t xml:space="preserve">Yes, the issue of interest rate benchmarking </w:t>
            </w:r>
            <w:proofErr w:type="gramStart"/>
            <w:r>
              <w:t>apply</w:t>
            </w:r>
            <w:proofErr w:type="gramEnd"/>
            <w:r>
              <w:t xml:space="preserve"> to all, but I chose only one example</w:t>
            </w:r>
            <w:r w:rsidR="00417F5C">
              <w:t xml:space="preserve"> in this section. Other examples have been discussed in previous page.</w:t>
            </w:r>
          </w:p>
        </w:tc>
      </w:tr>
      <w:tr w:rsidR="00457C6B" w14:paraId="75F9D6A2" w14:textId="77777777" w:rsidTr="00A0331C">
        <w:tc>
          <w:tcPr>
            <w:tcW w:w="1413" w:type="dxa"/>
          </w:tcPr>
          <w:p w14:paraId="470EF9F6" w14:textId="09CA9BA8" w:rsidR="00457C6B" w:rsidRDefault="00457C6B" w:rsidP="005B29A0">
            <w:r>
              <w:lastRenderedPageBreak/>
              <w:t>27</w:t>
            </w:r>
          </w:p>
        </w:tc>
        <w:tc>
          <w:tcPr>
            <w:tcW w:w="3827" w:type="dxa"/>
          </w:tcPr>
          <w:p w14:paraId="24983BDE" w14:textId="1CB07CD9" w:rsidR="00457C6B" w:rsidRDefault="00457C6B" w:rsidP="00B7516F">
            <w:pPr>
              <w:pStyle w:val="CommentText"/>
            </w:pPr>
            <w:r>
              <w:t>Dr Edward said, I’m not exactly sure what you are saying here. This needs to be expressed differently to make it clear. Maybe delete.</w:t>
            </w:r>
          </w:p>
        </w:tc>
        <w:tc>
          <w:tcPr>
            <w:tcW w:w="3776" w:type="dxa"/>
          </w:tcPr>
          <w:p w14:paraId="7F3D83E5" w14:textId="268C8A6A" w:rsidR="00457C6B" w:rsidRDefault="00457C6B" w:rsidP="005B29A0">
            <w:r>
              <w:t>I agree to delete this paragraph, as there is no linkage between this and the</w:t>
            </w:r>
            <w:r w:rsidR="001828DE">
              <w:t xml:space="preserve"> current</w:t>
            </w:r>
            <w:r>
              <w:t xml:space="preserve"> discussion.</w:t>
            </w:r>
          </w:p>
        </w:tc>
      </w:tr>
      <w:tr w:rsidR="006A0F2B" w14:paraId="180475FD" w14:textId="77777777" w:rsidTr="00A0331C">
        <w:tc>
          <w:tcPr>
            <w:tcW w:w="1413" w:type="dxa"/>
          </w:tcPr>
          <w:p w14:paraId="5AB37377" w14:textId="77777777" w:rsidR="006A0F2B" w:rsidRDefault="006A0F2B" w:rsidP="005B29A0"/>
        </w:tc>
        <w:tc>
          <w:tcPr>
            <w:tcW w:w="3827" w:type="dxa"/>
          </w:tcPr>
          <w:p w14:paraId="0230CE8C" w14:textId="77777777" w:rsidR="006A0F2B" w:rsidRDefault="006A0F2B" w:rsidP="006A0F2B">
            <w:pPr>
              <w:pStyle w:val="CommentText"/>
            </w:pPr>
            <w:r>
              <w:t xml:space="preserve">Dr Edward said, E.g. </w:t>
            </w:r>
            <w:proofErr w:type="spellStart"/>
            <w:r>
              <w:t>Kuran</w:t>
            </w:r>
            <w:proofErr w:type="spellEnd"/>
            <w:r>
              <w:t xml:space="preserve">, T. 1986. The Economic System in Contemporary Islamic Thought: Interpretation and Assessment. </w:t>
            </w:r>
            <w:r w:rsidRPr="00AF73F9">
              <w:rPr>
                <w:i/>
              </w:rPr>
              <w:t>International Journal of Middle East Studie</w:t>
            </w:r>
            <w:r>
              <w:t>s, 18 (2): 135-164.</w:t>
            </w:r>
          </w:p>
          <w:p w14:paraId="257072A7" w14:textId="77777777" w:rsidR="006A0F2B" w:rsidRDefault="006A0F2B" w:rsidP="006A0F2B">
            <w:pPr>
              <w:pStyle w:val="CommentText"/>
            </w:pPr>
            <w:proofErr w:type="spellStart"/>
            <w:r>
              <w:t>Kuran</w:t>
            </w:r>
            <w:proofErr w:type="spellEnd"/>
            <w:r>
              <w:t>, T. 1989. On the Notion of Economic Justice in Contemporary Islamic Thought.</w:t>
            </w:r>
            <w:r w:rsidRPr="00AF73F9">
              <w:rPr>
                <w:i/>
              </w:rPr>
              <w:t xml:space="preserve"> International Journal of Middle East Studies</w:t>
            </w:r>
            <w:r>
              <w:t>, 21: 171-191.</w:t>
            </w:r>
          </w:p>
          <w:p w14:paraId="65EB476F" w14:textId="77777777" w:rsidR="006A0F2B" w:rsidRDefault="006A0F2B" w:rsidP="006A0F2B">
            <w:pPr>
              <w:pStyle w:val="CommentText"/>
            </w:pPr>
            <w:proofErr w:type="spellStart"/>
            <w:r>
              <w:t>Kuran</w:t>
            </w:r>
            <w:proofErr w:type="spellEnd"/>
            <w:r>
              <w:t xml:space="preserve">, T. 1995. Islamic economics and the Islamic </w:t>
            </w:r>
            <w:proofErr w:type="spellStart"/>
            <w:r>
              <w:t>subeconomy</w:t>
            </w:r>
            <w:proofErr w:type="spellEnd"/>
            <w:r>
              <w:t xml:space="preserve">. </w:t>
            </w:r>
            <w:r w:rsidRPr="00AF73F9">
              <w:rPr>
                <w:i/>
              </w:rPr>
              <w:t>Journal of Economic Perspectives</w:t>
            </w:r>
            <w:r>
              <w:t>, 9 (4): 155-173.</w:t>
            </w:r>
          </w:p>
          <w:p w14:paraId="31618CB3" w14:textId="0E206B35" w:rsidR="006A0F2B" w:rsidRDefault="006A0F2B" w:rsidP="006A0F2B">
            <w:pPr>
              <w:pStyle w:val="CommentText"/>
            </w:pPr>
            <w:proofErr w:type="spellStart"/>
            <w:r>
              <w:t>Kuran</w:t>
            </w:r>
            <w:proofErr w:type="spellEnd"/>
            <w:r>
              <w:t>, T. 2004.</w:t>
            </w:r>
            <w:r w:rsidRPr="00AF73F9">
              <w:rPr>
                <w:i/>
              </w:rPr>
              <w:t xml:space="preserve"> Islam and Mammon: The Economic Predicaments of Islamism</w:t>
            </w:r>
            <w:r>
              <w:t>. New Jersey: Princeton University Press.</w:t>
            </w:r>
          </w:p>
        </w:tc>
        <w:tc>
          <w:tcPr>
            <w:tcW w:w="3776" w:type="dxa"/>
          </w:tcPr>
          <w:p w14:paraId="065F7B29" w14:textId="0B2EC796" w:rsidR="006A0F2B" w:rsidRDefault="006A0F2B" w:rsidP="005B29A0">
            <w:r>
              <w:t>I will use this as my references</w:t>
            </w:r>
          </w:p>
        </w:tc>
      </w:tr>
    </w:tbl>
    <w:p w14:paraId="134D2FD8" w14:textId="77777777" w:rsidR="0074439F" w:rsidRDefault="0074439F"/>
    <w:sectPr w:rsidR="00744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5584E"/>
    <w:multiLevelType w:val="hybridMultilevel"/>
    <w:tmpl w:val="C576F3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9823967"/>
    <w:multiLevelType w:val="multilevel"/>
    <w:tmpl w:val="8EACE53C"/>
    <w:lvl w:ilvl="0">
      <w:start w:val="4"/>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BF12D5D"/>
    <w:multiLevelType w:val="hybridMultilevel"/>
    <w:tmpl w:val="0EA8A0D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A7"/>
    <w:rsid w:val="000120CA"/>
    <w:rsid w:val="0001505E"/>
    <w:rsid w:val="00024541"/>
    <w:rsid w:val="0005675A"/>
    <w:rsid w:val="00067342"/>
    <w:rsid w:val="00082D68"/>
    <w:rsid w:val="00090A36"/>
    <w:rsid w:val="00091386"/>
    <w:rsid w:val="000A32D1"/>
    <w:rsid w:val="000A5B73"/>
    <w:rsid w:val="000B0D54"/>
    <w:rsid w:val="000D07FC"/>
    <w:rsid w:val="000D14D6"/>
    <w:rsid w:val="000D69DE"/>
    <w:rsid w:val="000D79CB"/>
    <w:rsid w:val="000E6120"/>
    <w:rsid w:val="000E70A7"/>
    <w:rsid w:val="0010729B"/>
    <w:rsid w:val="00116C00"/>
    <w:rsid w:val="0013587E"/>
    <w:rsid w:val="00135E56"/>
    <w:rsid w:val="001478FD"/>
    <w:rsid w:val="001573C6"/>
    <w:rsid w:val="0016119E"/>
    <w:rsid w:val="00163F57"/>
    <w:rsid w:val="0016453F"/>
    <w:rsid w:val="00166DDE"/>
    <w:rsid w:val="001828DE"/>
    <w:rsid w:val="001974D6"/>
    <w:rsid w:val="001A0D46"/>
    <w:rsid w:val="001A3ED8"/>
    <w:rsid w:val="001C392A"/>
    <w:rsid w:val="001C5C92"/>
    <w:rsid w:val="001E110D"/>
    <w:rsid w:val="001E380E"/>
    <w:rsid w:val="001F13C9"/>
    <w:rsid w:val="001F52CA"/>
    <w:rsid w:val="001F7039"/>
    <w:rsid w:val="00220C63"/>
    <w:rsid w:val="00221D45"/>
    <w:rsid w:val="002235DD"/>
    <w:rsid w:val="00224F7A"/>
    <w:rsid w:val="002320D8"/>
    <w:rsid w:val="00234F60"/>
    <w:rsid w:val="0024393F"/>
    <w:rsid w:val="002472F9"/>
    <w:rsid w:val="00264AC5"/>
    <w:rsid w:val="00267A76"/>
    <w:rsid w:val="002826AA"/>
    <w:rsid w:val="002916E6"/>
    <w:rsid w:val="002B51EE"/>
    <w:rsid w:val="002C113D"/>
    <w:rsid w:val="002D1F23"/>
    <w:rsid w:val="002D4AD4"/>
    <w:rsid w:val="002D7D34"/>
    <w:rsid w:val="002E59C3"/>
    <w:rsid w:val="002F2852"/>
    <w:rsid w:val="003413BB"/>
    <w:rsid w:val="00347452"/>
    <w:rsid w:val="0035634E"/>
    <w:rsid w:val="00375172"/>
    <w:rsid w:val="00393C4C"/>
    <w:rsid w:val="003960B2"/>
    <w:rsid w:val="003A73DF"/>
    <w:rsid w:val="003C2F3C"/>
    <w:rsid w:val="003E1E94"/>
    <w:rsid w:val="004020AF"/>
    <w:rsid w:val="00417F5C"/>
    <w:rsid w:val="00430621"/>
    <w:rsid w:val="00453A9F"/>
    <w:rsid w:val="00457C6B"/>
    <w:rsid w:val="0046113F"/>
    <w:rsid w:val="00462F3E"/>
    <w:rsid w:val="004801B4"/>
    <w:rsid w:val="00482726"/>
    <w:rsid w:val="00485700"/>
    <w:rsid w:val="00494E9C"/>
    <w:rsid w:val="004A57BC"/>
    <w:rsid w:val="004B600E"/>
    <w:rsid w:val="004C005E"/>
    <w:rsid w:val="004C3A66"/>
    <w:rsid w:val="004D2B47"/>
    <w:rsid w:val="004E2E25"/>
    <w:rsid w:val="004E408D"/>
    <w:rsid w:val="004E6A12"/>
    <w:rsid w:val="004F1A68"/>
    <w:rsid w:val="004F26E5"/>
    <w:rsid w:val="005024B0"/>
    <w:rsid w:val="00516D43"/>
    <w:rsid w:val="0052695A"/>
    <w:rsid w:val="00530AFF"/>
    <w:rsid w:val="00533E29"/>
    <w:rsid w:val="005535EB"/>
    <w:rsid w:val="00564168"/>
    <w:rsid w:val="00575866"/>
    <w:rsid w:val="00577A4F"/>
    <w:rsid w:val="00586419"/>
    <w:rsid w:val="005A2F33"/>
    <w:rsid w:val="005B29A0"/>
    <w:rsid w:val="005C159C"/>
    <w:rsid w:val="005C2A38"/>
    <w:rsid w:val="005E0CD9"/>
    <w:rsid w:val="005E201E"/>
    <w:rsid w:val="005F429E"/>
    <w:rsid w:val="00601BC4"/>
    <w:rsid w:val="00614E6D"/>
    <w:rsid w:val="006201CB"/>
    <w:rsid w:val="006314AC"/>
    <w:rsid w:val="006376F3"/>
    <w:rsid w:val="006416DE"/>
    <w:rsid w:val="0064482F"/>
    <w:rsid w:val="0065642B"/>
    <w:rsid w:val="00657ABE"/>
    <w:rsid w:val="00677067"/>
    <w:rsid w:val="00691527"/>
    <w:rsid w:val="006A01B4"/>
    <w:rsid w:val="006A0F2B"/>
    <w:rsid w:val="006B7A23"/>
    <w:rsid w:val="006C6D01"/>
    <w:rsid w:val="006C7B9E"/>
    <w:rsid w:val="006D1984"/>
    <w:rsid w:val="006D3352"/>
    <w:rsid w:val="006E4467"/>
    <w:rsid w:val="006E4B27"/>
    <w:rsid w:val="006F28F7"/>
    <w:rsid w:val="00712A8B"/>
    <w:rsid w:val="00714F15"/>
    <w:rsid w:val="0072651B"/>
    <w:rsid w:val="007311B1"/>
    <w:rsid w:val="00736B2A"/>
    <w:rsid w:val="00742C80"/>
    <w:rsid w:val="0074439F"/>
    <w:rsid w:val="00750023"/>
    <w:rsid w:val="00762B04"/>
    <w:rsid w:val="00764D6A"/>
    <w:rsid w:val="00774C7F"/>
    <w:rsid w:val="007750C9"/>
    <w:rsid w:val="007768EE"/>
    <w:rsid w:val="00792EFB"/>
    <w:rsid w:val="00795351"/>
    <w:rsid w:val="00795511"/>
    <w:rsid w:val="007A7184"/>
    <w:rsid w:val="007B1B4E"/>
    <w:rsid w:val="007B28BD"/>
    <w:rsid w:val="007B6403"/>
    <w:rsid w:val="007D31ED"/>
    <w:rsid w:val="007E6BD2"/>
    <w:rsid w:val="007F1191"/>
    <w:rsid w:val="007F6186"/>
    <w:rsid w:val="00804947"/>
    <w:rsid w:val="00812924"/>
    <w:rsid w:val="0081580F"/>
    <w:rsid w:val="00821742"/>
    <w:rsid w:val="008260E6"/>
    <w:rsid w:val="00832591"/>
    <w:rsid w:val="0083748D"/>
    <w:rsid w:val="00855FE0"/>
    <w:rsid w:val="00875B22"/>
    <w:rsid w:val="00875B73"/>
    <w:rsid w:val="008A7162"/>
    <w:rsid w:val="008B441E"/>
    <w:rsid w:val="008F5C6C"/>
    <w:rsid w:val="00900F59"/>
    <w:rsid w:val="00912ABD"/>
    <w:rsid w:val="009243B3"/>
    <w:rsid w:val="00924E21"/>
    <w:rsid w:val="00926F6E"/>
    <w:rsid w:val="00935D74"/>
    <w:rsid w:val="00947D85"/>
    <w:rsid w:val="00955DE5"/>
    <w:rsid w:val="00961BCD"/>
    <w:rsid w:val="00963A04"/>
    <w:rsid w:val="009724BA"/>
    <w:rsid w:val="009779E4"/>
    <w:rsid w:val="00984215"/>
    <w:rsid w:val="009871D6"/>
    <w:rsid w:val="00987CEE"/>
    <w:rsid w:val="009A0A97"/>
    <w:rsid w:val="009A0CFC"/>
    <w:rsid w:val="009A42F7"/>
    <w:rsid w:val="009A74DE"/>
    <w:rsid w:val="009B60B5"/>
    <w:rsid w:val="009C6302"/>
    <w:rsid w:val="009D3796"/>
    <w:rsid w:val="009D4059"/>
    <w:rsid w:val="009D5084"/>
    <w:rsid w:val="009F4D6D"/>
    <w:rsid w:val="009F709D"/>
    <w:rsid w:val="00A0331C"/>
    <w:rsid w:val="00A11A73"/>
    <w:rsid w:val="00A22439"/>
    <w:rsid w:val="00A229E0"/>
    <w:rsid w:val="00A230D0"/>
    <w:rsid w:val="00A265C4"/>
    <w:rsid w:val="00A32AD3"/>
    <w:rsid w:val="00A43030"/>
    <w:rsid w:val="00A54420"/>
    <w:rsid w:val="00A619B5"/>
    <w:rsid w:val="00A7512A"/>
    <w:rsid w:val="00A75726"/>
    <w:rsid w:val="00A75B2A"/>
    <w:rsid w:val="00A7720D"/>
    <w:rsid w:val="00A81B1B"/>
    <w:rsid w:val="00A858D2"/>
    <w:rsid w:val="00A865D1"/>
    <w:rsid w:val="00AA258A"/>
    <w:rsid w:val="00AA32CC"/>
    <w:rsid w:val="00AA5491"/>
    <w:rsid w:val="00AB486B"/>
    <w:rsid w:val="00AF5788"/>
    <w:rsid w:val="00AF7D8F"/>
    <w:rsid w:val="00B06658"/>
    <w:rsid w:val="00B07097"/>
    <w:rsid w:val="00B30979"/>
    <w:rsid w:val="00B37ADF"/>
    <w:rsid w:val="00B57F3F"/>
    <w:rsid w:val="00B62EA7"/>
    <w:rsid w:val="00B670D0"/>
    <w:rsid w:val="00B70B97"/>
    <w:rsid w:val="00B71B3D"/>
    <w:rsid w:val="00B7413A"/>
    <w:rsid w:val="00B7516F"/>
    <w:rsid w:val="00B76012"/>
    <w:rsid w:val="00B7754D"/>
    <w:rsid w:val="00B80EC0"/>
    <w:rsid w:val="00B84AAD"/>
    <w:rsid w:val="00B923A3"/>
    <w:rsid w:val="00B960DF"/>
    <w:rsid w:val="00BA28BD"/>
    <w:rsid w:val="00BA4DF7"/>
    <w:rsid w:val="00BB2AC1"/>
    <w:rsid w:val="00BC7570"/>
    <w:rsid w:val="00BE2DA8"/>
    <w:rsid w:val="00BE3A2B"/>
    <w:rsid w:val="00BF421E"/>
    <w:rsid w:val="00BF79B9"/>
    <w:rsid w:val="00C33193"/>
    <w:rsid w:val="00C67238"/>
    <w:rsid w:val="00C90E8C"/>
    <w:rsid w:val="00C92F71"/>
    <w:rsid w:val="00CA0D43"/>
    <w:rsid w:val="00CD3958"/>
    <w:rsid w:val="00CD5E9A"/>
    <w:rsid w:val="00CE6360"/>
    <w:rsid w:val="00CE76F1"/>
    <w:rsid w:val="00CF4386"/>
    <w:rsid w:val="00CF6061"/>
    <w:rsid w:val="00D050D3"/>
    <w:rsid w:val="00D11B50"/>
    <w:rsid w:val="00D15C05"/>
    <w:rsid w:val="00D41015"/>
    <w:rsid w:val="00D42783"/>
    <w:rsid w:val="00D62BA1"/>
    <w:rsid w:val="00D635BB"/>
    <w:rsid w:val="00D670BE"/>
    <w:rsid w:val="00D705A7"/>
    <w:rsid w:val="00D77326"/>
    <w:rsid w:val="00D9026E"/>
    <w:rsid w:val="00D905CC"/>
    <w:rsid w:val="00D91EF8"/>
    <w:rsid w:val="00D9756F"/>
    <w:rsid w:val="00DA7360"/>
    <w:rsid w:val="00DC610C"/>
    <w:rsid w:val="00DD0E6A"/>
    <w:rsid w:val="00DD3FD6"/>
    <w:rsid w:val="00DE0CBB"/>
    <w:rsid w:val="00DF3E7F"/>
    <w:rsid w:val="00DF7094"/>
    <w:rsid w:val="00E04AFA"/>
    <w:rsid w:val="00E1119F"/>
    <w:rsid w:val="00E22743"/>
    <w:rsid w:val="00E315DF"/>
    <w:rsid w:val="00E31D1B"/>
    <w:rsid w:val="00E45197"/>
    <w:rsid w:val="00E52564"/>
    <w:rsid w:val="00E5355C"/>
    <w:rsid w:val="00E539C4"/>
    <w:rsid w:val="00E57F90"/>
    <w:rsid w:val="00E63738"/>
    <w:rsid w:val="00E64805"/>
    <w:rsid w:val="00E7030B"/>
    <w:rsid w:val="00E7419C"/>
    <w:rsid w:val="00E877CB"/>
    <w:rsid w:val="00EB439C"/>
    <w:rsid w:val="00EC3BB9"/>
    <w:rsid w:val="00ED197D"/>
    <w:rsid w:val="00ED4B05"/>
    <w:rsid w:val="00ED4F06"/>
    <w:rsid w:val="00EF06E2"/>
    <w:rsid w:val="00EF1D72"/>
    <w:rsid w:val="00F2233D"/>
    <w:rsid w:val="00F449C8"/>
    <w:rsid w:val="00F53F37"/>
    <w:rsid w:val="00F55FB8"/>
    <w:rsid w:val="00F64471"/>
    <w:rsid w:val="00F77E07"/>
    <w:rsid w:val="00F8050E"/>
    <w:rsid w:val="00F82914"/>
    <w:rsid w:val="00F842A0"/>
    <w:rsid w:val="00FB34B1"/>
    <w:rsid w:val="00FC0345"/>
    <w:rsid w:val="00FD06BC"/>
    <w:rsid w:val="00FD0A49"/>
    <w:rsid w:val="00FD4777"/>
    <w:rsid w:val="00FE3C93"/>
    <w:rsid w:val="00FE5D18"/>
    <w:rsid w:val="00FE6EE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998C"/>
  <w15:chartTrackingRefBased/>
  <w15:docId w15:val="{7270425A-5027-4312-9B73-4AF37219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0A7"/>
  </w:style>
  <w:style w:type="paragraph" w:styleId="Heading2">
    <w:name w:val="heading 2"/>
    <w:basedOn w:val="Normal"/>
    <w:next w:val="Normal"/>
    <w:link w:val="Heading2Char"/>
    <w:autoRedefine/>
    <w:uiPriority w:val="9"/>
    <w:unhideWhenUsed/>
    <w:qFormat/>
    <w:rsid w:val="00A32AD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E70A7"/>
    <w:pPr>
      <w:spacing w:line="240" w:lineRule="auto"/>
    </w:pPr>
    <w:rPr>
      <w:sz w:val="20"/>
      <w:szCs w:val="20"/>
    </w:rPr>
  </w:style>
  <w:style w:type="character" w:customStyle="1" w:styleId="CommentTextChar">
    <w:name w:val="Comment Text Char"/>
    <w:basedOn w:val="DefaultParagraphFont"/>
    <w:link w:val="CommentText"/>
    <w:uiPriority w:val="99"/>
    <w:rsid w:val="000E70A7"/>
    <w:rPr>
      <w:sz w:val="20"/>
      <w:szCs w:val="20"/>
    </w:rPr>
  </w:style>
  <w:style w:type="paragraph" w:styleId="BalloonText">
    <w:name w:val="Balloon Text"/>
    <w:basedOn w:val="Normal"/>
    <w:link w:val="BalloonTextChar"/>
    <w:uiPriority w:val="99"/>
    <w:semiHidden/>
    <w:unhideWhenUsed/>
    <w:rsid w:val="000E7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0A7"/>
    <w:rPr>
      <w:rFonts w:ascii="Segoe UI" w:hAnsi="Segoe UI" w:cs="Segoe UI"/>
      <w:sz w:val="18"/>
      <w:szCs w:val="18"/>
    </w:rPr>
  </w:style>
  <w:style w:type="character" w:styleId="CommentReference">
    <w:name w:val="annotation reference"/>
    <w:basedOn w:val="DefaultParagraphFont"/>
    <w:uiPriority w:val="99"/>
    <w:semiHidden/>
    <w:unhideWhenUsed/>
    <w:rsid w:val="0065642B"/>
    <w:rPr>
      <w:sz w:val="16"/>
      <w:szCs w:val="16"/>
    </w:rPr>
  </w:style>
  <w:style w:type="paragraph" w:styleId="ListParagraph">
    <w:name w:val="List Paragraph"/>
    <w:basedOn w:val="Normal"/>
    <w:uiPriority w:val="34"/>
    <w:qFormat/>
    <w:rsid w:val="002D7D34"/>
    <w:pPr>
      <w:ind w:left="720"/>
      <w:contextualSpacing/>
    </w:pPr>
  </w:style>
  <w:style w:type="character" w:customStyle="1" w:styleId="Heading2Char">
    <w:name w:val="Heading 2 Char"/>
    <w:basedOn w:val="DefaultParagraphFont"/>
    <w:link w:val="Heading2"/>
    <w:uiPriority w:val="9"/>
    <w:rsid w:val="00A32AD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A71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96B4CAC048FB4896DD506E6B57FAD3" ma:contentTypeVersion="10" ma:contentTypeDescription="Create a new document." ma:contentTypeScope="" ma:versionID="0fa8f196f221c5ffdd2494b29a6ed938">
  <xsd:schema xmlns:xsd="http://www.w3.org/2001/XMLSchema" xmlns:xs="http://www.w3.org/2001/XMLSchema" xmlns:p="http://schemas.microsoft.com/office/2006/metadata/properties" xmlns:ns3="9e20e801-9195-48c0-9b0a-4a67cf65c44b" targetNamespace="http://schemas.microsoft.com/office/2006/metadata/properties" ma:root="true" ma:fieldsID="a83ddf8b5a06007c6edb2869feddec68" ns3:_="">
    <xsd:import namespace="9e20e801-9195-48c0-9b0a-4a67cf65c4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0e801-9195-48c0-9b0a-4a67cf65c4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5B3D3-57B0-4155-B76A-074B86008FA7}">
  <ds:schemaRefs>
    <ds:schemaRef ds:uri="http://schemas.microsoft.com/sharepoint/v3/contenttype/forms"/>
  </ds:schemaRefs>
</ds:datastoreItem>
</file>

<file path=customXml/itemProps2.xml><?xml version="1.0" encoding="utf-8"?>
<ds:datastoreItem xmlns:ds="http://schemas.openxmlformats.org/officeDocument/2006/customXml" ds:itemID="{8A37744B-48BC-49A7-8336-915CF78CF971}">
  <ds:schemaRef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9e20e801-9195-48c0-9b0a-4a67cf65c44b"/>
    <ds:schemaRef ds:uri="http://schemas.microsoft.com/office/2006/metadata/properties"/>
  </ds:schemaRefs>
</ds:datastoreItem>
</file>

<file path=customXml/itemProps3.xml><?xml version="1.0" encoding="utf-8"?>
<ds:datastoreItem xmlns:ds="http://schemas.openxmlformats.org/officeDocument/2006/customXml" ds:itemID="{B3596570-E808-417D-8D25-06AB49DEC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0e801-9195-48c0-9b0a-4a67cf65c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4343</Words>
  <Characters>24756</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 Setiawan</dc:creator>
  <cp:keywords/>
  <dc:description/>
  <cp:lastModifiedBy>Romi Setiawan</cp:lastModifiedBy>
  <cp:revision>2</cp:revision>
  <dcterms:created xsi:type="dcterms:W3CDTF">2021-03-04T22:46:00Z</dcterms:created>
  <dcterms:modified xsi:type="dcterms:W3CDTF">2021-03-04T22:46:00Z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0x0101001F96B4CAC048FB4896DD506E6B57FAD3</vt:lpwstr>
  </property>
</Properties>
</file>