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28"/>
        <w:gridCol w:w="57"/>
        <w:gridCol w:w="482"/>
        <w:gridCol w:w="1016"/>
        <w:gridCol w:w="2386"/>
        <w:gridCol w:w="231"/>
        <w:gridCol w:w="1554"/>
        <w:gridCol w:w="798"/>
        <w:gridCol w:w="1186"/>
      </w:tblGrid>
      <w:tr w:rsidR="00C70532" w:rsidRPr="001B7A08" w:rsidTr="003E4BFB">
        <w:tc>
          <w:tcPr>
            <w:tcW w:w="2268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16EDA39" wp14:editId="34B684B7">
                  <wp:extent cx="1237957" cy="1237957"/>
                  <wp:effectExtent l="0" t="0" r="635" b="635"/>
                  <wp:docPr id="1" name="Picture 1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957" cy="1237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3"/>
          </w:tcPr>
          <w:p w:rsidR="00C70532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UNIVERSITAS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ISLAM NEGERI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(UIN) </w:t>
            </w:r>
          </w:p>
          <w:p w:rsidR="00C70532" w:rsidRPr="000C4B5C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FATMAWATI SUKARNO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BENGKULU</w:t>
            </w:r>
          </w:p>
          <w:p w:rsidR="00C70532" w:rsidRPr="00636AA4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AA4">
              <w:rPr>
                <w:rFonts w:ascii="Times New Roman" w:hAnsi="Times New Roman" w:cs="Times New Roman"/>
                <w:b/>
                <w:sz w:val="28"/>
                <w:szCs w:val="28"/>
              </w:rPr>
              <w:t>FAKULTAS USHULUDDIN ADAB DAN DAKWAH</w:t>
            </w:r>
          </w:p>
          <w:p w:rsidR="00C70532" w:rsidRPr="009B568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JURUSAN </w:t>
            </w:r>
            <w:r w:rsidR="00392F6A">
              <w:rPr>
                <w:rFonts w:ascii="Times New Roman" w:hAnsi="Times New Roman" w:cs="Times New Roman"/>
                <w:b/>
                <w:sz w:val="28"/>
                <w:szCs w:val="28"/>
              </w:rPr>
              <w:t>USHULUDDIN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PRODI </w:t>
            </w:r>
            <w:r w:rsidR="009B5688">
              <w:rPr>
                <w:rFonts w:ascii="Times New Roman" w:hAnsi="Times New Roman" w:cs="Times New Roman"/>
                <w:b/>
                <w:sz w:val="28"/>
                <w:szCs w:val="28"/>
              </w:rPr>
              <w:t>ILMU AL-QUR’AN DAN TAFSIR</w:t>
            </w:r>
          </w:p>
        </w:tc>
      </w:tr>
      <w:tr w:rsidR="00C70532" w:rsidRPr="001B7A08" w:rsidTr="003E4BFB">
        <w:tc>
          <w:tcPr>
            <w:tcW w:w="13267" w:type="dxa"/>
            <w:gridSpan w:val="15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C70532" w:rsidRPr="001B7A08" w:rsidTr="003E4BFB">
        <w:trPr>
          <w:trHeight w:val="529"/>
        </w:trPr>
        <w:tc>
          <w:tcPr>
            <w:tcW w:w="2268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C70532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  <w:p w:rsidR="00AB6931" w:rsidRPr="001B7A08" w:rsidRDefault="00AB6931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D3">
              <w:rPr>
                <w:rStyle w:val="z-label"/>
                <w:rFonts w:asciiTheme="majorBidi" w:hAnsiTheme="majorBidi" w:cstheme="majorBidi"/>
                <w:b/>
                <w:bCs/>
                <w:sz w:val="24"/>
                <w:szCs w:val="24"/>
              </w:rPr>
              <w:t>UAD32010</w:t>
            </w:r>
          </w:p>
        </w:tc>
        <w:tc>
          <w:tcPr>
            <w:tcW w:w="1843" w:type="dxa"/>
            <w:gridSpan w:val="4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402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785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C70532" w:rsidRPr="001B7A08" w:rsidTr="003E4BFB">
        <w:trPr>
          <w:trHeight w:val="70"/>
        </w:trPr>
        <w:tc>
          <w:tcPr>
            <w:tcW w:w="2268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Fiqih</w:t>
            </w:r>
            <w:proofErr w:type="spellEnd"/>
          </w:p>
        </w:tc>
        <w:tc>
          <w:tcPr>
            <w:tcW w:w="1985" w:type="dxa"/>
            <w:gridSpan w:val="3"/>
          </w:tcPr>
          <w:p w:rsidR="00C70532" w:rsidRPr="00C32307" w:rsidRDefault="00C70532" w:rsidP="003E4B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MKK</w:t>
            </w:r>
          </w:p>
        </w:tc>
        <w:tc>
          <w:tcPr>
            <w:tcW w:w="1843" w:type="dxa"/>
            <w:gridSpan w:val="4"/>
          </w:tcPr>
          <w:p w:rsidR="00C70532" w:rsidRPr="00C32307" w:rsidRDefault="00C70532" w:rsidP="003E4B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Fiqih</w:t>
            </w:r>
            <w:proofErr w:type="spellEnd"/>
          </w:p>
        </w:tc>
        <w:tc>
          <w:tcPr>
            <w:tcW w:w="3402" w:type="dxa"/>
            <w:gridSpan w:val="2"/>
          </w:tcPr>
          <w:p w:rsidR="00C70532" w:rsidRPr="00C32307" w:rsidRDefault="00C70532" w:rsidP="003E4B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SKS</w:t>
            </w:r>
          </w:p>
        </w:tc>
        <w:tc>
          <w:tcPr>
            <w:tcW w:w="1785" w:type="dxa"/>
            <w:gridSpan w:val="2"/>
          </w:tcPr>
          <w:p w:rsidR="00C70532" w:rsidRPr="00E83413" w:rsidRDefault="00C70532" w:rsidP="003E4B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A</w:t>
            </w:r>
          </w:p>
        </w:tc>
        <w:tc>
          <w:tcPr>
            <w:tcW w:w="1984" w:type="dxa"/>
            <w:gridSpan w:val="2"/>
          </w:tcPr>
          <w:p w:rsidR="00C70532" w:rsidRPr="00E83413" w:rsidRDefault="00EE6287" w:rsidP="003E4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05-09-</w:t>
            </w:r>
            <w:r w:rsidR="00C70532" w:rsidRPr="00C3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C7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70532" w:rsidRPr="001B7A08" w:rsidTr="003E4BFB">
        <w:tc>
          <w:tcPr>
            <w:tcW w:w="2268" w:type="dxa"/>
            <w:gridSpan w:val="2"/>
            <w:vMerge w:val="restart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402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769" w:type="dxa"/>
            <w:gridSpan w:val="4"/>
          </w:tcPr>
          <w:p w:rsidR="00C70532" w:rsidRPr="00D415FA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Prodi IQT</w:t>
            </w:r>
          </w:p>
        </w:tc>
      </w:tr>
      <w:tr w:rsidR="00C70532" w:rsidRPr="001B7A08" w:rsidTr="003E4BFB">
        <w:trPr>
          <w:trHeight w:val="760"/>
        </w:trPr>
        <w:tc>
          <w:tcPr>
            <w:tcW w:w="2268" w:type="dxa"/>
            <w:gridSpan w:val="2"/>
            <w:vMerge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C70532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, M.H.I</w:t>
            </w:r>
          </w:p>
        </w:tc>
        <w:tc>
          <w:tcPr>
            <w:tcW w:w="3402" w:type="dxa"/>
            <w:gridSpan w:val="2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  <w:gridSpan w:val="4"/>
          </w:tcPr>
          <w:p w:rsidR="00C70532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532" w:rsidRPr="001C5D0E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Syukraini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Ahmad, M.A</w:t>
            </w:r>
          </w:p>
        </w:tc>
      </w:tr>
      <w:tr w:rsidR="00C70532" w:rsidRPr="001B7A08" w:rsidTr="003E4BFB">
        <w:trPr>
          <w:trHeight w:val="295"/>
        </w:trPr>
        <w:tc>
          <w:tcPr>
            <w:tcW w:w="2268" w:type="dxa"/>
            <w:gridSpan w:val="2"/>
            <w:vMerge w:val="restart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</w:p>
          <w:p w:rsidR="00C70532" w:rsidRPr="00403F8E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851" w:type="dxa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2"/>
          </w:tcPr>
          <w:p w:rsidR="00751149" w:rsidRPr="00751149" w:rsidRDefault="00751149" w:rsidP="007511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Profil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utama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lulusan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 Program 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751149">
              <w:rPr>
                <w:rFonts w:asciiTheme="majorBidi" w:hAnsiTheme="majorBidi" w:cstheme="majorBidi"/>
                <w:noProof/>
                <w:sz w:val="24"/>
                <w:szCs w:val="24"/>
              </w:rPr>
              <w:t>Ilmu Al-Qur`an dan Tafsir</w:t>
            </w:r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1149">
              <w:rPr>
                <w:rFonts w:asciiTheme="majorBidi" w:hAnsiTheme="majorBidi" w:cstheme="majorBidi"/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1149">
              <w:rPr>
                <w:rFonts w:asciiTheme="majorBidi" w:hAnsiTheme="majorBidi" w:cstheme="majorBidi"/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mufasir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pemula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,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akademisi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asisten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peneliti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Al-Qur`an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Tafsir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yang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berkepribadian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baik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,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berpengetahuan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luas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mutakhir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di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bidangnya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serta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mampu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melaksanakan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tugas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bertanggungjawab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berlandaskan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ajaran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keislaman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keilmuan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keahlia</w:t>
            </w:r>
            <w:r w:rsidRPr="00751149">
              <w:rPr>
                <w:rFonts w:asciiTheme="majorBidi" w:hAnsiTheme="majorBidi" w:cstheme="majorBidi"/>
                <w:spacing w:val="3"/>
                <w:sz w:val="24"/>
                <w:szCs w:val="24"/>
              </w:rPr>
              <w:t>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751149" w:rsidRDefault="00751149" w:rsidP="007511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 Antiqua" w:hAnsi="Book Antiqua" w:cs="Bookman Old Style"/>
                <w:sz w:val="24"/>
                <w:szCs w:val="24"/>
              </w:rPr>
            </w:pPr>
            <w:bookmarkStart w:id="0" w:name="_GoBack"/>
            <w:bookmarkEnd w:id="0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Profil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Tambahan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lulusan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1149">
              <w:rPr>
                <w:rFonts w:asciiTheme="majorBidi" w:hAnsiTheme="majorBidi" w:cstheme="majorBidi"/>
                <w:noProof/>
                <w:sz w:val="24"/>
                <w:szCs w:val="24"/>
              </w:rPr>
              <w:t>Program Studi Ilmu Al-Qur`an dan Tafsir</w:t>
            </w:r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tenaga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pendidik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/guru yang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penguasaan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berkepribadian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bertanggungjawab</w:t>
            </w:r>
            <w:proofErr w:type="spellEnd"/>
            <w:r w:rsidRPr="0075114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berlandaskan</w:t>
            </w:r>
            <w:proofErr w:type="spellEnd"/>
            <w:r w:rsidRPr="0075114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51149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51149">
              <w:rPr>
                <w:rFonts w:asciiTheme="majorBidi" w:hAnsiTheme="majorBidi" w:cstheme="majorBidi"/>
                <w:spacing w:val="1"/>
                <w:sz w:val="24"/>
                <w:szCs w:val="24"/>
              </w:rPr>
              <w:t>e</w:t>
            </w:r>
            <w:r w:rsidRPr="00751149">
              <w:rPr>
                <w:rFonts w:asciiTheme="majorBidi" w:hAnsiTheme="majorBidi" w:cstheme="majorBidi"/>
                <w:sz w:val="24"/>
                <w:szCs w:val="24"/>
              </w:rPr>
              <w:t>islaman</w:t>
            </w:r>
            <w:proofErr w:type="spellEnd"/>
            <w:r w:rsidRPr="007511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70532" w:rsidRPr="001B7A08" w:rsidTr="003E4BFB">
        <w:trPr>
          <w:trHeight w:val="281"/>
        </w:trPr>
        <w:tc>
          <w:tcPr>
            <w:tcW w:w="2268" w:type="dxa"/>
            <w:gridSpan w:val="2"/>
            <w:vMerge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0532" w:rsidRPr="001B7A08" w:rsidRDefault="00C70532" w:rsidP="003E4B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2"/>
          </w:tcPr>
          <w:p w:rsidR="00C70532" w:rsidRPr="00BF1715" w:rsidRDefault="00C70532" w:rsidP="003E4BFB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mengaplikasikan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instinbat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menghasilkan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kejelasan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timbul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tinggal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perguruan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kaidah-kaidah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akademik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70532" w:rsidRPr="001B7A08" w:rsidTr="003E4BFB">
        <w:trPr>
          <w:trHeight w:val="547"/>
        </w:trPr>
        <w:tc>
          <w:tcPr>
            <w:tcW w:w="2268" w:type="dxa"/>
            <w:gridSpan w:val="2"/>
            <w:vMerge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</w:t>
            </w:r>
          </w:p>
          <w:p w:rsidR="00C70532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C70532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M2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M3</w:t>
            </w:r>
          </w:p>
          <w:p w:rsidR="00C70532" w:rsidRPr="005A7B3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M4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M5</w:t>
            </w:r>
          </w:p>
          <w:p w:rsidR="00C70532" w:rsidRPr="001557D4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M6</w:t>
            </w:r>
          </w:p>
          <w:p w:rsidR="00C70532" w:rsidRPr="00A32A1C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M7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M8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M9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M10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M11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M12</w:t>
            </w:r>
          </w:p>
          <w:p w:rsidR="00C70532" w:rsidRPr="009A389B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M13</w:t>
            </w:r>
          </w:p>
          <w:p w:rsidR="00C70532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M14</w:t>
            </w:r>
          </w:p>
          <w:p w:rsidR="00C70532" w:rsidRPr="00A32A1C" w:rsidRDefault="00C70532" w:rsidP="003E4BFB">
            <w:pPr>
              <w:pStyle w:val="NoSpacing"/>
              <w:spacing w:line="360" w:lineRule="auto"/>
            </w:pPr>
            <w:r>
              <w:rPr>
                <w:rFonts w:ascii="Times New Roman" w:hAnsi="Times New Roman"/>
              </w:rPr>
              <w:t>M15</w:t>
            </w:r>
          </w:p>
        </w:tc>
        <w:tc>
          <w:tcPr>
            <w:tcW w:w="10148" w:type="dxa"/>
            <w:gridSpan w:val="12"/>
          </w:tcPr>
          <w:p w:rsidR="00C70532" w:rsidRDefault="00C70532" w:rsidP="003E4BF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Default="00C70532" w:rsidP="003E4BF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Default="00C70532" w:rsidP="003E4BF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Default="00C70532" w:rsidP="003E4BFB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3E4B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Pr="001557D4" w:rsidRDefault="00C70532" w:rsidP="003E4BF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</w:tr>
      <w:tr w:rsidR="00C70532" w:rsidRPr="001B7A08" w:rsidTr="003E4BFB">
        <w:tc>
          <w:tcPr>
            <w:tcW w:w="2268" w:type="dxa"/>
            <w:gridSpan w:val="2"/>
          </w:tcPr>
          <w:p w:rsidR="00C70532" w:rsidRPr="009756CB" w:rsidRDefault="00C70532" w:rsidP="003E4BFB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Deskripsi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0999" w:type="dxa"/>
            <w:gridSpan w:val="13"/>
          </w:tcPr>
          <w:p w:rsidR="00C70532" w:rsidRPr="00BF1715" w:rsidRDefault="00C70532" w:rsidP="003E4BF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adalah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ilmu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membahas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dalil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kaidah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ijtihad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bersumber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dari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al-Qur’an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Sunnah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.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Oleh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sebab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itu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proofErr w:type="gram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 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merupakan</w:t>
            </w:r>
            <w:proofErr w:type="spellEnd"/>
            <w:proofErr w:type="gram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instrumen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utama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di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dalam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pembentukan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pengembangan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Islam. Mata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kuliah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penting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diberikan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kepada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mahasiswa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sebagai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bekal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untuk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berkecimpung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di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masyarakat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karena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mempelajari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, di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samping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secara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teoritis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mampu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mengetahui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agar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terbentuknya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Islam,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juga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dapat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digunakan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sebagai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metode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ijtihad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dalam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upaya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menjawab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masalah-masalah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baru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belum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ada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rumusan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hukumnya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dalam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al-Qur’an 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al-</w:t>
            </w:r>
            <w:proofErr w:type="spellStart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>Hadits</w:t>
            </w:r>
            <w:proofErr w:type="spellEnd"/>
            <w:r w:rsidRPr="00BF1715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. </w:t>
            </w:r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Mata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Kuliah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Islam,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Klasifikasi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Dazari’ah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>, ‘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Qoblana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Shahabi,dan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1715"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 w:rsidRPr="00BF171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70532" w:rsidRPr="001B7A08" w:rsidTr="003E4BFB">
        <w:tc>
          <w:tcPr>
            <w:tcW w:w="2268" w:type="dxa"/>
            <w:gridSpan w:val="2"/>
          </w:tcPr>
          <w:p w:rsidR="00C70532" w:rsidRPr="009756CB" w:rsidRDefault="00C70532" w:rsidP="003E4BFB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Materi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Pembelajaran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/</w:t>
            </w:r>
          </w:p>
          <w:p w:rsidR="00C70532" w:rsidRPr="009756CB" w:rsidRDefault="00C70532" w:rsidP="003E4BFB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999" w:type="dxa"/>
            <w:gridSpan w:val="13"/>
          </w:tcPr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umber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ukum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jma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iyas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stihsan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aslahah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Pr="00F50F80" w:rsidRDefault="00C70532" w:rsidP="00C7053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F50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0F80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 w:rsidR="0043757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50F80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</w:tr>
      <w:tr w:rsidR="00C70532" w:rsidRPr="00C23283" w:rsidTr="003E4BFB">
        <w:tc>
          <w:tcPr>
            <w:tcW w:w="2268" w:type="dxa"/>
            <w:gridSpan w:val="2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0999" w:type="dxa"/>
            <w:gridSpan w:val="13"/>
          </w:tcPr>
          <w:p w:rsidR="00C70532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Abdul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Wahab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Khalaf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Ilmu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al-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it-IT"/>
              </w:rPr>
              <w:t>Jakarta: al- Majlis A’la al-Indunisi li al da’wat Islamiyat,1972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Amidi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Ihkam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fi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Ahkam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Dar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ma’arif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M. Hasbi As Shiddiqy, 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SE"/>
              </w:rPr>
              <w:t>Pengantar Hukum Islam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 Jakarta: Bulan Bintang, 1958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Muhammad Abu Zahrah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SE"/>
              </w:rPr>
              <w:t>, Ilmu Ushul Al Fiqh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. 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Dar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fikr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Araby</w:t>
            </w:r>
            <w:proofErr w:type="spellEnd"/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Muhktar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Yahya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Fathurrahman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Dasar-Dasar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Pembinaan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Hukum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Islam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Bandung: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Maarif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>Syatibi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 xml:space="preserve">,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>Muafaqat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 xml:space="preserve"> fi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 xml:space="preserve"> al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es-ES"/>
              </w:rPr>
              <w:t>Syari’at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. Beirut, Dar al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>Fikr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. 1341 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Amir Syarifuddin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Ushul Fiqh</w:t>
            </w:r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Jilid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1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Edisi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Pertama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Cet. Ke-5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Pranada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Media Group </w:t>
            </w:r>
            <w:r w:rsidRPr="0054035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Jakarta, 200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Nasr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Farid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Muhammad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Washil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Dkk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Qawa'id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Fiqhiyyah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,</w:t>
            </w: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Amzah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Cet.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Pertama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, Jakarta, 2009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H. A.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Djazuli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Kaidah-Kaidah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KencanaMedia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Group, 2007 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Musthafa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Sa'id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Khin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Sejarah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Kautsar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Cet.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Pertama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, 2014</w:t>
            </w:r>
          </w:p>
          <w:p w:rsidR="00C70532" w:rsidRPr="00540355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Satria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Efendi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Ushul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Cetakan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kedua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PrenadaMedia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Group, Jakarta, 2008</w:t>
            </w:r>
          </w:p>
          <w:p w:rsidR="00C70532" w:rsidRPr="00C23283" w:rsidRDefault="00C70532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Hasbi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Ash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Shiddieqi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Pengantar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Ilmu</w:t>
            </w:r>
            <w:proofErr w:type="spellEnd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i/>
                <w:sz w:val="24"/>
                <w:szCs w:val="24"/>
              </w:rPr>
              <w:t>Fiqh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Penerbit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40355">
              <w:rPr>
                <w:rFonts w:asciiTheme="majorBidi" w:hAnsiTheme="majorBidi" w:cstheme="majorBidi"/>
                <w:sz w:val="24"/>
                <w:szCs w:val="24"/>
              </w:rPr>
              <w:t>Bintang</w:t>
            </w:r>
            <w:proofErr w:type="spellEnd"/>
            <w:r w:rsidRPr="00540355">
              <w:rPr>
                <w:rFonts w:asciiTheme="majorBidi" w:hAnsiTheme="majorBidi" w:cstheme="majorBidi"/>
                <w:sz w:val="24"/>
                <w:szCs w:val="24"/>
              </w:rPr>
              <w:t>, Jakarta, 1985</w:t>
            </w:r>
          </w:p>
          <w:p w:rsidR="00C23283" w:rsidRDefault="00C23283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Darul Azka dkk, </w:t>
            </w:r>
            <w:r w:rsidRPr="00356241">
              <w:rPr>
                <w:rFonts w:asciiTheme="majorBidi" w:hAnsiTheme="majorBidi" w:cstheme="majorBidi"/>
                <w:i/>
                <w:iCs/>
                <w:sz w:val="24"/>
                <w:szCs w:val="24"/>
                <w:lang w:val="it-IT"/>
              </w:rPr>
              <w:t>Ushul Fiqih Terjemah Syarah Al Waraqat,</w:t>
            </w:r>
            <w:r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(Lirboyo, Santri Salaf Press, 2016</w:t>
            </w:r>
            <w:r w:rsidR="00686AE0">
              <w:rPr>
                <w:rFonts w:asciiTheme="majorBidi" w:hAnsiTheme="majorBidi" w:cstheme="majorBidi"/>
                <w:sz w:val="24"/>
                <w:szCs w:val="24"/>
                <w:lang w:val="it-IT"/>
              </w:rPr>
              <w:t>)</w:t>
            </w:r>
          </w:p>
          <w:p w:rsidR="00686AE0" w:rsidRDefault="00686AE0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Abdullah Musthafa Al-Maraghi, </w:t>
            </w:r>
            <w:r w:rsidRPr="00356241">
              <w:rPr>
                <w:rFonts w:asciiTheme="majorBidi" w:hAnsiTheme="majorBidi" w:cstheme="majorBidi"/>
                <w:i/>
                <w:iCs/>
                <w:sz w:val="24"/>
                <w:szCs w:val="24"/>
                <w:lang w:val="it-IT"/>
              </w:rPr>
              <w:t>Ensiklopedia Lengkap Ulama’ Ushul Fiqh Sepanjang Masa</w:t>
            </w:r>
            <w:r>
              <w:rPr>
                <w:rFonts w:asciiTheme="majorBidi" w:hAnsiTheme="majorBidi" w:cstheme="majorBidi"/>
                <w:sz w:val="24"/>
                <w:szCs w:val="24"/>
                <w:lang w:val="it-IT"/>
              </w:rPr>
              <w:t>, (Yogyakarta, Penerbit IRCiSoD, 2020)</w:t>
            </w:r>
          </w:p>
          <w:p w:rsidR="00936D90" w:rsidRPr="000E4B06" w:rsidRDefault="00936D90" w:rsidP="00C70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Imam Asy-Syafi’i, </w:t>
            </w:r>
            <w:r w:rsidRPr="00936D90">
              <w:rPr>
                <w:rFonts w:asciiTheme="majorBidi" w:hAnsiTheme="majorBidi" w:cstheme="majorBidi"/>
                <w:i/>
                <w:iCs/>
                <w:sz w:val="24"/>
                <w:szCs w:val="24"/>
                <w:lang w:val="it-IT"/>
              </w:rPr>
              <w:t>Ar-Risalah</w:t>
            </w:r>
            <w:r>
              <w:rPr>
                <w:rFonts w:asciiTheme="majorBidi" w:hAnsiTheme="majorBidi" w:cstheme="majorBidi"/>
                <w:sz w:val="24"/>
                <w:szCs w:val="24"/>
                <w:lang w:val="it-IT"/>
              </w:rPr>
              <w:t>, (Jakarta, Pustaka Al-Kautsar, 2019)</w:t>
            </w:r>
          </w:p>
        </w:tc>
      </w:tr>
      <w:tr w:rsidR="00C70532" w:rsidRPr="001B7A08" w:rsidTr="003E4BFB">
        <w:tc>
          <w:tcPr>
            <w:tcW w:w="2268" w:type="dxa"/>
            <w:gridSpan w:val="2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8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999" w:type="dxa"/>
            <w:gridSpan w:val="13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LCD 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LKM</w:t>
            </w:r>
          </w:p>
        </w:tc>
      </w:tr>
      <w:tr w:rsidR="00C70532" w:rsidRPr="001B7A08" w:rsidTr="003E4BFB">
        <w:tc>
          <w:tcPr>
            <w:tcW w:w="2268" w:type="dxa"/>
            <w:gridSpan w:val="2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3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, M.H.I</w:t>
            </w:r>
          </w:p>
        </w:tc>
      </w:tr>
      <w:tr w:rsidR="00C70532" w:rsidRPr="001B7A08" w:rsidTr="003E4BFB">
        <w:tc>
          <w:tcPr>
            <w:tcW w:w="2268" w:type="dxa"/>
            <w:gridSpan w:val="2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999" w:type="dxa"/>
            <w:gridSpan w:val="13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sbg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583" w:type="dxa"/>
            <w:gridSpan w:val="4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2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4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C70532" w:rsidRPr="001B7A08" w:rsidTr="003E4BFB">
        <w:trPr>
          <w:trHeight w:val="1757"/>
        </w:trPr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gridSpan w:val="3"/>
          </w:tcPr>
          <w:p w:rsidR="00C70532" w:rsidRPr="001B7A08" w:rsidRDefault="00C70532" w:rsidP="003E4BF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erkuliahan</w:t>
            </w:r>
          </w:p>
          <w:p w:rsidR="00C70532" w:rsidRPr="00DE6F76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C70532" w:rsidRPr="00CB50D4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4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Pengenalan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Orientasi </w:t>
            </w:r>
          </w:p>
          <w:p w:rsidR="00C70532" w:rsidRPr="00672F20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9D3C07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C70532" w:rsidRPr="000F2CB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83" w:type="dxa"/>
            <w:gridSpan w:val="4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Diskusi terhadap konsep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867E0F" w:rsidRDefault="00C70532" w:rsidP="003E4BFB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C70532" w:rsidRPr="00BE1C2A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C70532" w:rsidRPr="003709BC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</w:t>
            </w:r>
            <w:r w:rsidRPr="00393E8A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617" w:type="dxa"/>
            <w:gridSpan w:val="2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393E8A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:rsidR="00C70532" w:rsidRPr="00DC7D7C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03B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F06679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777" w:type="dxa"/>
            <w:gridSpan w:val="2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03B5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9C03B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800A41" w:rsidRDefault="00C70532" w:rsidP="003E4BF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583" w:type="dxa"/>
            <w:gridSpan w:val="4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393E8A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C70532" w:rsidRPr="001B7A08" w:rsidTr="00BC2FC5">
        <w:trPr>
          <w:trHeight w:val="2237"/>
        </w:trPr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C70532" w:rsidRPr="00731B37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C70532" w:rsidRPr="00696046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393E8A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93E8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393E8A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Qiyas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syarat-syarat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pembagiannya</w:t>
            </w:r>
            <w:proofErr w:type="spellEnd"/>
          </w:p>
          <w:p w:rsidR="00C70532" w:rsidRPr="00361F9C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230" w:type="dxa"/>
            <w:gridSpan w:val="13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Tengah  Semester 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erikutnya</w:t>
            </w:r>
            <w:proofErr w:type="spellEnd"/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1C78CE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805" w:type="dxa"/>
            <w:gridSpan w:val="3"/>
          </w:tcPr>
          <w:p w:rsidR="00C70532" w:rsidRDefault="00C70532" w:rsidP="003E4BF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  <w:p w:rsidR="00C70532" w:rsidRPr="00652E83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maslahah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555" w:type="dxa"/>
            <w:gridSpan w:val="3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7E3192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aslahah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mursalah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7E31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3192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E3192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Pr="00571418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C70532" w:rsidRPr="00010AA7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Pr="007E763F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70532" w:rsidRPr="00BC2FC5" w:rsidRDefault="00C70532" w:rsidP="00BC2FC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emahami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</w:tc>
        <w:tc>
          <w:tcPr>
            <w:tcW w:w="1498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Pr="00010AA7" w:rsidRDefault="00C70532" w:rsidP="003E4BF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Sadd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Dzari’ah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 w:rsidRPr="00010A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0AA7">
              <w:rPr>
                <w:rFonts w:asciiTheme="majorBidi" w:hAnsiTheme="majorBidi" w:cstheme="majorBidi"/>
                <w:sz w:val="24"/>
                <w:szCs w:val="24"/>
              </w:rPr>
              <w:t>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10AA7">
              <w:rPr>
                <w:rFonts w:asciiTheme="majorBidi" w:hAnsiTheme="majorBidi" w:cstheme="majorBidi"/>
                <w:sz w:val="24"/>
                <w:szCs w:val="24"/>
              </w:rPr>
              <w:t>bath</w:t>
            </w:r>
            <w:proofErr w:type="spellEnd"/>
          </w:p>
          <w:p w:rsidR="00C70532" w:rsidRPr="00405E3D" w:rsidRDefault="00C70532" w:rsidP="003E4BF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0532" w:rsidRPr="00BC56EE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413CC4" w:rsidRDefault="00C70532" w:rsidP="003E4BFB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70532" w:rsidRPr="00BC2FC5" w:rsidRDefault="00C70532" w:rsidP="00BC2FC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498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4153EF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3911C4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70532" w:rsidRPr="00BC2FC5" w:rsidRDefault="00C70532" w:rsidP="00BC2FC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498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Istishab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DC7D7C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804995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70532" w:rsidRPr="00121551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istibath</w:t>
            </w:r>
            <w:proofErr w:type="spellEnd"/>
          </w:p>
        </w:tc>
        <w:tc>
          <w:tcPr>
            <w:tcW w:w="1498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Pr="00970EF5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Syar’u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Qablana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1" w:type="dxa"/>
            <w:gridSpan w:val="3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F84891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70532" w:rsidRPr="00B33DDC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498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Default="00C70532" w:rsidP="003E4B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shahabi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  <w:p w:rsidR="00C70532" w:rsidRPr="00970EF5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C70532" w:rsidRPr="007B3CC7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862" w:type="dxa"/>
            <w:gridSpan w:val="4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498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C70532" w:rsidRPr="00610AEE" w:rsidRDefault="00C70532" w:rsidP="003E4B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AE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proofErr w:type="spellStart"/>
            <w:r w:rsidRPr="00610AEE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52" w:type="dxa"/>
            <w:gridSpan w:val="2"/>
          </w:tcPr>
          <w:p w:rsidR="00C70532" w:rsidRPr="00DC7D7C" w:rsidRDefault="00C70532" w:rsidP="003E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Ijtihad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istinbath</w:t>
            </w:r>
            <w:proofErr w:type="spellEnd"/>
          </w:p>
        </w:tc>
        <w:tc>
          <w:tcPr>
            <w:tcW w:w="1186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C70532" w:rsidRPr="001B7A08" w:rsidTr="003E4BFB">
        <w:tc>
          <w:tcPr>
            <w:tcW w:w="851" w:type="dxa"/>
          </w:tcPr>
          <w:p w:rsidR="00C70532" w:rsidRPr="001B7A08" w:rsidRDefault="00C70532" w:rsidP="003E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3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ahasiswa</w:t>
            </w:r>
            <w:proofErr w:type="spellEnd"/>
          </w:p>
        </w:tc>
        <w:tc>
          <w:tcPr>
            <w:tcW w:w="1186" w:type="dxa"/>
          </w:tcPr>
          <w:p w:rsidR="00C70532" w:rsidRPr="001B7A08" w:rsidRDefault="00C70532" w:rsidP="003E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532" w:rsidRPr="00DC371D" w:rsidRDefault="00B22268" w:rsidP="00C70532">
      <w:pPr>
        <w:pStyle w:val="NoSpacing"/>
        <w:ind w:left="864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Bengkulu, 5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September </w:t>
      </w:r>
      <w:r w:rsidR="00C70532">
        <w:rPr>
          <w:rFonts w:asciiTheme="majorBidi" w:hAnsiTheme="majorBidi" w:cstheme="majorBidi"/>
          <w:sz w:val="24"/>
          <w:szCs w:val="24"/>
        </w:rPr>
        <w:t xml:space="preserve"> 2022</w:t>
      </w:r>
      <w:proofErr w:type="gramEnd"/>
    </w:p>
    <w:p w:rsidR="00C70532" w:rsidRPr="00DC371D" w:rsidRDefault="00C70532" w:rsidP="00C70532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C371D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DC371D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C70532" w:rsidRPr="00E83413" w:rsidRDefault="00C70532" w:rsidP="00C70532">
      <w:pPr>
        <w:pStyle w:val="NoSpacing"/>
      </w:pPr>
      <w:proofErr w:type="spellStart"/>
      <w:r>
        <w:rPr>
          <w:rFonts w:asciiTheme="majorBidi" w:hAnsiTheme="majorBidi" w:cstheme="majorBidi"/>
          <w:sz w:val="24"/>
          <w:szCs w:val="24"/>
        </w:rPr>
        <w:t>Kordinator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2268">
        <w:rPr>
          <w:rFonts w:asciiTheme="majorBidi" w:hAnsiTheme="majorBidi" w:cstheme="majorBidi"/>
          <w:sz w:val="24"/>
          <w:szCs w:val="24"/>
        </w:rPr>
        <w:t xml:space="preserve">Prodi </w:t>
      </w:r>
      <w:proofErr w:type="spellStart"/>
      <w:r w:rsidR="00B22268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B22268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="00B2226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B222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268">
        <w:rPr>
          <w:rFonts w:asciiTheme="majorBidi" w:hAnsiTheme="majorBidi" w:cstheme="majorBidi"/>
          <w:sz w:val="24"/>
          <w:szCs w:val="24"/>
        </w:rPr>
        <w:t>Tafsir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22268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7A6C8C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7A6C8C">
        <w:rPr>
          <w:rFonts w:asciiTheme="majorBidi" w:hAnsiTheme="majorBidi" w:cstheme="majorBidi"/>
        </w:rPr>
        <w:t xml:space="preserve"> </w:t>
      </w:r>
      <w:proofErr w:type="spellStart"/>
      <w:r w:rsidRPr="007A6C8C">
        <w:rPr>
          <w:rFonts w:asciiTheme="majorBidi" w:hAnsiTheme="majorBidi" w:cstheme="majorBidi"/>
        </w:rPr>
        <w:t>Pengampu</w:t>
      </w:r>
      <w:proofErr w:type="spellEnd"/>
    </w:p>
    <w:p w:rsidR="00C70532" w:rsidRDefault="00C70532" w:rsidP="00C70532">
      <w:pPr>
        <w:pStyle w:val="NoSpacing"/>
        <w:rPr>
          <w:rFonts w:ascii="Times New Roman" w:hAnsi="Times New Roman"/>
          <w:sz w:val="24"/>
          <w:szCs w:val="24"/>
        </w:rPr>
      </w:pPr>
    </w:p>
    <w:p w:rsidR="0076009C" w:rsidRDefault="0076009C" w:rsidP="00C70532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76009C" w:rsidRDefault="0076009C" w:rsidP="00C70532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70532" w:rsidRPr="009E4B14" w:rsidRDefault="00B22268" w:rsidP="00C7053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Syukraini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Ahmad</w:t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>, MA</w:t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</w:r>
      <w:r w:rsidR="00C70532" w:rsidRPr="009E4B14">
        <w:rPr>
          <w:rFonts w:ascii="Times New Roman" w:hAnsi="Times New Roman"/>
          <w:b/>
          <w:bCs/>
          <w:sz w:val="24"/>
          <w:szCs w:val="24"/>
        </w:rPr>
        <w:tab/>
        <w:t xml:space="preserve">Drs. H. </w:t>
      </w:r>
      <w:proofErr w:type="spellStart"/>
      <w:r w:rsidR="00C70532" w:rsidRPr="009E4B14">
        <w:rPr>
          <w:rFonts w:ascii="Times New Roman" w:hAnsi="Times New Roman"/>
          <w:b/>
          <w:bCs/>
          <w:sz w:val="24"/>
          <w:szCs w:val="24"/>
        </w:rPr>
        <w:t>Henderi</w:t>
      </w:r>
      <w:proofErr w:type="spellEnd"/>
      <w:r w:rsidR="00C70532" w:rsidRPr="009E4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70532" w:rsidRPr="009E4B14">
        <w:rPr>
          <w:rFonts w:ascii="Times New Roman" w:hAnsi="Times New Roman"/>
          <w:b/>
          <w:bCs/>
          <w:sz w:val="24"/>
          <w:szCs w:val="24"/>
        </w:rPr>
        <w:t>Kusmidi</w:t>
      </w:r>
      <w:proofErr w:type="spellEnd"/>
      <w:r w:rsidR="00C70532" w:rsidRPr="009E4B14">
        <w:rPr>
          <w:rFonts w:ascii="Times New Roman" w:hAnsi="Times New Roman"/>
          <w:b/>
          <w:bCs/>
          <w:sz w:val="24"/>
          <w:szCs w:val="24"/>
        </w:rPr>
        <w:t>, M.H.I</w:t>
      </w:r>
    </w:p>
    <w:p w:rsidR="00C70532" w:rsidRPr="009E4B14" w:rsidRDefault="00C70532" w:rsidP="00C70532">
      <w:pPr>
        <w:rPr>
          <w:b/>
          <w:bCs/>
        </w:rPr>
      </w:pPr>
      <w:r w:rsidRPr="009E4B14">
        <w:rPr>
          <w:rFonts w:ascii="Times New Roman" w:hAnsi="Times New Roman"/>
          <w:b/>
          <w:bCs/>
          <w:sz w:val="24"/>
          <w:szCs w:val="24"/>
        </w:rPr>
        <w:t>NIP</w:t>
      </w:r>
      <w:r w:rsidRPr="00E67C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. </w:t>
      </w:r>
      <w:r w:rsidR="00E67C1C" w:rsidRPr="00E67C1C">
        <w:rPr>
          <w:rFonts w:asciiTheme="majorBidi" w:hAnsiTheme="majorBidi" w:cstheme="majorBidi"/>
          <w:sz w:val="24"/>
          <w:szCs w:val="24"/>
          <w:shd w:val="clear" w:color="auto" w:fill="FFFFFF"/>
        </w:rPr>
        <w:t>197809062009121002</w:t>
      </w:r>
      <w:r w:rsidR="00E67C1C" w:rsidRPr="006E7CFC">
        <w:rPr>
          <w:rFonts w:asciiTheme="majorBidi" w:hAnsiTheme="majorBidi" w:cstheme="majorBidi"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  <w:lang w:val="id-ID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E4B14">
        <w:rPr>
          <w:rFonts w:ascii="Times New Roman" w:hAnsi="Times New Roman"/>
          <w:b/>
          <w:bCs/>
          <w:sz w:val="24"/>
          <w:szCs w:val="24"/>
        </w:rPr>
        <w:t>NIP. 196907061994031002</w:t>
      </w:r>
    </w:p>
    <w:p w:rsidR="00A94388" w:rsidRDefault="00A94388"/>
    <w:sectPr w:rsidR="00A94388" w:rsidSect="00C7053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EDE"/>
    <w:multiLevelType w:val="hybridMultilevel"/>
    <w:tmpl w:val="45589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2CE2"/>
    <w:multiLevelType w:val="hybridMultilevel"/>
    <w:tmpl w:val="8810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72115"/>
    <w:multiLevelType w:val="hybridMultilevel"/>
    <w:tmpl w:val="B962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32"/>
    <w:rsid w:val="000005CE"/>
    <w:rsid w:val="00002567"/>
    <w:rsid w:val="00004C1C"/>
    <w:rsid w:val="00007967"/>
    <w:rsid w:val="000118E8"/>
    <w:rsid w:val="00012757"/>
    <w:rsid w:val="00013123"/>
    <w:rsid w:val="000136CC"/>
    <w:rsid w:val="0001384A"/>
    <w:rsid w:val="000149B4"/>
    <w:rsid w:val="00021FDA"/>
    <w:rsid w:val="00026C76"/>
    <w:rsid w:val="00027948"/>
    <w:rsid w:val="000313BE"/>
    <w:rsid w:val="00034870"/>
    <w:rsid w:val="00035F24"/>
    <w:rsid w:val="000360B3"/>
    <w:rsid w:val="00037A70"/>
    <w:rsid w:val="000401F4"/>
    <w:rsid w:val="00040C2D"/>
    <w:rsid w:val="00041B04"/>
    <w:rsid w:val="000427E0"/>
    <w:rsid w:val="0005501F"/>
    <w:rsid w:val="000555AB"/>
    <w:rsid w:val="000609E6"/>
    <w:rsid w:val="000651C8"/>
    <w:rsid w:val="0007017D"/>
    <w:rsid w:val="00077CF0"/>
    <w:rsid w:val="0008031B"/>
    <w:rsid w:val="00080839"/>
    <w:rsid w:val="000822BB"/>
    <w:rsid w:val="00082488"/>
    <w:rsid w:val="00083636"/>
    <w:rsid w:val="00083ACE"/>
    <w:rsid w:val="00084863"/>
    <w:rsid w:val="00085CE8"/>
    <w:rsid w:val="00087CEA"/>
    <w:rsid w:val="000904F8"/>
    <w:rsid w:val="000905A4"/>
    <w:rsid w:val="00097B50"/>
    <w:rsid w:val="00097CDF"/>
    <w:rsid w:val="000A00B1"/>
    <w:rsid w:val="000A03AA"/>
    <w:rsid w:val="000A26A0"/>
    <w:rsid w:val="000A2B8E"/>
    <w:rsid w:val="000A4C8D"/>
    <w:rsid w:val="000A5023"/>
    <w:rsid w:val="000A5344"/>
    <w:rsid w:val="000B2D0E"/>
    <w:rsid w:val="000B5469"/>
    <w:rsid w:val="000B6DF7"/>
    <w:rsid w:val="000B789A"/>
    <w:rsid w:val="000C04BE"/>
    <w:rsid w:val="000C2944"/>
    <w:rsid w:val="000C357E"/>
    <w:rsid w:val="000C50D9"/>
    <w:rsid w:val="000C6F73"/>
    <w:rsid w:val="000D0B3B"/>
    <w:rsid w:val="000D193D"/>
    <w:rsid w:val="000D3007"/>
    <w:rsid w:val="000D3459"/>
    <w:rsid w:val="000D3C98"/>
    <w:rsid w:val="000D43A9"/>
    <w:rsid w:val="000D5585"/>
    <w:rsid w:val="000D79DE"/>
    <w:rsid w:val="000D7AB1"/>
    <w:rsid w:val="000E1298"/>
    <w:rsid w:val="000E28CD"/>
    <w:rsid w:val="000E44EF"/>
    <w:rsid w:val="000E762D"/>
    <w:rsid w:val="000E7B30"/>
    <w:rsid w:val="000F06D8"/>
    <w:rsid w:val="000F091A"/>
    <w:rsid w:val="000F1F16"/>
    <w:rsid w:val="000F6D2E"/>
    <w:rsid w:val="00100FD4"/>
    <w:rsid w:val="001030B9"/>
    <w:rsid w:val="00106FF7"/>
    <w:rsid w:val="001076D3"/>
    <w:rsid w:val="00114C89"/>
    <w:rsid w:val="0012005E"/>
    <w:rsid w:val="00121A64"/>
    <w:rsid w:val="00121EC1"/>
    <w:rsid w:val="001231FE"/>
    <w:rsid w:val="00123C5E"/>
    <w:rsid w:val="00124A0D"/>
    <w:rsid w:val="0013112C"/>
    <w:rsid w:val="0013492C"/>
    <w:rsid w:val="001378C3"/>
    <w:rsid w:val="001439A9"/>
    <w:rsid w:val="001446E6"/>
    <w:rsid w:val="00146D61"/>
    <w:rsid w:val="00147BB7"/>
    <w:rsid w:val="0015023C"/>
    <w:rsid w:val="0015167E"/>
    <w:rsid w:val="00152720"/>
    <w:rsid w:val="00153726"/>
    <w:rsid w:val="00154901"/>
    <w:rsid w:val="00155621"/>
    <w:rsid w:val="00161143"/>
    <w:rsid w:val="00162533"/>
    <w:rsid w:val="001633ED"/>
    <w:rsid w:val="001639B4"/>
    <w:rsid w:val="00164352"/>
    <w:rsid w:val="00165F41"/>
    <w:rsid w:val="001661E2"/>
    <w:rsid w:val="0016644A"/>
    <w:rsid w:val="00166669"/>
    <w:rsid w:val="001667B7"/>
    <w:rsid w:val="00167ED1"/>
    <w:rsid w:val="00172223"/>
    <w:rsid w:val="00174010"/>
    <w:rsid w:val="00181B59"/>
    <w:rsid w:val="0018200D"/>
    <w:rsid w:val="001854F0"/>
    <w:rsid w:val="00186D3C"/>
    <w:rsid w:val="001874D0"/>
    <w:rsid w:val="00187FD7"/>
    <w:rsid w:val="00191794"/>
    <w:rsid w:val="001938ED"/>
    <w:rsid w:val="001940FF"/>
    <w:rsid w:val="001956BC"/>
    <w:rsid w:val="00196901"/>
    <w:rsid w:val="00197BA2"/>
    <w:rsid w:val="001A1ECA"/>
    <w:rsid w:val="001A4560"/>
    <w:rsid w:val="001A6E50"/>
    <w:rsid w:val="001A7F62"/>
    <w:rsid w:val="001B291A"/>
    <w:rsid w:val="001B49E8"/>
    <w:rsid w:val="001B67B5"/>
    <w:rsid w:val="001B7A57"/>
    <w:rsid w:val="001C25B3"/>
    <w:rsid w:val="001C31CC"/>
    <w:rsid w:val="001C5A71"/>
    <w:rsid w:val="001D10D9"/>
    <w:rsid w:val="001D2D56"/>
    <w:rsid w:val="001D3D98"/>
    <w:rsid w:val="001D4700"/>
    <w:rsid w:val="001D53B2"/>
    <w:rsid w:val="001D71B6"/>
    <w:rsid w:val="001E18AB"/>
    <w:rsid w:val="001E335E"/>
    <w:rsid w:val="001E4664"/>
    <w:rsid w:val="001F43C5"/>
    <w:rsid w:val="001F567E"/>
    <w:rsid w:val="001F683E"/>
    <w:rsid w:val="001F7AA1"/>
    <w:rsid w:val="00201A5E"/>
    <w:rsid w:val="0020268E"/>
    <w:rsid w:val="0020572C"/>
    <w:rsid w:val="00207D61"/>
    <w:rsid w:val="00212C3A"/>
    <w:rsid w:val="00217F87"/>
    <w:rsid w:val="00222C97"/>
    <w:rsid w:val="00225389"/>
    <w:rsid w:val="00226758"/>
    <w:rsid w:val="00231167"/>
    <w:rsid w:val="00231E10"/>
    <w:rsid w:val="002332A8"/>
    <w:rsid w:val="0023351F"/>
    <w:rsid w:val="002365D0"/>
    <w:rsid w:val="00241949"/>
    <w:rsid w:val="002419F2"/>
    <w:rsid w:val="00242168"/>
    <w:rsid w:val="00243530"/>
    <w:rsid w:val="00244DC1"/>
    <w:rsid w:val="002476EB"/>
    <w:rsid w:val="00251B7F"/>
    <w:rsid w:val="00252971"/>
    <w:rsid w:val="002547B2"/>
    <w:rsid w:val="0026300A"/>
    <w:rsid w:val="00270003"/>
    <w:rsid w:val="002702C5"/>
    <w:rsid w:val="002721E3"/>
    <w:rsid w:val="0027256B"/>
    <w:rsid w:val="00272E24"/>
    <w:rsid w:val="00273924"/>
    <w:rsid w:val="0027446C"/>
    <w:rsid w:val="00275E68"/>
    <w:rsid w:val="00276181"/>
    <w:rsid w:val="0027716D"/>
    <w:rsid w:val="0028085B"/>
    <w:rsid w:val="0028125C"/>
    <w:rsid w:val="002858F9"/>
    <w:rsid w:val="00286081"/>
    <w:rsid w:val="002861CA"/>
    <w:rsid w:val="00286ACD"/>
    <w:rsid w:val="00287695"/>
    <w:rsid w:val="0028789D"/>
    <w:rsid w:val="002905E2"/>
    <w:rsid w:val="00290838"/>
    <w:rsid w:val="00291FA5"/>
    <w:rsid w:val="0029452D"/>
    <w:rsid w:val="00295756"/>
    <w:rsid w:val="00295DDD"/>
    <w:rsid w:val="00296C57"/>
    <w:rsid w:val="002976B6"/>
    <w:rsid w:val="002A5020"/>
    <w:rsid w:val="002A5E9B"/>
    <w:rsid w:val="002A68B2"/>
    <w:rsid w:val="002B2014"/>
    <w:rsid w:val="002B4707"/>
    <w:rsid w:val="002B4DC5"/>
    <w:rsid w:val="002B5D33"/>
    <w:rsid w:val="002B7D9A"/>
    <w:rsid w:val="002C06A6"/>
    <w:rsid w:val="002D011A"/>
    <w:rsid w:val="002D1038"/>
    <w:rsid w:val="002D1559"/>
    <w:rsid w:val="002D2053"/>
    <w:rsid w:val="002D2B09"/>
    <w:rsid w:val="002D2BAB"/>
    <w:rsid w:val="002D4823"/>
    <w:rsid w:val="002D4EDA"/>
    <w:rsid w:val="002D61BA"/>
    <w:rsid w:val="002E1871"/>
    <w:rsid w:val="002E22C3"/>
    <w:rsid w:val="002E5F87"/>
    <w:rsid w:val="002F413F"/>
    <w:rsid w:val="002F520E"/>
    <w:rsid w:val="002F572F"/>
    <w:rsid w:val="002F5806"/>
    <w:rsid w:val="0030116C"/>
    <w:rsid w:val="00301E0B"/>
    <w:rsid w:val="003077AA"/>
    <w:rsid w:val="00307DF2"/>
    <w:rsid w:val="00311653"/>
    <w:rsid w:val="003143C6"/>
    <w:rsid w:val="003154A2"/>
    <w:rsid w:val="00316D19"/>
    <w:rsid w:val="003174B7"/>
    <w:rsid w:val="003242EE"/>
    <w:rsid w:val="00325A9F"/>
    <w:rsid w:val="003314BE"/>
    <w:rsid w:val="003318C8"/>
    <w:rsid w:val="003319D9"/>
    <w:rsid w:val="003339BE"/>
    <w:rsid w:val="00334389"/>
    <w:rsid w:val="00336E4A"/>
    <w:rsid w:val="00340D19"/>
    <w:rsid w:val="003419A7"/>
    <w:rsid w:val="0034481F"/>
    <w:rsid w:val="0035323F"/>
    <w:rsid w:val="003553B1"/>
    <w:rsid w:val="00356241"/>
    <w:rsid w:val="00366AD5"/>
    <w:rsid w:val="00370E46"/>
    <w:rsid w:val="00375AE4"/>
    <w:rsid w:val="003776C6"/>
    <w:rsid w:val="00380454"/>
    <w:rsid w:val="003850EE"/>
    <w:rsid w:val="003873BD"/>
    <w:rsid w:val="00392F6A"/>
    <w:rsid w:val="0039377A"/>
    <w:rsid w:val="003946F4"/>
    <w:rsid w:val="00395849"/>
    <w:rsid w:val="00397FF1"/>
    <w:rsid w:val="003A00CC"/>
    <w:rsid w:val="003A197F"/>
    <w:rsid w:val="003A3F14"/>
    <w:rsid w:val="003A61DA"/>
    <w:rsid w:val="003B0209"/>
    <w:rsid w:val="003B04D0"/>
    <w:rsid w:val="003B28C4"/>
    <w:rsid w:val="003B29EB"/>
    <w:rsid w:val="003B2D9C"/>
    <w:rsid w:val="003B392F"/>
    <w:rsid w:val="003B45F1"/>
    <w:rsid w:val="003B7EE4"/>
    <w:rsid w:val="003C11CA"/>
    <w:rsid w:val="003C2721"/>
    <w:rsid w:val="003C33D7"/>
    <w:rsid w:val="003C4CA4"/>
    <w:rsid w:val="003C5DD1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3F6DAC"/>
    <w:rsid w:val="004014F5"/>
    <w:rsid w:val="0040387A"/>
    <w:rsid w:val="00410D35"/>
    <w:rsid w:val="00411486"/>
    <w:rsid w:val="00414BF0"/>
    <w:rsid w:val="00414DB2"/>
    <w:rsid w:val="00421309"/>
    <w:rsid w:val="00422F87"/>
    <w:rsid w:val="00423735"/>
    <w:rsid w:val="00424960"/>
    <w:rsid w:val="004263CB"/>
    <w:rsid w:val="004276C5"/>
    <w:rsid w:val="004318D6"/>
    <w:rsid w:val="00434694"/>
    <w:rsid w:val="00435A61"/>
    <w:rsid w:val="0043757D"/>
    <w:rsid w:val="004409D0"/>
    <w:rsid w:val="00440D52"/>
    <w:rsid w:val="00442F35"/>
    <w:rsid w:val="00445460"/>
    <w:rsid w:val="004456B6"/>
    <w:rsid w:val="00454341"/>
    <w:rsid w:val="00464B87"/>
    <w:rsid w:val="00471E64"/>
    <w:rsid w:val="00472FEE"/>
    <w:rsid w:val="00473895"/>
    <w:rsid w:val="00476AF2"/>
    <w:rsid w:val="00480820"/>
    <w:rsid w:val="0048109C"/>
    <w:rsid w:val="00483037"/>
    <w:rsid w:val="00485E50"/>
    <w:rsid w:val="004870FB"/>
    <w:rsid w:val="00491D0C"/>
    <w:rsid w:val="004927E0"/>
    <w:rsid w:val="00493110"/>
    <w:rsid w:val="00494243"/>
    <w:rsid w:val="004A0703"/>
    <w:rsid w:val="004A0C34"/>
    <w:rsid w:val="004A3B93"/>
    <w:rsid w:val="004A4295"/>
    <w:rsid w:val="004A6477"/>
    <w:rsid w:val="004B2D01"/>
    <w:rsid w:val="004B3CB8"/>
    <w:rsid w:val="004B48BB"/>
    <w:rsid w:val="004B579F"/>
    <w:rsid w:val="004C1854"/>
    <w:rsid w:val="004C2964"/>
    <w:rsid w:val="004C2AF2"/>
    <w:rsid w:val="004C3E86"/>
    <w:rsid w:val="004C577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F0C69"/>
    <w:rsid w:val="004F578B"/>
    <w:rsid w:val="004F5F21"/>
    <w:rsid w:val="00500C73"/>
    <w:rsid w:val="00502C77"/>
    <w:rsid w:val="00506F19"/>
    <w:rsid w:val="005119B4"/>
    <w:rsid w:val="00512723"/>
    <w:rsid w:val="005141EF"/>
    <w:rsid w:val="005159D7"/>
    <w:rsid w:val="00516B3A"/>
    <w:rsid w:val="00517834"/>
    <w:rsid w:val="00517B53"/>
    <w:rsid w:val="0052185F"/>
    <w:rsid w:val="00522C49"/>
    <w:rsid w:val="00525177"/>
    <w:rsid w:val="00525508"/>
    <w:rsid w:val="005260B4"/>
    <w:rsid w:val="00527962"/>
    <w:rsid w:val="005352F8"/>
    <w:rsid w:val="005375D4"/>
    <w:rsid w:val="00537BB8"/>
    <w:rsid w:val="00542FAA"/>
    <w:rsid w:val="005433C2"/>
    <w:rsid w:val="005456FF"/>
    <w:rsid w:val="00545A48"/>
    <w:rsid w:val="00546432"/>
    <w:rsid w:val="00556EEE"/>
    <w:rsid w:val="00557146"/>
    <w:rsid w:val="0056141F"/>
    <w:rsid w:val="00561D5F"/>
    <w:rsid w:val="00562E1D"/>
    <w:rsid w:val="00563AD8"/>
    <w:rsid w:val="00566355"/>
    <w:rsid w:val="00567925"/>
    <w:rsid w:val="0057075B"/>
    <w:rsid w:val="00570FBD"/>
    <w:rsid w:val="00571AAF"/>
    <w:rsid w:val="00575ED4"/>
    <w:rsid w:val="00576E38"/>
    <w:rsid w:val="00580122"/>
    <w:rsid w:val="0058161E"/>
    <w:rsid w:val="00582ED6"/>
    <w:rsid w:val="00583C7C"/>
    <w:rsid w:val="005847FA"/>
    <w:rsid w:val="00585027"/>
    <w:rsid w:val="00590972"/>
    <w:rsid w:val="005921EF"/>
    <w:rsid w:val="00595BDD"/>
    <w:rsid w:val="005A0C6D"/>
    <w:rsid w:val="005A60A1"/>
    <w:rsid w:val="005A7B5E"/>
    <w:rsid w:val="005B1D5B"/>
    <w:rsid w:val="005B30DB"/>
    <w:rsid w:val="005B74D1"/>
    <w:rsid w:val="005B7850"/>
    <w:rsid w:val="005B7D4C"/>
    <w:rsid w:val="005C3BAF"/>
    <w:rsid w:val="005C3C21"/>
    <w:rsid w:val="005C40E1"/>
    <w:rsid w:val="005C4F6D"/>
    <w:rsid w:val="005D36B4"/>
    <w:rsid w:val="005E1BBE"/>
    <w:rsid w:val="005E5441"/>
    <w:rsid w:val="005E61E9"/>
    <w:rsid w:val="005E6E90"/>
    <w:rsid w:val="005E78FA"/>
    <w:rsid w:val="005F0C57"/>
    <w:rsid w:val="005F2A4A"/>
    <w:rsid w:val="005F4554"/>
    <w:rsid w:val="005F542D"/>
    <w:rsid w:val="00601B84"/>
    <w:rsid w:val="00610122"/>
    <w:rsid w:val="00610DD5"/>
    <w:rsid w:val="0061252A"/>
    <w:rsid w:val="00613567"/>
    <w:rsid w:val="00613A95"/>
    <w:rsid w:val="00616CEE"/>
    <w:rsid w:val="00616F4B"/>
    <w:rsid w:val="006260B9"/>
    <w:rsid w:val="006265D9"/>
    <w:rsid w:val="00626C00"/>
    <w:rsid w:val="00627700"/>
    <w:rsid w:val="006315AB"/>
    <w:rsid w:val="0063182C"/>
    <w:rsid w:val="00632901"/>
    <w:rsid w:val="00634B16"/>
    <w:rsid w:val="00634E3C"/>
    <w:rsid w:val="00635264"/>
    <w:rsid w:val="006366AB"/>
    <w:rsid w:val="0064026B"/>
    <w:rsid w:val="00641221"/>
    <w:rsid w:val="006415C8"/>
    <w:rsid w:val="00646A87"/>
    <w:rsid w:val="00651E08"/>
    <w:rsid w:val="00652353"/>
    <w:rsid w:val="00656285"/>
    <w:rsid w:val="006573A2"/>
    <w:rsid w:val="006607BF"/>
    <w:rsid w:val="00664604"/>
    <w:rsid w:val="00666115"/>
    <w:rsid w:val="00671239"/>
    <w:rsid w:val="00671B8F"/>
    <w:rsid w:val="006746A2"/>
    <w:rsid w:val="00676C63"/>
    <w:rsid w:val="0068197A"/>
    <w:rsid w:val="00681E22"/>
    <w:rsid w:val="0068204E"/>
    <w:rsid w:val="006825E5"/>
    <w:rsid w:val="006831BE"/>
    <w:rsid w:val="00683976"/>
    <w:rsid w:val="00686AE0"/>
    <w:rsid w:val="00695D26"/>
    <w:rsid w:val="0069715B"/>
    <w:rsid w:val="00697A31"/>
    <w:rsid w:val="00697D52"/>
    <w:rsid w:val="006A28D7"/>
    <w:rsid w:val="006A2EBD"/>
    <w:rsid w:val="006A5590"/>
    <w:rsid w:val="006A56DF"/>
    <w:rsid w:val="006A5AF7"/>
    <w:rsid w:val="006A67A4"/>
    <w:rsid w:val="006B252A"/>
    <w:rsid w:val="006C1A9B"/>
    <w:rsid w:val="006C2251"/>
    <w:rsid w:val="006C2CB0"/>
    <w:rsid w:val="006C31EC"/>
    <w:rsid w:val="006C416E"/>
    <w:rsid w:val="006C6DCD"/>
    <w:rsid w:val="006C77F5"/>
    <w:rsid w:val="006D1289"/>
    <w:rsid w:val="006E31CA"/>
    <w:rsid w:val="006E3FC4"/>
    <w:rsid w:val="006E60C2"/>
    <w:rsid w:val="006E6DBA"/>
    <w:rsid w:val="006F47A2"/>
    <w:rsid w:val="00701A3F"/>
    <w:rsid w:val="00702C19"/>
    <w:rsid w:val="00704D9A"/>
    <w:rsid w:val="0071104D"/>
    <w:rsid w:val="00711B37"/>
    <w:rsid w:val="007122F3"/>
    <w:rsid w:val="007128CD"/>
    <w:rsid w:val="00721257"/>
    <w:rsid w:val="0072152F"/>
    <w:rsid w:val="00722692"/>
    <w:rsid w:val="00723D20"/>
    <w:rsid w:val="007249EE"/>
    <w:rsid w:val="00724D83"/>
    <w:rsid w:val="0072627F"/>
    <w:rsid w:val="00740DF8"/>
    <w:rsid w:val="0074238B"/>
    <w:rsid w:val="00743892"/>
    <w:rsid w:val="007446D4"/>
    <w:rsid w:val="007456FC"/>
    <w:rsid w:val="00751149"/>
    <w:rsid w:val="007545A3"/>
    <w:rsid w:val="0075605F"/>
    <w:rsid w:val="00756567"/>
    <w:rsid w:val="0076009C"/>
    <w:rsid w:val="00760470"/>
    <w:rsid w:val="00762378"/>
    <w:rsid w:val="00764BDC"/>
    <w:rsid w:val="00764D34"/>
    <w:rsid w:val="00764DC0"/>
    <w:rsid w:val="00770148"/>
    <w:rsid w:val="0077107A"/>
    <w:rsid w:val="007712FB"/>
    <w:rsid w:val="0077520A"/>
    <w:rsid w:val="007764DE"/>
    <w:rsid w:val="00776738"/>
    <w:rsid w:val="0078017A"/>
    <w:rsid w:val="0078422E"/>
    <w:rsid w:val="007849EB"/>
    <w:rsid w:val="00785102"/>
    <w:rsid w:val="007853FC"/>
    <w:rsid w:val="0078709E"/>
    <w:rsid w:val="00791BC2"/>
    <w:rsid w:val="00791CF9"/>
    <w:rsid w:val="00793035"/>
    <w:rsid w:val="00794F90"/>
    <w:rsid w:val="007A310B"/>
    <w:rsid w:val="007A3C89"/>
    <w:rsid w:val="007B1E3A"/>
    <w:rsid w:val="007B3736"/>
    <w:rsid w:val="007B4638"/>
    <w:rsid w:val="007B6658"/>
    <w:rsid w:val="007B784D"/>
    <w:rsid w:val="007C2645"/>
    <w:rsid w:val="007C39BE"/>
    <w:rsid w:val="007C5B25"/>
    <w:rsid w:val="007C5E9D"/>
    <w:rsid w:val="007D15CA"/>
    <w:rsid w:val="007D24A9"/>
    <w:rsid w:val="007D2F69"/>
    <w:rsid w:val="007D4FF8"/>
    <w:rsid w:val="007D5B19"/>
    <w:rsid w:val="007D7796"/>
    <w:rsid w:val="007E0BA0"/>
    <w:rsid w:val="007E0E7B"/>
    <w:rsid w:val="007E3AE7"/>
    <w:rsid w:val="007E4B2B"/>
    <w:rsid w:val="007E5675"/>
    <w:rsid w:val="007E7EFA"/>
    <w:rsid w:val="007F0918"/>
    <w:rsid w:val="007F119E"/>
    <w:rsid w:val="007F21E6"/>
    <w:rsid w:val="007F5C6B"/>
    <w:rsid w:val="007F72B1"/>
    <w:rsid w:val="0080016E"/>
    <w:rsid w:val="00800CD8"/>
    <w:rsid w:val="00801221"/>
    <w:rsid w:val="0080448F"/>
    <w:rsid w:val="008119E7"/>
    <w:rsid w:val="00814BB4"/>
    <w:rsid w:val="0081612E"/>
    <w:rsid w:val="008164A1"/>
    <w:rsid w:val="00817BF4"/>
    <w:rsid w:val="00817C91"/>
    <w:rsid w:val="008205F0"/>
    <w:rsid w:val="00826D3D"/>
    <w:rsid w:val="0082708B"/>
    <w:rsid w:val="008271F7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9FF"/>
    <w:rsid w:val="008564A0"/>
    <w:rsid w:val="00856A13"/>
    <w:rsid w:val="0085700C"/>
    <w:rsid w:val="0086031D"/>
    <w:rsid w:val="00860B62"/>
    <w:rsid w:val="00861E0F"/>
    <w:rsid w:val="00871011"/>
    <w:rsid w:val="00871C02"/>
    <w:rsid w:val="00873748"/>
    <w:rsid w:val="00874C79"/>
    <w:rsid w:val="00876F8F"/>
    <w:rsid w:val="008777E9"/>
    <w:rsid w:val="00881872"/>
    <w:rsid w:val="00882B12"/>
    <w:rsid w:val="00882D0B"/>
    <w:rsid w:val="0088537F"/>
    <w:rsid w:val="00886257"/>
    <w:rsid w:val="0089140F"/>
    <w:rsid w:val="0089377D"/>
    <w:rsid w:val="00896522"/>
    <w:rsid w:val="008A1963"/>
    <w:rsid w:val="008A247C"/>
    <w:rsid w:val="008A34E3"/>
    <w:rsid w:val="008B426B"/>
    <w:rsid w:val="008C0718"/>
    <w:rsid w:val="008C0D4A"/>
    <w:rsid w:val="008D20A0"/>
    <w:rsid w:val="008D319A"/>
    <w:rsid w:val="008D4EA7"/>
    <w:rsid w:val="008D61EE"/>
    <w:rsid w:val="008D6CCA"/>
    <w:rsid w:val="008E1858"/>
    <w:rsid w:val="008E3F9D"/>
    <w:rsid w:val="008E45D5"/>
    <w:rsid w:val="008E5C24"/>
    <w:rsid w:val="008E69A3"/>
    <w:rsid w:val="008F063E"/>
    <w:rsid w:val="008F2191"/>
    <w:rsid w:val="008F2C17"/>
    <w:rsid w:val="00906094"/>
    <w:rsid w:val="00906509"/>
    <w:rsid w:val="00907EE7"/>
    <w:rsid w:val="0091101A"/>
    <w:rsid w:val="009137E1"/>
    <w:rsid w:val="00913A95"/>
    <w:rsid w:val="00913DF6"/>
    <w:rsid w:val="0091407E"/>
    <w:rsid w:val="00920145"/>
    <w:rsid w:val="009209A6"/>
    <w:rsid w:val="0092137E"/>
    <w:rsid w:val="00921A74"/>
    <w:rsid w:val="00921BA6"/>
    <w:rsid w:val="00922BA3"/>
    <w:rsid w:val="00924C19"/>
    <w:rsid w:val="00927115"/>
    <w:rsid w:val="00930006"/>
    <w:rsid w:val="00932D54"/>
    <w:rsid w:val="009331FA"/>
    <w:rsid w:val="009346DC"/>
    <w:rsid w:val="00935884"/>
    <w:rsid w:val="00936D90"/>
    <w:rsid w:val="00941F2E"/>
    <w:rsid w:val="00943809"/>
    <w:rsid w:val="00944879"/>
    <w:rsid w:val="0094555B"/>
    <w:rsid w:val="0094645C"/>
    <w:rsid w:val="00946FF7"/>
    <w:rsid w:val="00947392"/>
    <w:rsid w:val="00952CC4"/>
    <w:rsid w:val="009559DC"/>
    <w:rsid w:val="00960541"/>
    <w:rsid w:val="00960D67"/>
    <w:rsid w:val="009625CD"/>
    <w:rsid w:val="009666FB"/>
    <w:rsid w:val="00971DBD"/>
    <w:rsid w:val="00975C3E"/>
    <w:rsid w:val="0098268C"/>
    <w:rsid w:val="00984AFB"/>
    <w:rsid w:val="00987E25"/>
    <w:rsid w:val="009924ED"/>
    <w:rsid w:val="0099361A"/>
    <w:rsid w:val="00995E27"/>
    <w:rsid w:val="009A289C"/>
    <w:rsid w:val="009B31F7"/>
    <w:rsid w:val="009B5196"/>
    <w:rsid w:val="009B5395"/>
    <w:rsid w:val="009B5688"/>
    <w:rsid w:val="009B7A8C"/>
    <w:rsid w:val="009C04C3"/>
    <w:rsid w:val="009C3097"/>
    <w:rsid w:val="009D0EE7"/>
    <w:rsid w:val="009E20FB"/>
    <w:rsid w:val="009E514D"/>
    <w:rsid w:val="009E51AE"/>
    <w:rsid w:val="009E720A"/>
    <w:rsid w:val="009E7E67"/>
    <w:rsid w:val="009F1257"/>
    <w:rsid w:val="009F1EDC"/>
    <w:rsid w:val="009F7287"/>
    <w:rsid w:val="00A00E35"/>
    <w:rsid w:val="00A03F95"/>
    <w:rsid w:val="00A04BF9"/>
    <w:rsid w:val="00A05D69"/>
    <w:rsid w:val="00A07223"/>
    <w:rsid w:val="00A10294"/>
    <w:rsid w:val="00A10FCD"/>
    <w:rsid w:val="00A129FA"/>
    <w:rsid w:val="00A139F8"/>
    <w:rsid w:val="00A1541D"/>
    <w:rsid w:val="00A212F6"/>
    <w:rsid w:val="00A21FEB"/>
    <w:rsid w:val="00A240B5"/>
    <w:rsid w:val="00A276CD"/>
    <w:rsid w:val="00A329B5"/>
    <w:rsid w:val="00A36D8F"/>
    <w:rsid w:val="00A371CE"/>
    <w:rsid w:val="00A40AA6"/>
    <w:rsid w:val="00A428D4"/>
    <w:rsid w:val="00A4310A"/>
    <w:rsid w:val="00A46643"/>
    <w:rsid w:val="00A47BAF"/>
    <w:rsid w:val="00A50AEB"/>
    <w:rsid w:val="00A539A2"/>
    <w:rsid w:val="00A539C0"/>
    <w:rsid w:val="00A54DCC"/>
    <w:rsid w:val="00A5768A"/>
    <w:rsid w:val="00A57907"/>
    <w:rsid w:val="00A617B4"/>
    <w:rsid w:val="00A64390"/>
    <w:rsid w:val="00A7050C"/>
    <w:rsid w:val="00A8017E"/>
    <w:rsid w:val="00A80EFE"/>
    <w:rsid w:val="00A814BD"/>
    <w:rsid w:val="00A825E2"/>
    <w:rsid w:val="00A85506"/>
    <w:rsid w:val="00A93287"/>
    <w:rsid w:val="00A93675"/>
    <w:rsid w:val="00A94388"/>
    <w:rsid w:val="00A95C00"/>
    <w:rsid w:val="00A96F5D"/>
    <w:rsid w:val="00AA40CC"/>
    <w:rsid w:val="00AA440D"/>
    <w:rsid w:val="00AA6460"/>
    <w:rsid w:val="00AA753F"/>
    <w:rsid w:val="00AB27FE"/>
    <w:rsid w:val="00AB6931"/>
    <w:rsid w:val="00AC07A8"/>
    <w:rsid w:val="00AC21E5"/>
    <w:rsid w:val="00AC5C82"/>
    <w:rsid w:val="00AC6E49"/>
    <w:rsid w:val="00AD4B36"/>
    <w:rsid w:val="00AD4FC0"/>
    <w:rsid w:val="00AD6310"/>
    <w:rsid w:val="00AD646F"/>
    <w:rsid w:val="00AD7CDB"/>
    <w:rsid w:val="00AE4286"/>
    <w:rsid w:val="00AE7E25"/>
    <w:rsid w:val="00AF178A"/>
    <w:rsid w:val="00AF51F7"/>
    <w:rsid w:val="00AF612B"/>
    <w:rsid w:val="00AF647C"/>
    <w:rsid w:val="00AF6770"/>
    <w:rsid w:val="00B01BD0"/>
    <w:rsid w:val="00B02BF4"/>
    <w:rsid w:val="00B038AF"/>
    <w:rsid w:val="00B04A45"/>
    <w:rsid w:val="00B07364"/>
    <w:rsid w:val="00B12642"/>
    <w:rsid w:val="00B13BA4"/>
    <w:rsid w:val="00B141BF"/>
    <w:rsid w:val="00B15D71"/>
    <w:rsid w:val="00B17659"/>
    <w:rsid w:val="00B22184"/>
    <w:rsid w:val="00B22268"/>
    <w:rsid w:val="00B2282F"/>
    <w:rsid w:val="00B2297A"/>
    <w:rsid w:val="00B24765"/>
    <w:rsid w:val="00B2695E"/>
    <w:rsid w:val="00B279B4"/>
    <w:rsid w:val="00B27ABF"/>
    <w:rsid w:val="00B27BD5"/>
    <w:rsid w:val="00B324A8"/>
    <w:rsid w:val="00B33963"/>
    <w:rsid w:val="00B33C92"/>
    <w:rsid w:val="00B37A62"/>
    <w:rsid w:val="00B413AA"/>
    <w:rsid w:val="00B41805"/>
    <w:rsid w:val="00B429B3"/>
    <w:rsid w:val="00B432B9"/>
    <w:rsid w:val="00B4518C"/>
    <w:rsid w:val="00B45372"/>
    <w:rsid w:val="00B51DEE"/>
    <w:rsid w:val="00B53B5B"/>
    <w:rsid w:val="00B54629"/>
    <w:rsid w:val="00B554AD"/>
    <w:rsid w:val="00B55DA4"/>
    <w:rsid w:val="00B5751B"/>
    <w:rsid w:val="00B57F92"/>
    <w:rsid w:val="00B6060B"/>
    <w:rsid w:val="00B61E8F"/>
    <w:rsid w:val="00B624A7"/>
    <w:rsid w:val="00B62640"/>
    <w:rsid w:val="00B6652F"/>
    <w:rsid w:val="00B72F57"/>
    <w:rsid w:val="00B7463C"/>
    <w:rsid w:val="00B76733"/>
    <w:rsid w:val="00B77652"/>
    <w:rsid w:val="00B77D66"/>
    <w:rsid w:val="00B82EDB"/>
    <w:rsid w:val="00B8337F"/>
    <w:rsid w:val="00B8512E"/>
    <w:rsid w:val="00B85A26"/>
    <w:rsid w:val="00B86D94"/>
    <w:rsid w:val="00B86E39"/>
    <w:rsid w:val="00B87092"/>
    <w:rsid w:val="00B921B3"/>
    <w:rsid w:val="00B930A7"/>
    <w:rsid w:val="00B93457"/>
    <w:rsid w:val="00B93A0B"/>
    <w:rsid w:val="00B94443"/>
    <w:rsid w:val="00B94564"/>
    <w:rsid w:val="00B9665F"/>
    <w:rsid w:val="00BA0C01"/>
    <w:rsid w:val="00BA163C"/>
    <w:rsid w:val="00BA612D"/>
    <w:rsid w:val="00BB3DB2"/>
    <w:rsid w:val="00BB4241"/>
    <w:rsid w:val="00BB6B89"/>
    <w:rsid w:val="00BB74CA"/>
    <w:rsid w:val="00BB784B"/>
    <w:rsid w:val="00BB7E25"/>
    <w:rsid w:val="00BC2FC5"/>
    <w:rsid w:val="00BC53D0"/>
    <w:rsid w:val="00BD32EF"/>
    <w:rsid w:val="00BD5116"/>
    <w:rsid w:val="00BD6B9E"/>
    <w:rsid w:val="00BE06A0"/>
    <w:rsid w:val="00BE2DAF"/>
    <w:rsid w:val="00BE3569"/>
    <w:rsid w:val="00BE509A"/>
    <w:rsid w:val="00BE5526"/>
    <w:rsid w:val="00BE64A5"/>
    <w:rsid w:val="00BE6960"/>
    <w:rsid w:val="00BF0128"/>
    <w:rsid w:val="00BF0F19"/>
    <w:rsid w:val="00BF20AF"/>
    <w:rsid w:val="00BF6B33"/>
    <w:rsid w:val="00BF74F6"/>
    <w:rsid w:val="00C02353"/>
    <w:rsid w:val="00C04DEB"/>
    <w:rsid w:val="00C07077"/>
    <w:rsid w:val="00C10D9A"/>
    <w:rsid w:val="00C128AB"/>
    <w:rsid w:val="00C1387F"/>
    <w:rsid w:val="00C15148"/>
    <w:rsid w:val="00C20311"/>
    <w:rsid w:val="00C21ADA"/>
    <w:rsid w:val="00C23283"/>
    <w:rsid w:val="00C24A35"/>
    <w:rsid w:val="00C3013B"/>
    <w:rsid w:val="00C302F6"/>
    <w:rsid w:val="00C3041F"/>
    <w:rsid w:val="00C31893"/>
    <w:rsid w:val="00C31A2A"/>
    <w:rsid w:val="00C31AAD"/>
    <w:rsid w:val="00C336B5"/>
    <w:rsid w:val="00C4374E"/>
    <w:rsid w:val="00C43E31"/>
    <w:rsid w:val="00C44448"/>
    <w:rsid w:val="00C44532"/>
    <w:rsid w:val="00C4586D"/>
    <w:rsid w:val="00C4691A"/>
    <w:rsid w:val="00C51270"/>
    <w:rsid w:val="00C57A8F"/>
    <w:rsid w:val="00C57D83"/>
    <w:rsid w:val="00C60958"/>
    <w:rsid w:val="00C61A30"/>
    <w:rsid w:val="00C62085"/>
    <w:rsid w:val="00C62703"/>
    <w:rsid w:val="00C63BCD"/>
    <w:rsid w:val="00C66D2E"/>
    <w:rsid w:val="00C66ECB"/>
    <w:rsid w:val="00C70532"/>
    <w:rsid w:val="00C72B1D"/>
    <w:rsid w:val="00C736C5"/>
    <w:rsid w:val="00C73EE3"/>
    <w:rsid w:val="00C81D7F"/>
    <w:rsid w:val="00C85C97"/>
    <w:rsid w:val="00C8641D"/>
    <w:rsid w:val="00C9273C"/>
    <w:rsid w:val="00C929BA"/>
    <w:rsid w:val="00C95A82"/>
    <w:rsid w:val="00C96147"/>
    <w:rsid w:val="00CA0993"/>
    <w:rsid w:val="00CA327A"/>
    <w:rsid w:val="00CA51E2"/>
    <w:rsid w:val="00CA5C97"/>
    <w:rsid w:val="00CA5EB7"/>
    <w:rsid w:val="00CB0CBD"/>
    <w:rsid w:val="00CB66AE"/>
    <w:rsid w:val="00CC076F"/>
    <w:rsid w:val="00CC28B5"/>
    <w:rsid w:val="00CC346D"/>
    <w:rsid w:val="00CC38E2"/>
    <w:rsid w:val="00CC4AC5"/>
    <w:rsid w:val="00CC5591"/>
    <w:rsid w:val="00CC77A1"/>
    <w:rsid w:val="00CD4115"/>
    <w:rsid w:val="00CD4DC6"/>
    <w:rsid w:val="00CD64E2"/>
    <w:rsid w:val="00CE22BA"/>
    <w:rsid w:val="00CE2C36"/>
    <w:rsid w:val="00CF594C"/>
    <w:rsid w:val="00D03066"/>
    <w:rsid w:val="00D030B1"/>
    <w:rsid w:val="00D057C5"/>
    <w:rsid w:val="00D106B8"/>
    <w:rsid w:val="00D10713"/>
    <w:rsid w:val="00D1368E"/>
    <w:rsid w:val="00D138B8"/>
    <w:rsid w:val="00D15170"/>
    <w:rsid w:val="00D21311"/>
    <w:rsid w:val="00D2434C"/>
    <w:rsid w:val="00D25578"/>
    <w:rsid w:val="00D27FDD"/>
    <w:rsid w:val="00D31688"/>
    <w:rsid w:val="00D32AA8"/>
    <w:rsid w:val="00D37880"/>
    <w:rsid w:val="00D37ADD"/>
    <w:rsid w:val="00D4065D"/>
    <w:rsid w:val="00D44380"/>
    <w:rsid w:val="00D4462D"/>
    <w:rsid w:val="00D46E7A"/>
    <w:rsid w:val="00D53672"/>
    <w:rsid w:val="00D560B1"/>
    <w:rsid w:val="00D62205"/>
    <w:rsid w:val="00D622F7"/>
    <w:rsid w:val="00D628F2"/>
    <w:rsid w:val="00D62D79"/>
    <w:rsid w:val="00D64CED"/>
    <w:rsid w:val="00D66A31"/>
    <w:rsid w:val="00D7237B"/>
    <w:rsid w:val="00D724DD"/>
    <w:rsid w:val="00D73BE2"/>
    <w:rsid w:val="00D749C6"/>
    <w:rsid w:val="00D8239B"/>
    <w:rsid w:val="00D82F96"/>
    <w:rsid w:val="00D831A7"/>
    <w:rsid w:val="00D949FA"/>
    <w:rsid w:val="00D95EBE"/>
    <w:rsid w:val="00D9702C"/>
    <w:rsid w:val="00DA0D99"/>
    <w:rsid w:val="00DA1B3A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3FF4"/>
    <w:rsid w:val="00DD605D"/>
    <w:rsid w:val="00DD66FE"/>
    <w:rsid w:val="00DE0C22"/>
    <w:rsid w:val="00DE247F"/>
    <w:rsid w:val="00DE3235"/>
    <w:rsid w:val="00DE3E1E"/>
    <w:rsid w:val="00DE4928"/>
    <w:rsid w:val="00DF0C44"/>
    <w:rsid w:val="00DF3102"/>
    <w:rsid w:val="00DF3303"/>
    <w:rsid w:val="00DF51CC"/>
    <w:rsid w:val="00DF5CEC"/>
    <w:rsid w:val="00E0043A"/>
    <w:rsid w:val="00E02CB6"/>
    <w:rsid w:val="00E03FBE"/>
    <w:rsid w:val="00E05AC5"/>
    <w:rsid w:val="00E067DF"/>
    <w:rsid w:val="00E06825"/>
    <w:rsid w:val="00E12BCC"/>
    <w:rsid w:val="00E157DA"/>
    <w:rsid w:val="00E15DE4"/>
    <w:rsid w:val="00E17559"/>
    <w:rsid w:val="00E201E2"/>
    <w:rsid w:val="00E2121B"/>
    <w:rsid w:val="00E24142"/>
    <w:rsid w:val="00E247AB"/>
    <w:rsid w:val="00E24E34"/>
    <w:rsid w:val="00E26CA1"/>
    <w:rsid w:val="00E27D57"/>
    <w:rsid w:val="00E27F96"/>
    <w:rsid w:val="00E32EBF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67C1C"/>
    <w:rsid w:val="00E7204E"/>
    <w:rsid w:val="00E72A45"/>
    <w:rsid w:val="00E72EFD"/>
    <w:rsid w:val="00E73623"/>
    <w:rsid w:val="00E76767"/>
    <w:rsid w:val="00E81021"/>
    <w:rsid w:val="00E81A8F"/>
    <w:rsid w:val="00E82196"/>
    <w:rsid w:val="00E8379A"/>
    <w:rsid w:val="00E8466C"/>
    <w:rsid w:val="00E86F14"/>
    <w:rsid w:val="00E87E1F"/>
    <w:rsid w:val="00E92C7D"/>
    <w:rsid w:val="00E9330E"/>
    <w:rsid w:val="00EA1E02"/>
    <w:rsid w:val="00EA5A71"/>
    <w:rsid w:val="00EA5C15"/>
    <w:rsid w:val="00EA614A"/>
    <w:rsid w:val="00EA6240"/>
    <w:rsid w:val="00EA66A1"/>
    <w:rsid w:val="00EA6A6F"/>
    <w:rsid w:val="00EA73EF"/>
    <w:rsid w:val="00EB0AE8"/>
    <w:rsid w:val="00EB6F23"/>
    <w:rsid w:val="00EC0212"/>
    <w:rsid w:val="00EC0AD6"/>
    <w:rsid w:val="00EC0B92"/>
    <w:rsid w:val="00EC41CF"/>
    <w:rsid w:val="00EC5A7A"/>
    <w:rsid w:val="00EC5C9A"/>
    <w:rsid w:val="00ED29C2"/>
    <w:rsid w:val="00ED4E9F"/>
    <w:rsid w:val="00ED630E"/>
    <w:rsid w:val="00ED63BC"/>
    <w:rsid w:val="00ED68A9"/>
    <w:rsid w:val="00EE01BD"/>
    <w:rsid w:val="00EE076C"/>
    <w:rsid w:val="00EE3194"/>
    <w:rsid w:val="00EE439B"/>
    <w:rsid w:val="00EE613A"/>
    <w:rsid w:val="00EE6287"/>
    <w:rsid w:val="00EF08F7"/>
    <w:rsid w:val="00EF3D76"/>
    <w:rsid w:val="00EF5226"/>
    <w:rsid w:val="00EF62F6"/>
    <w:rsid w:val="00EF7213"/>
    <w:rsid w:val="00F02005"/>
    <w:rsid w:val="00F05942"/>
    <w:rsid w:val="00F06F07"/>
    <w:rsid w:val="00F07591"/>
    <w:rsid w:val="00F10F04"/>
    <w:rsid w:val="00F12854"/>
    <w:rsid w:val="00F13A45"/>
    <w:rsid w:val="00F16397"/>
    <w:rsid w:val="00F17455"/>
    <w:rsid w:val="00F207C8"/>
    <w:rsid w:val="00F2326F"/>
    <w:rsid w:val="00F2473D"/>
    <w:rsid w:val="00F261D5"/>
    <w:rsid w:val="00F271F9"/>
    <w:rsid w:val="00F30BB5"/>
    <w:rsid w:val="00F31602"/>
    <w:rsid w:val="00F31A47"/>
    <w:rsid w:val="00F32D16"/>
    <w:rsid w:val="00F3341F"/>
    <w:rsid w:val="00F37235"/>
    <w:rsid w:val="00F431C7"/>
    <w:rsid w:val="00F43AEE"/>
    <w:rsid w:val="00F43BE8"/>
    <w:rsid w:val="00F4432F"/>
    <w:rsid w:val="00F44C86"/>
    <w:rsid w:val="00F54843"/>
    <w:rsid w:val="00F54E7F"/>
    <w:rsid w:val="00F5531C"/>
    <w:rsid w:val="00F60990"/>
    <w:rsid w:val="00F62309"/>
    <w:rsid w:val="00F63CDC"/>
    <w:rsid w:val="00F64773"/>
    <w:rsid w:val="00F66C9B"/>
    <w:rsid w:val="00F73BA5"/>
    <w:rsid w:val="00F76513"/>
    <w:rsid w:val="00F766B4"/>
    <w:rsid w:val="00F773F2"/>
    <w:rsid w:val="00F776D5"/>
    <w:rsid w:val="00F80DD5"/>
    <w:rsid w:val="00F901F5"/>
    <w:rsid w:val="00F90A5F"/>
    <w:rsid w:val="00F90EEB"/>
    <w:rsid w:val="00F92B2A"/>
    <w:rsid w:val="00F92BC0"/>
    <w:rsid w:val="00F93D3A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2E1D"/>
    <w:rsid w:val="00FB3F6E"/>
    <w:rsid w:val="00FB4CC1"/>
    <w:rsid w:val="00FB583E"/>
    <w:rsid w:val="00FB69E5"/>
    <w:rsid w:val="00FC28C7"/>
    <w:rsid w:val="00FC5DEA"/>
    <w:rsid w:val="00FD0886"/>
    <w:rsid w:val="00FD247E"/>
    <w:rsid w:val="00FD297C"/>
    <w:rsid w:val="00FD6AB5"/>
    <w:rsid w:val="00FD7DFE"/>
    <w:rsid w:val="00FD7F7D"/>
    <w:rsid w:val="00FE3021"/>
    <w:rsid w:val="00FE36B9"/>
    <w:rsid w:val="00FE69B9"/>
    <w:rsid w:val="00FE7B09"/>
    <w:rsid w:val="00FF0A0C"/>
    <w:rsid w:val="00FF192C"/>
    <w:rsid w:val="00FF73B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32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53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7053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C7053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basedOn w:val="DefaultParagraphFont"/>
    <w:link w:val="ListParagraph"/>
    <w:uiPriority w:val="34"/>
    <w:locked/>
    <w:rsid w:val="00C70532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32"/>
    <w:rPr>
      <w:rFonts w:ascii="Tahoma" w:eastAsia="Times New Roman" w:hAnsi="Tahoma" w:cs="Tahoma"/>
      <w:sz w:val="16"/>
      <w:szCs w:val="16"/>
    </w:rPr>
  </w:style>
  <w:style w:type="character" w:customStyle="1" w:styleId="z-label">
    <w:name w:val="z-label"/>
    <w:basedOn w:val="DefaultParagraphFont"/>
    <w:rsid w:val="00AB6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32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53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7053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C7053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basedOn w:val="DefaultParagraphFont"/>
    <w:link w:val="ListParagraph"/>
    <w:uiPriority w:val="34"/>
    <w:locked/>
    <w:rsid w:val="00C70532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32"/>
    <w:rPr>
      <w:rFonts w:ascii="Tahoma" w:eastAsia="Times New Roman" w:hAnsi="Tahoma" w:cs="Tahoma"/>
      <w:sz w:val="16"/>
      <w:szCs w:val="16"/>
    </w:rPr>
  </w:style>
  <w:style w:type="character" w:customStyle="1" w:styleId="z-label">
    <w:name w:val="z-label"/>
    <w:basedOn w:val="DefaultParagraphFont"/>
    <w:rsid w:val="00AB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dcterms:created xsi:type="dcterms:W3CDTF">2022-08-24T14:16:00Z</dcterms:created>
  <dcterms:modified xsi:type="dcterms:W3CDTF">2022-09-06T09:06:00Z</dcterms:modified>
</cp:coreProperties>
</file>