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07" w:rsidRDefault="002F2020" w:rsidP="002F2020">
      <w:pPr>
        <w:jc w:val="center"/>
        <w:rPr>
          <w:b/>
          <w:sz w:val="24"/>
          <w:szCs w:val="24"/>
          <w:lang w:val="en-US"/>
        </w:rPr>
      </w:pPr>
      <w:r w:rsidRPr="002F2020">
        <w:rPr>
          <w:b/>
          <w:sz w:val="24"/>
          <w:szCs w:val="24"/>
          <w:lang w:val="en-US"/>
        </w:rPr>
        <w:t>JURNAL PERKULIAHAN MATA KULIAH MAZAHIBU TAFSIR</w:t>
      </w: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1"/>
        <w:gridCol w:w="2544"/>
        <w:gridCol w:w="1726"/>
        <w:gridCol w:w="156"/>
        <w:gridCol w:w="1556"/>
        <w:gridCol w:w="1304"/>
        <w:gridCol w:w="5123"/>
        <w:gridCol w:w="1044"/>
      </w:tblGrid>
      <w:tr w:rsidR="002F2020" w:rsidRPr="00AE3184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Kemampuan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Akhir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Tahap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Pebelajaran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</w:p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544" w:type="dxa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Kajian</w:t>
            </w:r>
            <w:proofErr w:type="spellEnd"/>
          </w:p>
        </w:tc>
        <w:tc>
          <w:tcPr>
            <w:tcW w:w="1882" w:type="dxa"/>
            <w:gridSpan w:val="2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556" w:type="dxa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Waktu</w:t>
            </w:r>
            <w:proofErr w:type="spellEnd"/>
          </w:p>
        </w:tc>
        <w:tc>
          <w:tcPr>
            <w:tcW w:w="1304" w:type="dxa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Tugas</w:t>
            </w:r>
            <w:proofErr w:type="spellEnd"/>
          </w:p>
        </w:tc>
        <w:tc>
          <w:tcPr>
            <w:tcW w:w="5123" w:type="dxa"/>
          </w:tcPr>
          <w:p w:rsidR="002F2020" w:rsidRPr="00AE3184" w:rsidRDefault="002F2020" w:rsidP="00564A3A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  <w:proofErr w:type="spellEnd"/>
          </w:p>
        </w:tc>
      </w:tr>
      <w:tr w:rsidR="002F2020" w:rsidRPr="00AE3184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772E45" w:rsidRDefault="002F2020" w:rsidP="002F2020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perkuliahan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Mazahib Tafsir. </w:t>
            </w:r>
          </w:p>
          <w:p w:rsidR="002F2020" w:rsidRPr="0084390D" w:rsidRDefault="002F2020" w:rsidP="002F2020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ruang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lingkup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kegunaan</w:t>
            </w:r>
            <w:proofErr w:type="spell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Mazahib Tafsir.</w:t>
            </w:r>
            <w:r w:rsidRPr="0084390D">
              <w:rPr>
                <w:rFonts w:ascii="Gill Sans MT" w:hAnsi="Gill Sans MT" w:cs="Arial"/>
              </w:rPr>
              <w:tab/>
            </w:r>
          </w:p>
        </w:tc>
        <w:tc>
          <w:tcPr>
            <w:tcW w:w="2544" w:type="dxa"/>
          </w:tcPr>
          <w:p w:rsidR="002F2020" w:rsidRPr="00316DD2" w:rsidRDefault="002F2020" w:rsidP="002F2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sv-SE"/>
              </w:rPr>
            </w:pP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mata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Mazahib Tafsir.</w:t>
            </w:r>
            <w:r w:rsidRPr="00316DD2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capaian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pembelajaran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bahan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kajian</w:t>
            </w:r>
            <w:proofErr w:type="spellEnd"/>
            <w:r w:rsidRPr="00316DD2">
              <w:rPr>
                <w:rFonts w:ascii="Gill Sans MT" w:hAnsi="Gill Sans MT" w:cs="Arial"/>
                <w:sz w:val="24"/>
                <w:szCs w:val="24"/>
                <w:lang w:val="id-ID"/>
              </w:rPr>
              <w:t xml:space="preserve"> 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>Mazahib Tafsir.</w:t>
            </w:r>
            <w:r w:rsidRPr="00316DD2">
              <w:rPr>
                <w:rFonts w:ascii="Gill Sans MT" w:hAnsi="Gill Sans MT" w:cs="Arial"/>
                <w:sz w:val="24"/>
                <w:szCs w:val="24"/>
              </w:rPr>
              <w:t>)</w:t>
            </w:r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evaluasi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sumber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tugas-tugas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Pr="00316DD2">
              <w:rPr>
                <w:rFonts w:ascii="Gill Sans MT" w:hAnsi="Gill Sans MT"/>
                <w:color w:val="000000" w:themeColor="text1"/>
              </w:rPr>
              <w:t xml:space="preserve">Preview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pengertian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ruang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gramStart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>l</w:t>
            </w:r>
            <w:proofErr w:type="spellStart"/>
            <w:r w:rsidRPr="00316DD2">
              <w:rPr>
                <w:rFonts w:ascii="Gill Sans MT" w:hAnsi="Gill Sans MT"/>
                <w:color w:val="000000" w:themeColor="text1"/>
              </w:rPr>
              <w:t>ingkup</w:t>
            </w:r>
            <w:proofErr w:type="spellEnd"/>
            <w:r w:rsidRPr="00316DD2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>Mazahib</w:t>
            </w:r>
            <w:proofErr w:type="gramEnd"/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 Tafsir. </w:t>
            </w:r>
            <w:proofErr w:type="spellStart"/>
            <w:proofErr w:type="gramStart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>dan</w:t>
            </w:r>
            <w:proofErr w:type="spellEnd"/>
            <w:proofErr w:type="gramEnd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316DD2">
              <w:rPr>
                <w:rFonts w:ascii="Gill Sans MT" w:hAnsi="Gill Sans MT" w:cstheme="minorHAnsi"/>
                <w:bCs/>
                <w:color w:val="000000" w:themeColor="text1"/>
              </w:rPr>
              <w:t>kegunaan</w:t>
            </w:r>
            <w:proofErr w:type="spellEnd"/>
            <w:r w:rsidRPr="00316DD2">
              <w:rPr>
                <w:rFonts w:ascii="Gill Sans MT" w:hAnsi="Gill Sans MT" w:cs="Arial"/>
                <w:lang w:val="id-ID"/>
              </w:rPr>
              <w:t xml:space="preserve"> </w:t>
            </w: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>Mazahib Tafsir.</w:t>
            </w:r>
          </w:p>
        </w:tc>
        <w:tc>
          <w:tcPr>
            <w:tcW w:w="1882" w:type="dxa"/>
            <w:gridSpan w:val="2"/>
          </w:tcPr>
          <w:p w:rsidR="002F2020" w:rsidRPr="00AE3184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Kontrak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</w:p>
          <w:p w:rsidR="002F2020" w:rsidRPr="00AE3184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Ceramah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interaktif</w:t>
            </w:r>
            <w:proofErr w:type="spellEnd"/>
          </w:p>
        </w:tc>
        <w:tc>
          <w:tcPr>
            <w:tcW w:w="1556" w:type="dxa"/>
          </w:tcPr>
          <w:p w:rsidR="002F2020" w:rsidRPr="00316DD2" w:rsidRDefault="002F2020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>
              <w:rPr>
                <w:rFonts w:ascii="Gill Sans MT" w:hAnsi="Gill Sans MT"/>
                <w:color w:val="000000" w:themeColor="text1"/>
                <w:lang w:val="fi-FI"/>
              </w:rPr>
              <w:t>meni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t</w:t>
            </w:r>
          </w:p>
        </w:tc>
        <w:tc>
          <w:tcPr>
            <w:tcW w:w="1304" w:type="dxa"/>
          </w:tcPr>
          <w:p w:rsidR="002F2020" w:rsidRPr="00316DD2" w:rsidRDefault="002F2020" w:rsidP="00564A3A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dan presentasi </w:t>
            </w:r>
          </w:p>
        </w:tc>
        <w:tc>
          <w:tcPr>
            <w:tcW w:w="5123" w:type="dxa"/>
          </w:tcPr>
          <w:p w:rsidR="002F2020" w:rsidRPr="00AE3184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ringkasan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. </w:t>
            </w:r>
          </w:p>
          <w:p w:rsidR="002F2020" w:rsidRPr="00AE3184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menyebutkan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contoh</w:t>
            </w:r>
            <w:proofErr w:type="spellEnd"/>
          </w:p>
        </w:tc>
      </w:tr>
      <w:tr w:rsidR="002F2020" w:rsidRPr="00AE3184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316DD2" w:rsidRDefault="002F2020" w:rsidP="002F2020">
            <w:pPr>
              <w:pStyle w:val="NoSpacing"/>
              <w:numPr>
                <w:ilvl w:val="0"/>
                <w:numId w:val="2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Mampu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mema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ami</w:t>
            </w:r>
            <w:r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dan menguasai  konsep tentang Sejarah Mazahib Tafsir pada Masa Nabi. </w:t>
            </w:r>
            <w:r w:rsidRPr="00B60BCB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:rsidR="002F2020" w:rsidRPr="00946842" w:rsidRDefault="002F2020" w:rsidP="00564A3A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544" w:type="dxa"/>
          </w:tcPr>
          <w:p w:rsidR="002F2020" w:rsidRPr="00316DD2" w:rsidRDefault="002F2020" w:rsidP="002F20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316DD2">
              <w:rPr>
                <w:rFonts w:ascii="Gill Sans MT" w:hAnsi="Gill Sans MT"/>
                <w:color w:val="000000" w:themeColor="text1"/>
                <w:lang w:val="id-ID"/>
              </w:rPr>
              <w:t xml:space="preserve">Memahami sejarah Mazahib tafsir di Masa Nabi. 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AE3184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AE3184" w:rsidRDefault="002F2020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180</w:t>
            </w:r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AC42A4" w:rsidRDefault="002F2020" w:rsidP="00564A3A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AE3184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diungkapkan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oleh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mahasiswa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tentang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dibahas</w:t>
            </w:r>
            <w:proofErr w:type="spellEnd"/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316DD2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Sejarah Mazahib Tafsir pada masa Sahabat</w:t>
            </w:r>
          </w:p>
        </w:tc>
        <w:tc>
          <w:tcPr>
            <w:tcW w:w="2544" w:type="dxa"/>
          </w:tcPr>
          <w:p w:rsidR="002F2020" w:rsidRPr="00AC42A4" w:rsidRDefault="002F2020" w:rsidP="002F2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>Memahami sejarah Mazahib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asa Sahabat. 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AC42A4" w:rsidRDefault="002F2020" w:rsidP="00564A3A">
            <w:pPr>
              <w:spacing w:after="0" w:line="240" w:lineRule="auto"/>
              <w:rPr>
                <w:rFonts w:ascii="Gill Sans MT" w:hAnsi="Gill Sans MT" w:cs="Arial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564A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Mazahib Tafsir pada Masa Tabi’in. </w:t>
            </w:r>
          </w:p>
        </w:tc>
        <w:tc>
          <w:tcPr>
            <w:tcW w:w="2544" w:type="dxa"/>
          </w:tcPr>
          <w:p w:rsidR="002F2020" w:rsidRPr="0061676F" w:rsidRDefault="002F2020" w:rsidP="002F2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C42A4">
              <w:rPr>
                <w:rFonts w:ascii="Gill Sans MT" w:hAnsi="Gill Sans MT"/>
                <w:color w:val="000000" w:themeColor="text1"/>
                <w:lang w:val="id-ID"/>
              </w:rPr>
              <w:t>Memahami sejarah Mazahib tafsir di 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asa Tabi’in .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316DD2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B76BDD" w:rsidRDefault="002F2020" w:rsidP="00564A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564A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AC42A4" w:rsidRDefault="002F2020" w:rsidP="00564A3A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Sejarah Mazahib Tafsir pada Masa Abad Pertengahan.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sejarah Mazahib Tafsir pada Masa Abad Pertengahan</w:t>
            </w:r>
          </w:p>
          <w:p w:rsidR="002F2020" w:rsidRPr="00AC42A4" w:rsidRDefault="002F2020" w:rsidP="002F20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Memahmi dan mengetahui Tokoh tokoh dan karya- karya Mazahib Tafsir Pada Masa Abad Pertengahan 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61676F" w:rsidRDefault="002F2020" w:rsidP="00564A3A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8B5525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 xml:space="preserve">180 Menit </w:t>
            </w:r>
          </w:p>
        </w:tc>
        <w:tc>
          <w:tcPr>
            <w:tcW w:w="1304" w:type="dxa"/>
          </w:tcPr>
          <w:p w:rsidR="002F2020" w:rsidRPr="00B76BDD" w:rsidRDefault="002F2020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  <w:trHeight w:val="4959"/>
        </w:trPr>
        <w:tc>
          <w:tcPr>
            <w:tcW w:w="2441" w:type="dxa"/>
          </w:tcPr>
          <w:p w:rsidR="002F2020" w:rsidRPr="008B5525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Tafsir Bil Al-Ra’yi.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bil ar-ra’yi.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tokoh  mazahib tafsir bil Ar-ra’yi.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mazahib tafsir bil  Ar-ra’yi. </w:t>
            </w:r>
          </w:p>
          <w:p w:rsidR="002F2020" w:rsidRPr="008B5525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kitab kitab tafsir yang termasuk kitab mazahib tafsir bil ar-ra’yi. 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B76BDD" w:rsidRDefault="002F2020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B76BDD" w:rsidRDefault="002F2020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Bil matsur.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mazahib tafsir bil Matsur.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mazahib tafsir bil matsur.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mazahib tafsir bil  Matsur.</w:t>
            </w:r>
          </w:p>
          <w:p w:rsidR="002F2020" w:rsidRPr="00F86AD3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 xml:space="preserve">Mengetahui kitab kitab tafsir yang </w:t>
            </w: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mazahib tafsir bil Matsur</w:t>
            </w:r>
            <w:r w:rsidRPr="00F86AD3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882" w:type="dxa"/>
            <w:gridSpan w:val="2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2F2020" w:rsidRPr="00AC42A4" w:rsidRDefault="002F2020" w:rsidP="00564A3A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id-ID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556" w:type="dxa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 w:rsidRPr="00B76BDD">
              <w:rPr>
                <w:rFonts w:ascii="Gill Sans MT" w:hAnsi="Gill Sans MT"/>
              </w:rPr>
              <w:t xml:space="preserve">0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B76BDD" w:rsidRDefault="002F2020" w:rsidP="00564A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</w:tr>
      <w:tr w:rsidR="002F2020" w:rsidTr="002F2020">
        <w:tc>
          <w:tcPr>
            <w:tcW w:w="15894" w:type="dxa"/>
            <w:gridSpan w:val="8"/>
          </w:tcPr>
          <w:p w:rsidR="002F2020" w:rsidRDefault="002F2020" w:rsidP="00564A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lastRenderedPageBreak/>
              <w:t>UTS</w:t>
            </w: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Tafsir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Ilmi .</w:t>
            </w:r>
            <w:proofErr w:type="gramEnd"/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Ilmi.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mazahib tafsir Ilmi.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mazahib tafsir Ilmi.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tab mazahib tafsir  Ilmi.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Fiqh.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Fiqhi.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mazahib tafsir Fiqhi.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mazahib tafsir Fiqhi.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mazahib tafsir Fiqhi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b/>
                <w:bCs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Tafsir Falsafi.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Falsafi.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mazahib tafsir Falsafi.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mazahib tafsir Falsafi.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mazahib tafsir Falsafi.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86AD3" w:rsidRDefault="002F2020" w:rsidP="00564A3A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 konsep teoritis tentang Mazahib Tafsir Sufi.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Sufi.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tokoh- tokoh  mazahib tafsir Sufi.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mazahib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tafsir Sufi.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itab mazahib tafsir Sufi.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FC7791" w:rsidRDefault="002F2020" w:rsidP="00564A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Tafsir Hermeneutika.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mazahib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Hermeneutika.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oh  mazahib tafsir Hermeneutika. 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kekurangan serta ciri ciri mazahib tafsir Hermeneutika. 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tab mazahib tafsir  Hermeneutika. 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Default="002F2020" w:rsidP="00564A3A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Tafsir Adab ijtima’i.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 xml:space="preserve">Memahami latar belakang sejarah mazahib tafsir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Adab ijtima’i.</w:t>
            </w:r>
          </w:p>
          <w:p w:rsidR="002F2020" w:rsidRPr="001878AE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78AE">
              <w:rPr>
                <w:rFonts w:ascii="Gill Sans MT" w:hAnsi="Gill Sans MT"/>
                <w:color w:val="000000" w:themeColor="text1"/>
                <w:lang w:val="id-ID"/>
              </w:rPr>
              <w:t>Mengetahui tokoh- tok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oh  mazahib tafsir Adab Ijtima’i.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Mengetahui kelebihan dan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 xml:space="preserve">kekurangan serta ciri ciri mazahib tafsir Adab Ijtima’i. 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mazahib tafsir Adab Ijtima’i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 xml:space="preserve">. </w:t>
            </w:r>
            <w:r w:rsidRPr="00184F00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2F2020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2441" w:type="dxa"/>
          </w:tcPr>
          <w:p w:rsidR="002F2020" w:rsidRPr="00CC6A91" w:rsidRDefault="002F2020" w:rsidP="00564A3A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lastRenderedPageBreak/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konsep teoritis tentang Mazahib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Tafsir  Maudhui</w:t>
            </w:r>
            <w:proofErr w:type="gramEnd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. </w:t>
            </w:r>
          </w:p>
        </w:tc>
        <w:tc>
          <w:tcPr>
            <w:tcW w:w="2544" w:type="dxa"/>
          </w:tcPr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Memahami latar belakang sejarah mazahib tafsir Maudhu’i.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tokoh- tokoh  mazahib tafsir Maudhu’i.</w:t>
            </w:r>
          </w:p>
          <w:p w:rsidR="002F202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Mengetahui kelebihan dan kekurangan serta ciri ciri mazahib tafsir Maudhu’i.</w:t>
            </w:r>
          </w:p>
          <w:p w:rsidR="002F2020" w:rsidRPr="00184F00" w:rsidRDefault="002F2020" w:rsidP="002F20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Mengetahui kitab kitab tafsir yang termasuk k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itab mazahib tafsir Maudhu’i</w:t>
            </w:r>
            <w:r w:rsidRPr="00184F00"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726" w:type="dxa"/>
          </w:tcPr>
          <w:p w:rsidR="002F2020" w:rsidRPr="0061676F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2F2020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304" w:type="dxa"/>
          </w:tcPr>
          <w:p w:rsidR="002F2020" w:rsidRPr="001C646E" w:rsidRDefault="002F2020" w:rsidP="00564A3A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5123" w:type="dxa"/>
          </w:tcPr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:rsidR="002F2020" w:rsidRPr="00B76BD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22434D" w:rsidRDefault="002F2020" w:rsidP="002F20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:rsidR="002F2020" w:rsidRPr="00B76BDD" w:rsidRDefault="002F2020" w:rsidP="00564A3A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</w:tr>
      <w:tr w:rsidR="002F2020" w:rsidRPr="00B76BDD" w:rsidTr="002F2020">
        <w:trPr>
          <w:gridAfter w:val="1"/>
          <w:wAfter w:w="1044" w:type="dxa"/>
        </w:trPr>
        <w:tc>
          <w:tcPr>
            <w:tcW w:w="4985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726" w:type="dxa"/>
          </w:tcPr>
          <w:p w:rsidR="002F2020" w:rsidRPr="00B76BDD" w:rsidRDefault="002F2020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712" w:type="dxa"/>
            <w:gridSpan w:val="2"/>
          </w:tcPr>
          <w:p w:rsidR="002F2020" w:rsidRPr="00B76BDD" w:rsidRDefault="002F2020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304" w:type="dxa"/>
          </w:tcPr>
          <w:p w:rsidR="002F2020" w:rsidRPr="00B76BDD" w:rsidRDefault="002F2020" w:rsidP="00564A3A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5123" w:type="dxa"/>
          </w:tcPr>
          <w:p w:rsidR="002F2020" w:rsidRPr="00B76BDD" w:rsidRDefault="002F2020" w:rsidP="00564A3A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2F2020" w:rsidRPr="002F2020" w:rsidRDefault="002F2020" w:rsidP="002F2020">
      <w:pPr>
        <w:rPr>
          <w:b/>
          <w:sz w:val="24"/>
          <w:szCs w:val="24"/>
          <w:lang w:val="en-US"/>
        </w:rPr>
      </w:pPr>
    </w:p>
    <w:sectPr w:rsidR="002F2020" w:rsidRPr="002F2020" w:rsidSect="002F20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0F" w:rsidRDefault="008F3B0F" w:rsidP="002F2020">
      <w:pPr>
        <w:spacing w:after="0" w:line="240" w:lineRule="auto"/>
      </w:pPr>
      <w:r>
        <w:separator/>
      </w:r>
    </w:p>
  </w:endnote>
  <w:endnote w:type="continuationSeparator" w:id="0">
    <w:p w:rsidR="008F3B0F" w:rsidRDefault="008F3B0F" w:rsidP="002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0F" w:rsidRDefault="008F3B0F" w:rsidP="002F2020">
      <w:pPr>
        <w:spacing w:after="0" w:line="240" w:lineRule="auto"/>
      </w:pPr>
      <w:r>
        <w:separator/>
      </w:r>
    </w:p>
  </w:footnote>
  <w:footnote w:type="continuationSeparator" w:id="0">
    <w:p w:rsidR="008F3B0F" w:rsidRDefault="008F3B0F" w:rsidP="002F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3FB"/>
    <w:multiLevelType w:val="hybridMultilevel"/>
    <w:tmpl w:val="4A90C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31"/>
    <w:multiLevelType w:val="hybridMultilevel"/>
    <w:tmpl w:val="6F10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A1F45"/>
    <w:multiLevelType w:val="hybridMultilevel"/>
    <w:tmpl w:val="7FB482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4B6E0A95"/>
    <w:multiLevelType w:val="hybridMultilevel"/>
    <w:tmpl w:val="88B62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46"/>
    <w:rsid w:val="002F2020"/>
    <w:rsid w:val="007D1446"/>
    <w:rsid w:val="008B6F07"/>
    <w:rsid w:val="008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20"/>
    <w:pPr>
      <w:ind w:left="720"/>
      <w:contextualSpacing/>
    </w:pPr>
    <w:rPr>
      <w:rFonts w:eastAsiaTheme="minorEastAsia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F2020"/>
    <w:pPr>
      <w:spacing w:after="120"/>
      <w:ind w:left="283"/>
    </w:pPr>
    <w:rPr>
      <w:rFonts w:eastAsiaTheme="minorEastAsia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2020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2F20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F20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2F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20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2023-08-01T12:30:00Z</dcterms:created>
  <dcterms:modified xsi:type="dcterms:W3CDTF">2023-08-01T12:50:00Z</dcterms:modified>
</cp:coreProperties>
</file>