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940"/>
        <w:gridCol w:w="1383"/>
        <w:gridCol w:w="641"/>
        <w:gridCol w:w="140"/>
        <w:gridCol w:w="1832"/>
        <w:gridCol w:w="1706"/>
        <w:gridCol w:w="1780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drawing>
                <wp:inline distT="0" distB="0" distL="0" distR="0">
                  <wp:extent cx="1238250" cy="1049020"/>
                  <wp:effectExtent l="0" t="0" r="0" b="0"/>
                  <wp:docPr id="1" name="Picture 1" descr="https://upload.wikimedia.org/wikipedia/commons/f/fe/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upload.wikimedia.org/wikipedia/commons/f/fe/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27" cy="105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UIN FATMAWATI SUKARNO</w:t>
            </w:r>
            <w:r>
              <w:rPr>
                <w:rFonts w:cs="Times New Roman"/>
                <w:b/>
                <w:szCs w:val="24"/>
              </w:rPr>
              <w:t xml:space="preserve"> BENGKULU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FAKULTAS TARBIYAH DAN TADRIS</w:t>
            </w:r>
          </w:p>
          <w:p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 xml:space="preserve">PROGRAM STUDI PENDIDIKAN </w:t>
            </w:r>
            <w:r>
              <w:rPr>
                <w:rFonts w:cs="Times New Roman"/>
                <w:b/>
                <w:szCs w:val="24"/>
                <w:lang w:val="en-US"/>
              </w:rPr>
              <w:t>BAHASA ARAB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  <w:t>(PBA)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Insya’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</w:rPr>
              <w:t xml:space="preserve"> SKS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02-03-202</w:t>
            </w:r>
            <w:r>
              <w:rPr>
                <w:rFonts w:hint="default" w:cs="Times New Roman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Yenni Patriani, M.A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hAnsi="SimSun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hAnsi="SimSun"/>
                <w:szCs w:val="24"/>
                <w:lang w:val="en-US"/>
              </w:rPr>
            </w:pPr>
            <w:r>
              <w:rPr>
                <w:rFonts w:ascii="SimSun" w:hAnsi="SimSun"/>
                <w:szCs w:val="24"/>
                <w:lang w:val="en-US"/>
              </w:rPr>
              <w:t>Yenni Patriani, M.A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SimSun" w:hAnsi="SimSun"/>
                <w:szCs w:val="24"/>
                <w:lang w:val="en-US"/>
              </w:rPr>
            </w:pPr>
            <w:r>
              <w:rPr>
                <w:rFonts w:hint="default" w:ascii="SimSun" w:hAnsi="SimSun"/>
                <w:szCs w:val="24"/>
                <w:lang w:val="en-US"/>
              </w:rPr>
              <w:t>Falahun Ni’am</w:t>
            </w:r>
            <w:r>
              <w:rPr>
                <w:rFonts w:hint="eastAsia" w:ascii="SimSun" w:hAnsi="SimSun"/>
                <w:szCs w:val="24"/>
              </w:rPr>
              <w:t>, M.Pd</w:t>
            </w:r>
            <w:r>
              <w:rPr>
                <w:rFonts w:hint="default" w:ascii="SimSun" w:hAnsi="SimSun"/>
                <w:szCs w:val="24"/>
                <w:lang w:val="en-US"/>
              </w:rPr>
              <w:t>.I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Bertakwa kepada Tuhan Yang Maha Esa dan mampu menunjukkan sikap religius;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Menginternalisasi nilai, norma, dan etika akademik;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menulis dan mengarang dalam bahasa Arab sesuai dengan kaidah dan tata bahasa Arab yang baik dan benar.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Menguasai pengembangan kurikulum, pendekatan, strategi, model, metode, teknik, bahan ajar, media, sumber belajar, khususnya pada mata pelajaran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Insya’.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Cs w:val="24"/>
              </w:rPr>
              <w:t>Mampu memanfaatkan ilmu pengetahuan, teknologi dan/atau seni pada keahliannya</w:t>
            </w:r>
            <w:r>
              <w:rPr>
                <w:rFonts w:cs="Times New Roman"/>
                <w:bCs/>
                <w:iCs/>
                <w:szCs w:val="24"/>
              </w:rPr>
              <w:t xml:space="preserve"> secara khusus dalam penyelesaian masalah.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Menguasai </w:t>
            </w:r>
            <w:r>
              <w:rPr>
                <w:rFonts w:cs="Times New Roman"/>
                <w:szCs w:val="24"/>
                <w:lang w:val="en-US"/>
              </w:rPr>
              <w:t>kaidah dan tata bahasa Arab</w:t>
            </w:r>
            <w:r>
              <w:rPr>
                <w:rFonts w:cs="Times New Roman"/>
                <w:szCs w:val="24"/>
              </w:rPr>
              <w:t xml:space="preserve"> dengan baik dan benar baik secara teoritis maupun praktis.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CPL-1</w:t>
            </w:r>
          </w:p>
        </w:tc>
        <w:tc>
          <w:tcPr>
            <w:tcW w:w="9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mampu </w:t>
            </w:r>
            <w:r>
              <w:rPr>
                <w:rFonts w:cs="Times New Roman"/>
                <w:szCs w:val="24"/>
                <w:lang w:val="en-US"/>
              </w:rPr>
              <w:t>menguasai kaidah dan tata bahasa Arab yang baik dan benar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CPL-2</w:t>
            </w:r>
          </w:p>
        </w:tc>
        <w:tc>
          <w:tcPr>
            <w:tcW w:w="9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Mahasiswa diharapkan mampu </w:t>
            </w:r>
            <w:r>
              <w:rPr>
                <w:rFonts w:cs="Times New Roman"/>
                <w:szCs w:val="24"/>
                <w:lang w:val="en-US"/>
              </w:rPr>
              <w:t>mengaplikasikan kaidah dan tata bahasa</w:t>
            </w:r>
            <w:r>
              <w:rPr>
                <w:rFonts w:cs="Times New Roman"/>
                <w:szCs w:val="24"/>
              </w:rPr>
              <w:t xml:space="preserve"> Arab </w:t>
            </w:r>
            <w:r>
              <w:rPr>
                <w:rFonts w:cs="Times New Roman"/>
                <w:szCs w:val="24"/>
                <w:lang w:val="en-US"/>
              </w:rPr>
              <w:t xml:space="preserve">ke dalam bentuk insya’ </w:t>
            </w:r>
            <w:r>
              <w:rPr>
                <w:rFonts w:cs="Times New Roman"/>
                <w:szCs w:val="24"/>
              </w:rPr>
              <w:t>dengan baik dan benar.</w:t>
            </w:r>
          </w:p>
          <w:p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CPL-3</w:t>
            </w:r>
          </w:p>
        </w:tc>
        <w:tc>
          <w:tcPr>
            <w:tcW w:w="9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</w:rPr>
              <w:t xml:space="preserve">Mahasiswa diharapkan mampu memiliki pemahaman serta penguasaan tentang </w:t>
            </w:r>
            <w:r>
              <w:rPr>
                <w:rFonts w:cs="Times New Roman"/>
                <w:szCs w:val="24"/>
                <w:lang w:val="en-US"/>
              </w:rPr>
              <w:t>cara menulis insya’ yang baik dan benar.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cs="Times New Roman"/>
              </w:rPr>
            </w:pPr>
            <w:r>
              <w:rPr>
                <w:rFonts w:eastAsia="Times New Roman" w:asciiTheme="majorBidi" w:hAnsiTheme="majorBidi" w:cstheme="majorBidi"/>
              </w:rPr>
              <w:t>Insya’ merupakan mata kuliah wajib yang membekali mahasiswa dengan keterampilan mengarang bahasa Arab sesuai dengan kaidah dan tata bahasa arab yang baik dan benar.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1.    Kontrak Perkuliahan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2.    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dhomir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3.    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التعرف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4.    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الجنسية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5.    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kata ganti orang kedua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6.    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المهنة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7.    UTS</w:t>
            </w:r>
          </w:p>
          <w:p>
            <w:pPr>
              <w:spacing w:after="0" w:line="240" w:lineRule="auto"/>
              <w:rPr>
                <w:rFonts w:asciiTheme="majorBidi" w:hAnsiTheme="majorBidi" w:cstheme="majorBidi"/>
                <w:color w:val="333333"/>
                <w:lang w:eastAsia="id-ID"/>
              </w:rPr>
            </w:pPr>
            <w:r>
              <w:rPr>
                <w:rFonts w:eastAsia="Times New Roman" w:asciiTheme="majorBidi" w:hAnsiTheme="majorBidi" w:cstheme="majorBidi"/>
              </w:rPr>
              <w:t>8.    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الزراعة  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9.    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kata ganti orang ketiga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10.  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الأسرة  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rtl/>
                <w:lang w:eastAsia="id-ID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11.  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شهر رمضان 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12.  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عيد الفطر  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13.  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عيد الأضحى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rtl/>
                <w:lang w:eastAsia="id-ID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14.  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العطلة  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lang w:val="en-US" w:eastAsia="id-ID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15.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مناقشة الدروس السابقة 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lang w:eastAsia="id-ID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16. UAS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1"/>
                <w:numId w:val="1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Yenni Patriani,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Rumus Cerdas Memahami Kaidah dan Tata Bahasa</w:t>
            </w:r>
            <w:r>
              <w:rPr>
                <w:rFonts w:cs="Times New Roman"/>
                <w:szCs w:val="24"/>
                <w:lang w:val="en-US"/>
              </w:rPr>
              <w:t>, Bandung : Yrama Widya, 2010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Arab</w:t>
            </w:r>
          </w:p>
          <w:p>
            <w:pPr>
              <w:numPr>
                <w:ilvl w:val="1"/>
                <w:numId w:val="1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Departemen Agama RI, </w:t>
            </w:r>
            <w:r>
              <w:rPr>
                <w:rFonts w:cs="Times New Roman"/>
                <w:i/>
                <w:iCs/>
                <w:szCs w:val="24"/>
              </w:rPr>
              <w:t>Al-Qur’án dan Terjemahnya</w:t>
            </w:r>
            <w:r>
              <w:rPr>
                <w:rFonts w:cs="Times New Roman"/>
                <w:szCs w:val="24"/>
              </w:rPr>
              <w:t>, Bandung: Diponegoro, 2008.</w:t>
            </w:r>
          </w:p>
          <w:p>
            <w:pPr>
              <w:numPr>
                <w:ilvl w:val="1"/>
                <w:numId w:val="1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Silsilah Al Lughah Al Arabiyyah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“Al Kitabah”</w:t>
            </w:r>
            <w:r>
              <w:rPr>
                <w:rFonts w:cs="Times New Roman"/>
                <w:szCs w:val="24"/>
                <w:lang w:val="en-US"/>
              </w:rPr>
              <w:t xml:space="preserve"> Jami’ah Al Imam Ibnu Saud.</w:t>
            </w:r>
          </w:p>
          <w:p>
            <w:pPr>
              <w:spacing w:after="0" w:line="240" w:lineRule="auto"/>
              <w:ind w:left="382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Papan Tulis, Infokus, L</w:t>
            </w: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ptop, Alat Tulis, , al-Qur’an</w:t>
            </w:r>
            <w:r>
              <w:rPr>
                <w:rFonts w:cs="Times New Roman"/>
                <w:szCs w:val="24"/>
                <w:lang w:val="en-US"/>
              </w:rPr>
              <w:t>, buku-buku yang relevan.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Dosen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Yenni Patriani, M.A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4"/>
        <w:tblW w:w="140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62"/>
        <w:gridCol w:w="2355"/>
        <w:gridCol w:w="1970"/>
        <w:gridCol w:w="2311"/>
        <w:gridCol w:w="2366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Minggu</w:t>
            </w:r>
          </w:p>
          <w:p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Sub-CPMK</w:t>
            </w:r>
          </w:p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 Pembelajaran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menyesuaikan diri dengan peraturan perkuliahan,dapat menjelaskan dan memahami materi perkuliahan selama satu semester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Sisipan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Pengenalan Mahasiswa.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Mampu menyebutkan dan memahami perubahan dalam penggunaan dhamir.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6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val="sv-SE"/>
              </w:rPr>
              <w:t>Mahasiswa mampu me</w:t>
            </w:r>
            <w:r>
              <w:rPr>
                <w:rFonts w:eastAsia="Times New Roman"/>
                <w:szCs w:val="24"/>
              </w:rPr>
              <w:t xml:space="preserve">ngenali dan </w:t>
            </w:r>
            <w:r>
              <w:rPr>
                <w:rFonts w:eastAsia="Times New Roman"/>
                <w:szCs w:val="24"/>
                <w:lang w:val="en-US"/>
              </w:rPr>
              <w:t>dan memahami perubahan penggunaan dhamir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pStyle w:val="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</w:t>
            </w:r>
            <w:r>
              <w:rPr>
                <w:rFonts w:hint="eastAsia" w:ascii="SimSun" w:hAnsi="SimSun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>dan penguasaan materi yang dipelajari serta penugasan.</w:t>
            </w:r>
          </w:p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72"/>
              <w:rPr>
                <w:szCs w:val="24"/>
              </w:rPr>
            </w:pPr>
            <w:r>
              <w:rPr>
                <w:szCs w:val="24"/>
                <w:lang w:val="en-US"/>
              </w:rPr>
              <w:t>Memahami makna dhamir.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72"/>
              <w:rPr>
                <w:szCs w:val="24"/>
              </w:rPr>
            </w:pPr>
            <w:r>
              <w:rPr>
                <w:szCs w:val="24"/>
              </w:rPr>
              <w:t xml:space="preserve">Mengenal dan </w:t>
            </w:r>
            <w:r>
              <w:rPr>
                <w:szCs w:val="24"/>
                <w:lang w:val="en-US"/>
              </w:rPr>
              <w:t>memahami macam-macam dhamir</w:t>
            </w:r>
            <w:r>
              <w:rPr>
                <w:szCs w:val="24"/>
              </w:rPr>
              <w:t>.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72"/>
              <w:rPr>
                <w:szCs w:val="24"/>
              </w:rPr>
            </w:pPr>
            <w:r>
              <w:rPr>
                <w:szCs w:val="24"/>
                <w:lang w:val="en-US"/>
              </w:rPr>
              <w:t>Mengenal dan memahami perubahan dalam penggunaan dhamir</w:t>
            </w:r>
            <w:r>
              <w:rPr>
                <w:szCs w:val="24"/>
              </w:rPr>
              <w:t>.</w:t>
            </w:r>
          </w:p>
          <w:p>
            <w:pPr>
              <w:pStyle w:val="5"/>
              <w:spacing w:after="0" w:line="240" w:lineRule="auto"/>
              <w:ind w:left="272"/>
              <w:rPr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  <w:r>
              <w:rPr>
                <w:rFonts w:hint="cs" w:cs="Times New Roman"/>
                <w:szCs w:val="24"/>
                <w:rtl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التع</w:t>
            </w:r>
            <w:r>
              <w:rPr>
                <w:rFonts w:hint="cs" w:asciiTheme="majorBidi" w:hAnsiTheme="majorBidi" w:cstheme="majorBidi"/>
                <w:color w:val="333333"/>
                <w:rtl/>
                <w:lang w:eastAsia="id-ID"/>
              </w:rPr>
              <w:t>ا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رف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360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  <w:lang w:val="en-US"/>
              </w:rPr>
              <w:t xml:space="preserve">Mahasiswa dapat mengaplikasikan dhomir mutakallim (mufrod)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التع</w:t>
            </w:r>
            <w:r>
              <w:rPr>
                <w:rFonts w:hint="cs" w:asciiTheme="majorBidi" w:hAnsiTheme="majorBidi" w:cstheme="majorBidi"/>
                <w:color w:val="333333"/>
                <w:rtl/>
                <w:lang w:eastAsia="id-ID"/>
              </w:rPr>
              <w:t>ا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رف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pStyle w:val="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menyusun dan menulis insya’ tentang materi 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penugasan.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Praktek menggunakan Dhomir Mutakallim (mufrod)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ke dalam insya’.</w:t>
            </w:r>
          </w:p>
          <w:p>
            <w:pPr>
              <w:pStyle w:val="5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  <w:r>
              <w:rPr>
                <w:rFonts w:hint="cs" w:cs="Times New Roman"/>
                <w:szCs w:val="24"/>
                <w:rtl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الجنسية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193"/>
              <w:rPr>
                <w:b/>
                <w:bCs/>
                <w:szCs w:val="24"/>
              </w:rPr>
            </w:pPr>
            <w:r>
              <w:rPr>
                <w:szCs w:val="24"/>
                <w:lang w:val="en-US"/>
              </w:rPr>
              <w:t xml:space="preserve">Mahasiswa dapat mengaplikasikan dhomir jama’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الجنسية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 dipelajari serta penugasan.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Praktek menggunakan Dhomir Mutakallim (Jama’)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ke dalam insya’.</w:t>
            </w:r>
          </w:p>
          <w:p>
            <w:pPr>
              <w:pStyle w:val="5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memahami tentang </w:t>
            </w:r>
            <w:r>
              <w:rPr>
                <w:rFonts w:asciiTheme="majorBidi" w:hAnsiTheme="majorBidi" w:cstheme="majorBidi"/>
                <w:color w:val="333333"/>
                <w:lang w:val="en-US" w:eastAsia="id-ID"/>
              </w:rPr>
              <w:t>b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eberapa </w:t>
            </w:r>
            <w:r>
              <w:rPr>
                <w:rFonts w:asciiTheme="majorBidi" w:hAnsiTheme="majorBidi" w:cstheme="majorBidi"/>
                <w:color w:val="333333"/>
                <w:lang w:val="en-US" w:eastAsia="id-ID"/>
              </w:rPr>
              <w:t>p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erubahan dalam kata ganti orang kedua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149"/>
              <w:rPr>
                <w:rFonts w:eastAsia="Times New Roman"/>
                <w:szCs w:val="24"/>
              </w:rPr>
            </w:pPr>
            <w:r>
              <w:rPr>
                <w:szCs w:val="24"/>
                <w:lang w:val="en-US"/>
              </w:rPr>
              <w:t>Mahasiswa memahami perubahan dhomir mukhathab mufrod, mutsanna dan jama’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penguasaan materi yang dipelajari serta penugasan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Praktek menggunakan </w:t>
            </w:r>
            <w:r>
              <w:rPr>
                <w:rFonts w:eastAsia="Times New Roman" w:cs="Times New Roman"/>
                <w:iCs/>
                <w:szCs w:val="24"/>
                <w:lang w:val="en-US"/>
              </w:rPr>
              <w:t>Dhomir Mukhathab (mufrod) ke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membuat 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المهنة</w:t>
            </w:r>
          </w:p>
          <w:p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szCs w:val="24"/>
                <w:lang w:val="en-US"/>
              </w:rPr>
              <w:t xml:space="preserve">Mahasiswa dapat mengaplikasikan dhomir mukhathab mutsanna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المهنة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 dipelajari serta penugasan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198"/>
              <w:rPr>
                <w:rFonts w:eastAsia="Times New Roman"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Praktek menggunakan </w:t>
            </w:r>
            <w:r>
              <w:rPr>
                <w:rFonts w:eastAsia="Times New Roman"/>
                <w:iCs/>
                <w:szCs w:val="24"/>
                <w:lang w:val="en-US"/>
              </w:rPr>
              <w:t>Dhomir Mukhathab (mutsanna) ke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membuat 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الزراعة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0"/>
              <w:rPr>
                <w:rFonts w:eastAsia="Times New Roman"/>
                <w:szCs w:val="24"/>
              </w:rPr>
            </w:pPr>
            <w:r>
              <w:rPr>
                <w:szCs w:val="24"/>
                <w:lang w:val="en-US"/>
              </w:rPr>
              <w:t xml:space="preserve">Mahasiswa dapat mengaplikasikan dhomir mukhathab mutsanna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الزراعة 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penguasaan materi yang dipelajari serta penugasan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33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Praktek menggunakan </w:t>
            </w:r>
            <w:r>
              <w:rPr>
                <w:rFonts w:eastAsia="Times New Roman"/>
                <w:iCs/>
                <w:szCs w:val="24"/>
                <w:lang w:val="en-US"/>
              </w:rPr>
              <w:t>Dhomir Mukhathab (Jama’) ke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1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UjianTengah Semester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memahami tentang </w:t>
            </w:r>
            <w:r>
              <w:rPr>
                <w:rFonts w:asciiTheme="majorBidi" w:hAnsiTheme="majorBidi" w:cstheme="majorBidi"/>
                <w:color w:val="333333"/>
                <w:lang w:val="en-US" w:eastAsia="id-ID"/>
              </w:rPr>
              <w:t>b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eberapa </w:t>
            </w:r>
            <w:r>
              <w:rPr>
                <w:rFonts w:asciiTheme="majorBidi" w:hAnsiTheme="majorBidi" w:cstheme="majorBidi"/>
                <w:color w:val="333333"/>
                <w:lang w:val="en-US" w:eastAsia="id-ID"/>
              </w:rPr>
              <w:t>p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erubahan dalam kata ganti orang ketiga</w:t>
            </w:r>
            <w:r>
              <w:rPr>
                <w:rFonts w:asciiTheme="majorBidi" w:hAnsiTheme="majorBidi" w:cstheme="majorBidi"/>
                <w:color w:val="333333"/>
                <w:lang w:val="en-US" w:eastAsia="id-ID"/>
              </w:rPr>
              <w:t>.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7"/>
              <w:rPr>
                <w:rFonts w:eastAsia="Times New Roman"/>
                <w:szCs w:val="24"/>
              </w:rPr>
            </w:pPr>
            <w:r>
              <w:rPr>
                <w:szCs w:val="24"/>
                <w:lang w:val="en-US"/>
              </w:rPr>
              <w:t>Mahasiswa memahami perubahan dhomir ghaib mufrod, mutsanna dan jama’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penguasaan materi yang dipelajari serta penugasan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33"/>
              <w:rPr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Praktek menggunakan </w:t>
            </w:r>
            <w:r>
              <w:rPr>
                <w:szCs w:val="24"/>
                <w:lang w:val="en-US"/>
              </w:rPr>
              <w:t>Dhomir ghoib mufrod, mutsanna, dan jama’ ke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membuat 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الأسرة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149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Mahasiswa dapat mengaplikasikan dhomir ghoib mufrod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الأسرة   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penguasaan materi yang dipelajari serta penugasan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33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>Praktek menggunakan Dhomir ghoib mufrod</w:t>
            </w:r>
          </w:p>
          <w:p>
            <w:pPr>
              <w:spacing w:after="0" w:line="240" w:lineRule="auto"/>
              <w:ind w:left="-60"/>
              <w:rPr>
                <w:rFonts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شهر رمضان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Mahasiswa dapat mengaplikasikan dhomir ghoib mutsanna ke dalam bentuk insya’ dengan tema 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eastAsia="Times New Roman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شهر رمضان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penguasaan materi yang dipelajari serta penugasan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33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>Praktek menggunakan Dhomir ghoib mutsanna dalam insya’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</w:p>
          <w:p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عيد الفطر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Mahasiswa dapat mengaplikasikan dhomir ghoib jama’ ke dalam bentuk insya’ dengan tema :</w:t>
            </w:r>
          </w:p>
          <w:p>
            <w:pPr>
              <w:pStyle w:val="5"/>
              <w:spacing w:after="0" w:line="240" w:lineRule="auto"/>
              <w:ind w:left="297"/>
              <w:rPr>
                <w:rFonts w:eastAsia="Times New Roman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عيد الفطر 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33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Praktek menggunakan </w:t>
            </w:r>
            <w:r>
              <w:rPr>
                <w:rFonts w:eastAsia="Times New Roman"/>
                <w:szCs w:val="24"/>
                <w:lang w:val="en-US"/>
              </w:rPr>
              <w:t>Dhomir ghoib jama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</w:p>
          <w:p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عيد الأضحى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Mahasiswa dapat mengaplikasikan dhomir mutakallim jama’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عيد الأضحى</w:t>
            </w:r>
          </w:p>
          <w:p>
            <w:pPr>
              <w:pStyle w:val="5"/>
              <w:spacing w:after="0" w:line="240" w:lineRule="auto"/>
              <w:ind w:left="303"/>
              <w:rPr>
                <w:rFonts w:eastAsia="Times New Roman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imSun" w:hAnsi="SimSun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</w:t>
            </w:r>
            <w:r>
              <w:rPr>
                <w:rFonts w:hint="eastAsia" w:ascii="SimSun" w:hAnsi="SimSun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>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33"/>
              <w:rPr>
                <w:szCs w:val="24"/>
              </w:rPr>
            </w:pPr>
            <w:r>
              <w:rPr>
                <w:szCs w:val="24"/>
                <w:lang w:val="en-US"/>
              </w:rPr>
              <w:t>Mengulang kembali penggunaan Dhomir mutakallim jama’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العطلة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Mahasiswa dapat mengaplikasikan dhomir mukhathab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العطلة  </w:t>
            </w:r>
          </w:p>
          <w:p>
            <w:pPr>
              <w:pStyle w:val="5"/>
              <w:spacing w:after="0" w:line="240" w:lineRule="auto"/>
              <w:ind w:left="267"/>
              <w:rPr>
                <w:rFonts w:eastAsia="Times New Roman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33"/>
              <w:rPr>
                <w:szCs w:val="24"/>
              </w:rPr>
            </w:pPr>
            <w:r>
              <w:rPr>
                <w:szCs w:val="24"/>
                <w:lang w:val="en-US"/>
              </w:rPr>
              <w:t>Menggunakan kembali Dhomir mukhatab dalam insya’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  <w:rtl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</w:p>
          <w:p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hint="cs" w:cs="Times New Roman"/>
                <w:szCs w:val="24"/>
                <w:rtl/>
                <w:lang w:val="en-US"/>
              </w:rPr>
              <w:t>الدراسة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Mahasiswa dapat mengaplikasikan dhomir ghoib ke dalam bentuk insya’ dengan tema : </w:t>
            </w:r>
            <w:r>
              <w:rPr>
                <w:rFonts w:hint="cs"/>
                <w:szCs w:val="24"/>
                <w:rtl/>
                <w:lang w:val="en-US"/>
              </w:rPr>
              <w:t>الدراسة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 </w:t>
            </w:r>
          </w:p>
          <w:p>
            <w:pPr>
              <w:pStyle w:val="5"/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after="0" w:line="240" w:lineRule="auto"/>
              <w:ind w:left="33"/>
              <w:rPr>
                <w:bCs/>
                <w:szCs w:val="24"/>
              </w:rPr>
            </w:pPr>
            <w:r>
              <w:rPr>
                <w:szCs w:val="24"/>
                <w:lang w:val="en-US"/>
              </w:rPr>
              <w:t>Menggunakan kembali Dhomir ghoib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spacing w:after="0" w:line="240" w:lineRule="auto"/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3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>
      <w:pPr>
        <w:pStyle w:val="5"/>
        <w:spacing w:after="0" w:line="240" w:lineRule="auto"/>
        <w:rPr>
          <w:rFonts w:eastAsia="Times New Roman"/>
          <w:szCs w:val="24"/>
          <w:lang w:val="en-US" w:eastAsia="id-ID"/>
        </w:rPr>
      </w:pP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eastAsia="id-ID"/>
        </w:rPr>
        <w:t>Mengetahui,</w:t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>Bengkulu, 2 Maret 202</w:t>
      </w:r>
      <w:r>
        <w:rPr>
          <w:rFonts w:hint="default" w:eastAsia="Times New Roman"/>
          <w:szCs w:val="24"/>
          <w:lang w:val="en-US" w:eastAsia="id-ID"/>
        </w:rPr>
        <w:t>3</w:t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eastAsia="id-ID"/>
        </w:rPr>
        <w:t>Koordinator</w:t>
      </w:r>
      <w:r>
        <w:rPr>
          <w:rFonts w:eastAsia="Times New Roman"/>
          <w:szCs w:val="24"/>
          <w:lang w:val="en-US" w:eastAsia="id-ID"/>
        </w:rPr>
        <w:t xml:space="preserve"> Prodi</w:t>
      </w:r>
      <w:r>
        <w:rPr>
          <w:rFonts w:eastAsia="Times New Roman"/>
          <w:szCs w:val="24"/>
          <w:lang w:eastAsia="id-ID"/>
        </w:rPr>
        <w:t xml:space="preserve"> </w:t>
      </w:r>
      <w:r>
        <w:rPr>
          <w:rFonts w:eastAsia="Times New Roman"/>
          <w:szCs w:val="24"/>
          <w:lang w:val="en-US" w:eastAsia="id-ID"/>
        </w:rPr>
        <w:t>BSA</w:t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>Dosen Pengampu</w:t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</w:p>
    <w:p>
      <w:pPr>
        <w:pStyle w:val="5"/>
        <w:spacing w:after="0" w:line="240" w:lineRule="auto"/>
        <w:rPr>
          <w:rFonts w:eastAsia="Times New Roman"/>
          <w:szCs w:val="24"/>
          <w:lang w:val="en-US" w:eastAsia="id-ID"/>
        </w:rPr>
      </w:pPr>
    </w:p>
    <w:p>
      <w:pPr>
        <w:pStyle w:val="6"/>
        <w:tabs>
          <w:tab w:val="left" w:pos="10180"/>
        </w:tabs>
        <w:rPr>
          <w:rFonts w:eastAsia="Times New Roman" w:cs="Times New Roman"/>
          <w:lang w:val="en-US" w:eastAsia="id-ID"/>
        </w:rPr>
      </w:pPr>
      <w:r>
        <w:rPr>
          <w:rFonts w:eastAsia="Times New Roman" w:cs="Times New Roman"/>
          <w:b/>
          <w:bCs/>
          <w:lang w:val="en-US" w:eastAsia="id-ID"/>
        </w:rPr>
        <w:tab/>
      </w:r>
    </w:p>
    <w:p>
      <w:pPr>
        <w:pStyle w:val="6"/>
        <w:tabs>
          <w:tab w:val="left" w:pos="720"/>
          <w:tab w:val="left" w:pos="1528"/>
        </w:tabs>
        <w:rPr>
          <w:lang w:val="en-US"/>
        </w:rPr>
      </w:pP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eastAsia="id-ID"/>
        </w:rPr>
        <w:tab/>
      </w:r>
      <w:r>
        <w:rPr>
          <w:rFonts w:hint="default"/>
          <w:lang w:val="en-US"/>
        </w:rPr>
        <w:t>Falahun Ni’am</w:t>
      </w:r>
      <w:r>
        <w:rPr>
          <w:lang w:val="en-US"/>
        </w:rPr>
        <w:t>, M.Pd</w:t>
      </w:r>
      <w:r>
        <w:rPr>
          <w:rFonts w:hint="default"/>
          <w:lang w:val="en-US"/>
        </w:rPr>
        <w:t>.I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Yenni Patriani, M.A</w:t>
      </w:r>
    </w:p>
    <w:p>
      <w:pPr>
        <w:spacing w:after="0" w:line="240" w:lineRule="auto"/>
        <w:rPr>
          <w:rFonts w:eastAsia="Times New Roman" w:cs="Times New Roman"/>
          <w:szCs w:val="24"/>
          <w:lang w:val="en-US" w:eastAsia="id-ID"/>
        </w:rPr>
      </w:pP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val="en-US" w:eastAsia="id-ID"/>
        </w:rPr>
        <w:tab/>
      </w:r>
      <w:r>
        <w:rPr>
          <w:rFonts w:eastAsia="Times New Roman" w:cs="Times New Roman"/>
          <w:szCs w:val="24"/>
          <w:lang w:val="en-US" w:eastAsia="id-ID"/>
        </w:rPr>
        <w:tab/>
      </w:r>
      <w:r>
        <w:rPr>
          <w:rFonts w:eastAsia="Times New Roman" w:cs="Times New Roman"/>
          <w:szCs w:val="24"/>
          <w:lang w:val="en-US" w:eastAsia="id-ID"/>
        </w:rPr>
        <w:tab/>
      </w:r>
    </w:p>
    <w:p>
      <w:pPr>
        <w:pStyle w:val="5"/>
        <w:spacing w:after="0" w:line="240" w:lineRule="auto"/>
        <w:ind w:left="1446"/>
        <w:rPr>
          <w:rFonts w:eastAsia="Times New Roman"/>
          <w:szCs w:val="24"/>
          <w:lang w:val="en-US" w:eastAsia="id-ID"/>
        </w:rPr>
      </w:pPr>
    </w:p>
    <w:p>
      <w:pPr>
        <w:pStyle w:val="5"/>
        <w:spacing w:after="0" w:line="240" w:lineRule="auto"/>
        <w:ind w:left="1446"/>
        <w:rPr>
          <w:rFonts w:eastAsia="Times New Roman"/>
          <w:szCs w:val="24"/>
          <w:lang w:eastAsia="id-ID"/>
        </w:rPr>
      </w:pPr>
    </w:p>
    <w:p>
      <w:pPr>
        <w:pStyle w:val="6"/>
        <w:rPr>
          <w:u w:val="single"/>
        </w:rPr>
      </w:pPr>
      <w:r>
        <w:t xml:space="preserve">                                                                                                                              </w:t>
      </w: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u w:val="single"/>
          <w:lang w:val="en-US"/>
        </w:rPr>
        <w:t xml:space="preserve"> </w:t>
      </w:r>
    </w:p>
    <w:p>
      <w:pPr>
        <w:pStyle w:val="5"/>
        <w:spacing w:after="0" w:line="240" w:lineRule="auto"/>
        <w:jc w:val="center"/>
        <w:rPr>
          <w:rFonts w:eastAsia="Times New Roman"/>
          <w:szCs w:val="24"/>
          <w:lang w:eastAsia="id-ID"/>
        </w:rPr>
      </w:pPr>
    </w:p>
    <w:p>
      <w:pPr>
        <w:pStyle w:val="6"/>
        <w:jc w:val="center"/>
        <w:rPr>
          <w:rFonts w:cs="Times New Roman"/>
        </w:rPr>
      </w:pPr>
    </w:p>
    <w:p>
      <w:pPr>
        <w:rPr>
          <w:rFonts w:cs="Times New Roman"/>
          <w:szCs w:val="24"/>
        </w:rPr>
      </w:pPr>
    </w:p>
    <w:p/>
    <w:p/>
    <w:p/>
    <w:p/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D"/>
    <w:multiLevelType w:val="multilevel"/>
    <w:tmpl w:val="0000001D"/>
    <w:lvl w:ilvl="0" w:tentative="0">
      <w:start w:val="1"/>
      <w:numFmt w:val="bullet"/>
      <w:lvlText w:val="-"/>
      <w:lvlJc w:val="left"/>
      <w:pPr>
        <w:ind w:left="867" w:hanging="360"/>
      </w:pPr>
      <w:rPr>
        <w:rFonts w:hint="default" w:ascii="Cambria" w:hAnsi="Cambria" w:eastAsia="Calibri" w:cs="Times New Roman"/>
      </w:rPr>
    </w:lvl>
    <w:lvl w:ilvl="1" w:tentative="0">
      <w:start w:val="1"/>
      <w:numFmt w:val="bullet"/>
      <w:lvlText w:val="o"/>
      <w:lvlJc w:val="left"/>
      <w:pPr>
        <w:ind w:left="15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7" w:hanging="360"/>
      </w:pPr>
      <w:rPr>
        <w:rFonts w:hint="default" w:ascii="Wingdings" w:hAnsi="Wingdings"/>
      </w:rPr>
    </w:lvl>
  </w:abstractNum>
  <w:abstractNum w:abstractNumId="2">
    <w:nsid w:val="2B4F416D"/>
    <w:multiLevelType w:val="multilevel"/>
    <w:tmpl w:val="2B4F416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D6D72"/>
    <w:rsid w:val="338D6D72"/>
    <w:rsid w:val="7D1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SimSun"/>
      <w:sz w:val="24"/>
      <w:szCs w:val="22"/>
      <w:lang w:val="id-ID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Calibri" w:cs="SimSun"/>
      <w:sz w:val="24"/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cs="Times New Roman" w:eastAsiaTheme="minorHAnsi"/>
    </w:r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Calibri" w:cs="SimSun"/>
      <w:sz w:val="24"/>
      <w:szCs w:val="22"/>
      <w:lang w:val="id-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2023-07-31T03:34:00Z</dcterms:created>
  <dc:creator>user</dc:creator>
  <cp:lastModifiedBy>user</cp:lastModifiedBy>
  <dcterms:modified xsi:type="dcterms:W3CDTF">2023-07-31T03:42:09Z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0A55B0686E5C4A1998AEC364A5450C68</vt:lpwstr>
  </property>
</Properties>
</file>