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6D" w:rsidRDefault="008D346D" w:rsidP="008D3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D346D" w:rsidRPr="00DD2942" w:rsidRDefault="008D346D" w:rsidP="008D346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B8A3FD2" wp14:editId="01BF4611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8D346D" w:rsidRPr="008D346D" w:rsidRDefault="008D346D" w:rsidP="008D34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SYARI’AH</w:t>
      </w:r>
    </w:p>
    <w:p w:rsidR="008D346D" w:rsidRPr="00393AC4" w:rsidRDefault="008D346D" w:rsidP="008D34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8D346D" w:rsidRDefault="002864BD" w:rsidP="008D346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8D346D" w:rsidRPr="008D346D" w:rsidRDefault="008D346D" w:rsidP="00C2719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D31840" w:rsidRPr="00C2719C" w:rsidRDefault="00C2719C" w:rsidP="008D3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C2719C" w:rsidRDefault="00C2719C" w:rsidP="00C2719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D31840">
        <w:tc>
          <w:tcPr>
            <w:tcW w:w="3069" w:type="dxa"/>
          </w:tcPr>
          <w:p w:rsidR="00D31840" w:rsidRDefault="00D318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D31840" w:rsidRDefault="00D318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D31840" w:rsidRDefault="00D318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40" w:rsidRPr="00C2719C" w:rsidRDefault="00C2719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Fiqh</w:t>
            </w: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Jinayat</w:t>
            </w:r>
            <w:proofErr w:type="spellEnd"/>
          </w:p>
        </w:tc>
      </w:tr>
      <w:tr w:rsidR="00D31840">
        <w:tc>
          <w:tcPr>
            <w:tcW w:w="306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D31840" w:rsidRPr="00835506" w:rsidRDefault="00D318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C2719C">
        <w:tc>
          <w:tcPr>
            <w:tcW w:w="3069" w:type="dxa"/>
          </w:tcPr>
          <w:p w:rsidR="00C2719C" w:rsidRPr="00C2719C" w:rsidRDefault="00C2719C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C2719C" w:rsidRPr="00C2719C" w:rsidRDefault="00C2719C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C2719C" w:rsidRPr="00C2719C" w:rsidRDefault="00C2719C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Mu’amalah</w:t>
            </w:r>
            <w:proofErr w:type="spellEnd"/>
          </w:p>
        </w:tc>
      </w:tr>
      <w:tr w:rsidR="00D31840">
        <w:tc>
          <w:tcPr>
            <w:tcW w:w="306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(tiga)</w:t>
            </w:r>
          </w:p>
        </w:tc>
      </w:tr>
      <w:tr w:rsidR="00D31840">
        <w:tc>
          <w:tcPr>
            <w:tcW w:w="306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D31840">
        <w:tc>
          <w:tcPr>
            <w:tcW w:w="306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D31840">
        <w:tc>
          <w:tcPr>
            <w:tcW w:w="3069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D31840" w:rsidRDefault="00C27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D31840" w:rsidRPr="00C2719C" w:rsidRDefault="00C2719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D31840" w:rsidRDefault="00D31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2C7" w:rsidRPr="00F672C7" w:rsidRDefault="00F672C7" w:rsidP="00F672C7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DISKRIFSI MATA KULIAH</w:t>
      </w:r>
    </w:p>
    <w:p w:rsidR="00F672C7" w:rsidRPr="00F672C7" w:rsidRDefault="00F672C7" w:rsidP="00F672C7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Mata kuliah ini dimaksudkan agar para mahasiswa sebagai insan akademis relegius memiliki kompetensi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672C7">
        <w:rPr>
          <w:rFonts w:ascii="Times New Roman" w:hAnsi="Times New Roman" w:cs="Times New Roman"/>
          <w:sz w:val="24"/>
          <w:szCs w:val="24"/>
        </w:rPr>
        <w:t>akademis dan atau profession</w:t>
      </w:r>
      <w:r>
        <w:rPr>
          <w:rFonts w:ascii="Times New Roman" w:hAnsi="Times New Roman" w:cs="Times New Roman"/>
          <w:sz w:val="24"/>
          <w:szCs w:val="24"/>
        </w:rPr>
        <w:t>al di bidang hukum pidana Islam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672C7">
        <w:rPr>
          <w:rFonts w:ascii="Times New Roman" w:hAnsi="Times New Roman" w:cs="Times New Roman"/>
          <w:sz w:val="24"/>
          <w:szCs w:val="24"/>
        </w:rPr>
        <w:t>sehingga mampu menjadi tenaga akademik dan atau professional di lembaga-lembaga peradilan seperti hakim, jaksa, panitera dan advokat.</w:t>
      </w:r>
    </w:p>
    <w:p w:rsidR="00F672C7" w:rsidRPr="00F672C7" w:rsidRDefault="00F672C7" w:rsidP="00F672C7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CAPAIAN PEMBELAJARAN:</w:t>
      </w:r>
    </w:p>
    <w:p w:rsidR="00D31840" w:rsidRDefault="00F672C7" w:rsidP="00F672C7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 xml:space="preserve">Mahasiswa mampu mengetahui, memahami, dan mendiskripsikan pengertian tindak pidana, unsur-unsur tindak pidana, azas-azas hukum pidana, tujuan pemidanaan, pertanggungjawaban pidana dan pemidanaan dalam Islam serta klasifikasi tindak pidana dalam Islam. Pemahaman tersebut </w:t>
      </w:r>
      <w:r w:rsidRPr="00F672C7">
        <w:rPr>
          <w:rFonts w:ascii="Times New Roman" w:hAnsi="Times New Roman" w:cs="Times New Roman"/>
          <w:sz w:val="24"/>
          <w:szCs w:val="24"/>
        </w:rPr>
        <w:lastRenderedPageBreak/>
        <w:t>diharapkan akan dapat menjadi pedoman  mahasiswa untuk menghindarkan diri dari tindakan pidana. Bahkan dengan pemahaman tersebut mahasiswa diharapkan mampu menyelesaikan permasalahan yang berkaitan dengan perkara pidana.</w:t>
      </w:r>
    </w:p>
    <w:p w:rsidR="00D31840" w:rsidRDefault="00C271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269"/>
        <w:gridCol w:w="1592"/>
        <w:gridCol w:w="2216"/>
        <w:gridCol w:w="1806"/>
        <w:gridCol w:w="1299"/>
        <w:gridCol w:w="997"/>
        <w:gridCol w:w="2979"/>
      </w:tblGrid>
      <w:tr w:rsidR="00655F43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Pr="00655F43" w:rsidRDefault="00655F43" w:rsidP="00655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Pr="003B627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(3)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Pr="003B627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(4)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Pr="003B627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(6)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Pr="003B627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(7)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43" w:rsidRPr="003B6273" w:rsidRDefault="00655F43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(8)</w:t>
            </w:r>
          </w:p>
        </w:tc>
      </w:tr>
      <w:tr w:rsidR="003B6273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Minggu</w:t>
            </w:r>
            <w:proofErr w:type="spellEnd"/>
          </w:p>
          <w:p w:rsidR="003B6273" w:rsidRP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3B6273" w:rsidP="003B6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Pokok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="00893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893555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="003B6273"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6273"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3" w:rsidRPr="003B6273" w:rsidRDefault="003B6273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Sumber</w:t>
            </w:r>
            <w:proofErr w:type="spellEnd"/>
          </w:p>
        </w:tc>
      </w:tr>
      <w:tr w:rsidR="00F1268D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F6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  <w:p w:rsidR="00F1268D" w:rsidRPr="003B6273" w:rsidRDefault="00F1268D" w:rsidP="00F6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Seluruh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m</w:t>
            </w: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kewajiban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haknya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disepakati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bersama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mamapu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kewajibannya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memenusi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haknya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disepakati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CA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268D" w:rsidRPr="003B6273" w:rsidRDefault="00F1268D" w:rsidP="00CA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1x100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Audah, Abdul Qadir,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 Tasyri’ al Jina’i al Islami Muqaran bi al Qanun al Wad’i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>, Juz 1, Beirut: Dar al Katib al A’rabi, tt.</w:t>
            </w:r>
          </w:p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Zahra, Muhammad Abu,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 Jarimah wa al ‘Uqubah fi al Fiqh al Islami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 Jarimah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>,  Dar  al Fkr al Arabi, tt.</w:t>
            </w:r>
          </w:p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Zahrah, Muhammad Abu,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 Jarimah wa al ‘Uqubah fi al Fiqh al Islami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Uqubah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Dar  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 Fkr al Arabi, tt.</w:t>
            </w:r>
          </w:p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Muslich, Ahmad Wardi,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Pengantar dan Azas Hukum Pidana Islam Fkih Jinayah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</w:rPr>
              <w:t>, Jakarta: Sinar Grafika, 2004.</w:t>
            </w:r>
          </w:p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Membumikan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Hukum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Pidana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Islam :</w:t>
            </w:r>
            <w:proofErr w:type="gram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Penegakan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Syariat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dalam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Wacana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dan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Agenda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Jakarta: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Gema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Insani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2003.</w:t>
            </w:r>
          </w:p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Mehat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Hashim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Islamic Criminal Law and Criminal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Behaviour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Selangor: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Sdn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Bhd., 1993</w:t>
            </w:r>
            <w:proofErr w:type="gram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</w:p>
          <w:p w:rsidR="00F1268D" w:rsidRPr="00753443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Mawardi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Abu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Hasan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Ali,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Kitab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Ahkam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Sulthaniah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Beirut: Dar al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Fikr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tt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F1268D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Mohammad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Ibn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Ibrahim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Ibn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Jubair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3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Criminal Law in Islam: Basic Sources and General Principle</w:t>
            </w:r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Mahmood</w:t>
            </w:r>
            <w:proofErr w:type="spellEnd"/>
            <w:r w:rsidRPr="00753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Tahir  et al, Criminal Law in Islam and the Muslim World: A Comparative Perspective,  New Delhi: Institute of Objective Studies, 1996</w:t>
            </w:r>
            <w:r w:rsidRPr="0075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F1268D" w:rsidRPr="00F1268D" w:rsidRDefault="00F1268D" w:rsidP="00F1268D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Qi'a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Muhammad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Abd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Mun'im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Nadzratul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Qur'ani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ila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Jarimah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wa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I'qab</w:t>
            </w:r>
            <w:proofErr w:type="spellEnd"/>
            <w:proofErr w:type="gramEnd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Kairo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Dar al </w:t>
            </w:r>
            <w:proofErr w:type="spellStart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Manar</w:t>
            </w:r>
            <w:proofErr w:type="spellEnd"/>
            <w:r w:rsidRPr="00F12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1988.</w:t>
            </w:r>
          </w:p>
        </w:tc>
      </w:tr>
      <w:tr w:rsidR="00F1268D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sumber-sumber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MX"/>
              </w:rPr>
              <w:t>Mashadirut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MX"/>
              </w:rPr>
              <w:t>Tasyri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MX"/>
              </w:rPr>
              <w:t xml:space="preserve"> al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MX"/>
              </w:rPr>
              <w:t>Jina'i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MX"/>
              </w:rPr>
              <w:t xml:space="preserve"> </w:t>
            </w: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Sumber-sumber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Fiqh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Jinayah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sumber-sumber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FA6F75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Azaz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Legalitas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Fiqh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Jinayah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Azas-Azas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Fiqh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Jinayah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Legalitas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legalitas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legalitas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FA6F75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Azaz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Retro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Fiqh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Jinayah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Islam)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berlakunya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Azas-Azas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Fiqh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Jinayah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Retro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berlakunya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retro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berlakunya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retro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unsur-unsur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Unsur-Unsur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unsur-unsur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mengklasifikasikan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unsur-unsur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F126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pertanggungjawaban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Pertanggung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pertanggungjawaban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pertanggungjawaban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5F56FE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dikenakannya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Hukuman</w:t>
            </w:r>
            <w:proofErr w:type="spellEnd"/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 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0534F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75584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penggabungan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Gabungan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penggabungan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penggabungan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E2547C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hapusnya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Hapusnya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hapusnya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hapusnya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F1268D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pengklasifikasian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tindak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pidana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EB5E5C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hudud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Hudud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hudud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hudud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311872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diyat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Diyat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diyat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qisas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diyat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465A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ta'zir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Ta'zir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ta'zir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jarimah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ta'zir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268D" w:rsidRPr="003B6273" w:rsidTr="00465A8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6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Akhr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1x90 </w:t>
            </w:r>
            <w:proofErr w:type="spellStart"/>
            <w:r w:rsidRPr="003B62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D" w:rsidRPr="003B6273" w:rsidRDefault="00F1268D" w:rsidP="003B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</w:tbl>
    <w:p w:rsidR="00CA65F2" w:rsidRDefault="00CA65F2" w:rsidP="00CA65F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6273" w:rsidRPr="003B6273" w:rsidRDefault="00F1268D" w:rsidP="00CA65F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 w:rsidR="00CA65F2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Bengkulu, 15 </w:t>
      </w:r>
      <w:proofErr w:type="spellStart"/>
      <w:r w:rsidR="00CA65F2">
        <w:rPr>
          <w:rFonts w:ascii="Times New Roman" w:eastAsia="Times New Roman" w:hAnsi="Times New Roman" w:cs="Times New Roman"/>
          <w:sz w:val="24"/>
          <w:szCs w:val="24"/>
          <w:lang w:val="en-ID"/>
        </w:rPr>
        <w:t>Agustus</w:t>
      </w:r>
      <w:proofErr w:type="spellEnd"/>
      <w:r w:rsidR="00CA65F2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2018</w:t>
      </w:r>
      <w:r w:rsidR="003B6273" w:rsidRPr="003B6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273" w:rsidRDefault="00CA65F2" w:rsidP="00F1268D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B6273"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="003B6273" w:rsidRPr="003B62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</w:t>
      </w:r>
      <w:proofErr w:type="spellStart"/>
      <w:r w:rsidR="003B6273"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>osen</w:t>
      </w:r>
      <w:proofErr w:type="spellEnd"/>
      <w:r w:rsidR="003B6273"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6273"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>Pengampu</w:t>
      </w:r>
      <w:proofErr w:type="spellEnd"/>
      <w:r w:rsidR="003B6273"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F1268D" w:rsidRDefault="00F1268D" w:rsidP="00F1268D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268D" w:rsidRPr="003B6273" w:rsidRDefault="00F1268D" w:rsidP="00F1268D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Khairuddin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Wahid</w:t>
      </w:r>
    </w:p>
    <w:sectPr w:rsidR="00F1268D" w:rsidRPr="003B6273" w:rsidSect="008D346D">
      <w:pgSz w:w="16838" w:h="11906" w:orient="landscape" w:code="9"/>
      <w:pgMar w:top="198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B463E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E83E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D8E77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03464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D3CD2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0306B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77EB7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CE123D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03C28EB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EA7C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9F0658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8C46F0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4D529512"/>
    <w:lvl w:ilvl="0" w:tplc="E0B06A9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B8E7F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5F84B80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7B8AEE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EF012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9B284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9604A9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A9D278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86AAD2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0660075A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A45493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17E1D"/>
    <w:multiLevelType w:val="hybridMultilevel"/>
    <w:tmpl w:val="580415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47CA7"/>
    <w:multiLevelType w:val="hybridMultilevel"/>
    <w:tmpl w:val="DEC27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9959D5"/>
    <w:multiLevelType w:val="hybridMultilevel"/>
    <w:tmpl w:val="207A7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4078D"/>
    <w:multiLevelType w:val="hybridMultilevel"/>
    <w:tmpl w:val="EA683948"/>
    <w:lvl w:ilvl="0" w:tplc="66288A3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8"/>
  </w:num>
  <w:num w:numId="4">
    <w:abstractNumId w:val="15"/>
  </w:num>
  <w:num w:numId="5">
    <w:abstractNumId w:val="20"/>
  </w:num>
  <w:num w:numId="6">
    <w:abstractNumId w:val="10"/>
  </w:num>
  <w:num w:numId="7">
    <w:abstractNumId w:val="16"/>
  </w:num>
  <w:num w:numId="8">
    <w:abstractNumId w:val="13"/>
  </w:num>
  <w:num w:numId="9">
    <w:abstractNumId w:val="14"/>
  </w:num>
  <w:num w:numId="10">
    <w:abstractNumId w:val="19"/>
  </w:num>
  <w:num w:numId="11">
    <w:abstractNumId w:val="21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  <w:num w:numId="16">
    <w:abstractNumId w:val="7"/>
  </w:num>
  <w:num w:numId="17">
    <w:abstractNumId w:val="18"/>
  </w:num>
  <w:num w:numId="18">
    <w:abstractNumId w:val="2"/>
  </w:num>
  <w:num w:numId="19">
    <w:abstractNumId w:val="22"/>
  </w:num>
  <w:num w:numId="20">
    <w:abstractNumId w:val="11"/>
  </w:num>
  <w:num w:numId="21">
    <w:abstractNumId w:val="17"/>
  </w:num>
  <w:num w:numId="22">
    <w:abstractNumId w:val="9"/>
  </w:num>
  <w:num w:numId="23">
    <w:abstractNumId w:val="5"/>
  </w:num>
  <w:num w:numId="24">
    <w:abstractNumId w:val="12"/>
  </w:num>
  <w:num w:numId="25">
    <w:abstractNumId w:val="25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1840"/>
    <w:rsid w:val="00040E11"/>
    <w:rsid w:val="002864BD"/>
    <w:rsid w:val="002B017D"/>
    <w:rsid w:val="0032613C"/>
    <w:rsid w:val="003B6273"/>
    <w:rsid w:val="00655F43"/>
    <w:rsid w:val="007345C8"/>
    <w:rsid w:val="00753443"/>
    <w:rsid w:val="00835506"/>
    <w:rsid w:val="00893555"/>
    <w:rsid w:val="008D346D"/>
    <w:rsid w:val="00C267D0"/>
    <w:rsid w:val="00C2719C"/>
    <w:rsid w:val="00CA65F2"/>
    <w:rsid w:val="00D31840"/>
    <w:rsid w:val="00F1268D"/>
    <w:rsid w:val="00F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7FCD0-7C0C-4814-B7D8-F964B20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Pr>
      <w:sz w:val="24"/>
      <w:szCs w:val="24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DefaultParagraphFont"/>
    <w:uiPriority w:val="99"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character" w:customStyle="1" w:styleId="ListParagraphChar">
    <w:name w:val="List Paragraph Char"/>
    <w:link w:val="ListParagraph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3062-FC97-46B0-B697-F1A4DC02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Windows User</cp:lastModifiedBy>
  <cp:revision>8</cp:revision>
  <cp:lastPrinted>2017-10-22T03:36:00Z</cp:lastPrinted>
  <dcterms:created xsi:type="dcterms:W3CDTF">2018-09-03T05:09:00Z</dcterms:created>
  <dcterms:modified xsi:type="dcterms:W3CDTF">2018-10-21T12:24:00Z</dcterms:modified>
</cp:coreProperties>
</file>