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82E" w:rsidRDefault="003870A8" w:rsidP="003870A8">
      <w:pPr>
        <w:pStyle w:val="Default"/>
        <w:jc w:val="center"/>
        <w:rPr>
          <w:b/>
          <w:lang w:val="id-ID"/>
        </w:rPr>
      </w:pPr>
      <w:r>
        <w:rPr>
          <w:b/>
          <w:lang w:val="id-ID"/>
        </w:rPr>
        <w:t>SILABUS  PASCASARJANA IAIN BENGKULU TAHUN 2018</w:t>
      </w:r>
    </w:p>
    <w:p w:rsidR="003870A8" w:rsidRDefault="003870A8" w:rsidP="0021482E">
      <w:pPr>
        <w:pStyle w:val="Default"/>
        <w:rPr>
          <w:b/>
          <w:lang w:val="id-ID"/>
        </w:rPr>
      </w:pPr>
    </w:p>
    <w:p w:rsidR="003870A8" w:rsidRPr="003870A8" w:rsidRDefault="003870A8" w:rsidP="003870A8">
      <w:pPr>
        <w:pStyle w:val="Default"/>
        <w:numPr>
          <w:ilvl w:val="0"/>
          <w:numId w:val="3"/>
        </w:numPr>
        <w:ind w:left="426" w:hanging="426"/>
        <w:rPr>
          <w:b/>
          <w:lang w:val="id-ID"/>
        </w:rPr>
      </w:pPr>
      <w:r>
        <w:rPr>
          <w:b/>
          <w:lang w:val="id-ID"/>
        </w:rPr>
        <w:t>IDENTITAS</w:t>
      </w:r>
    </w:p>
    <w:p w:rsidR="0021482E" w:rsidRPr="00A66162" w:rsidRDefault="0021482E" w:rsidP="0021482E">
      <w:pPr>
        <w:pStyle w:val="Default"/>
        <w:ind w:firstLine="360"/>
        <w:rPr>
          <w:lang w:val="it-IT"/>
        </w:rPr>
      </w:pPr>
      <w:r w:rsidRPr="00A66162">
        <w:rPr>
          <w:lang w:val="it-IT"/>
        </w:rPr>
        <w:t>Nama Mata Kuliah</w:t>
      </w:r>
      <w:r w:rsidRPr="00A66162">
        <w:rPr>
          <w:lang w:val="it-IT"/>
        </w:rPr>
        <w:tab/>
        <w:t xml:space="preserve">: Peradilan Agama di Indonesia </w:t>
      </w:r>
    </w:p>
    <w:p w:rsidR="0021482E" w:rsidRPr="00A66162" w:rsidRDefault="0021482E" w:rsidP="0021482E">
      <w:pPr>
        <w:pStyle w:val="Default"/>
        <w:ind w:firstLine="360"/>
        <w:rPr>
          <w:lang w:val="it-IT"/>
        </w:rPr>
      </w:pPr>
      <w:r w:rsidRPr="00A66162">
        <w:rPr>
          <w:lang w:val="it-IT"/>
        </w:rPr>
        <w:t xml:space="preserve">Komponen </w:t>
      </w:r>
      <w:r w:rsidRPr="00A66162">
        <w:rPr>
          <w:lang w:val="it-IT"/>
        </w:rPr>
        <w:tab/>
      </w:r>
      <w:r w:rsidRPr="00A66162">
        <w:rPr>
          <w:lang w:val="it-IT"/>
        </w:rPr>
        <w:tab/>
        <w:t xml:space="preserve">: Mata Kuliah Konsentrasi (MKK) </w:t>
      </w:r>
    </w:p>
    <w:p w:rsidR="0021482E" w:rsidRPr="00A66162" w:rsidRDefault="0021482E" w:rsidP="0021482E">
      <w:pPr>
        <w:pStyle w:val="Default"/>
        <w:ind w:firstLine="360"/>
        <w:rPr>
          <w:lang w:val="it-IT"/>
        </w:rPr>
      </w:pPr>
      <w:r w:rsidRPr="00A66162">
        <w:rPr>
          <w:lang w:val="it-IT"/>
        </w:rPr>
        <w:t>Bobot SKS</w:t>
      </w:r>
      <w:r w:rsidRPr="00A66162">
        <w:rPr>
          <w:lang w:val="it-IT"/>
        </w:rPr>
        <w:tab/>
      </w:r>
      <w:r w:rsidRPr="00A66162">
        <w:rPr>
          <w:lang w:val="it-IT"/>
        </w:rPr>
        <w:tab/>
        <w:t>: 3 SKS</w:t>
      </w:r>
    </w:p>
    <w:p w:rsidR="0021482E" w:rsidRDefault="0021482E" w:rsidP="0021482E">
      <w:pPr>
        <w:pStyle w:val="Default"/>
        <w:ind w:firstLine="360"/>
        <w:rPr>
          <w:lang w:val="id-ID"/>
        </w:rPr>
      </w:pPr>
      <w:r w:rsidRPr="00A66162">
        <w:rPr>
          <w:lang w:val="it-IT"/>
        </w:rPr>
        <w:t xml:space="preserve">Program Studi </w:t>
      </w:r>
      <w:r w:rsidRPr="00A66162">
        <w:rPr>
          <w:lang w:val="it-IT"/>
        </w:rPr>
        <w:tab/>
      </w:r>
      <w:r w:rsidRPr="00A66162">
        <w:rPr>
          <w:lang w:val="it-IT"/>
        </w:rPr>
        <w:tab/>
        <w:t xml:space="preserve">: Hukum </w:t>
      </w:r>
      <w:r>
        <w:rPr>
          <w:lang w:val="id-ID"/>
        </w:rPr>
        <w:t xml:space="preserve">Keluarga </w:t>
      </w:r>
      <w:r w:rsidRPr="00A66162">
        <w:rPr>
          <w:lang w:val="it-IT"/>
        </w:rPr>
        <w:t xml:space="preserve">Islam </w:t>
      </w:r>
      <w:r>
        <w:rPr>
          <w:lang w:val="id-ID"/>
        </w:rPr>
        <w:t>(Ahwal Syakhshiyah)</w:t>
      </w:r>
    </w:p>
    <w:p w:rsidR="0021482E" w:rsidRPr="009C53AE" w:rsidRDefault="0021482E" w:rsidP="0021482E">
      <w:pPr>
        <w:pStyle w:val="Default"/>
        <w:ind w:firstLine="360"/>
        <w:rPr>
          <w:lang w:val="id-ID"/>
        </w:rPr>
      </w:pPr>
      <w:r>
        <w:rPr>
          <w:lang w:val="id-ID"/>
        </w:rPr>
        <w:t>Dosen Pengampu</w:t>
      </w:r>
      <w:r>
        <w:rPr>
          <w:lang w:val="id-ID"/>
        </w:rPr>
        <w:tab/>
      </w:r>
      <w:r>
        <w:rPr>
          <w:lang w:val="id-ID"/>
        </w:rPr>
        <w:tab/>
        <w:t>: Dr. Toha Andiko, M.Ag.</w:t>
      </w:r>
    </w:p>
    <w:p w:rsidR="0021482E" w:rsidRPr="009C53AE" w:rsidRDefault="0021482E" w:rsidP="0021482E">
      <w:pPr>
        <w:pStyle w:val="Default"/>
        <w:ind w:firstLine="360"/>
        <w:rPr>
          <w:lang w:val="id-ID"/>
        </w:rPr>
      </w:pPr>
    </w:p>
    <w:p w:rsidR="0021482E" w:rsidRPr="00A66162" w:rsidRDefault="0021482E" w:rsidP="0021482E">
      <w:pPr>
        <w:jc w:val="both"/>
        <w:rPr>
          <w:b/>
          <w:bCs/>
          <w:lang w:val="it-IT"/>
        </w:rPr>
      </w:pPr>
      <w:r w:rsidRPr="00A66162">
        <w:rPr>
          <w:b/>
          <w:bCs/>
          <w:lang w:val="it-IT"/>
        </w:rPr>
        <w:t>B. DESKRIPSI MATA KULIAH</w:t>
      </w:r>
    </w:p>
    <w:p w:rsidR="0021482E" w:rsidRPr="00A66162" w:rsidRDefault="0021482E" w:rsidP="0021482E">
      <w:pPr>
        <w:ind w:left="360"/>
        <w:jc w:val="both"/>
        <w:rPr>
          <w:lang w:val="it-IT"/>
        </w:rPr>
      </w:pPr>
      <w:r w:rsidRPr="00A66162">
        <w:rPr>
          <w:lang w:val="it-IT"/>
        </w:rPr>
        <w:t xml:space="preserve">Mata kuliah ini mendeskripsikan </w:t>
      </w:r>
      <w:r>
        <w:rPr>
          <w:lang w:val="id-ID"/>
        </w:rPr>
        <w:t xml:space="preserve">dinamika </w:t>
      </w:r>
      <w:r w:rsidRPr="00A66162">
        <w:rPr>
          <w:lang w:val="it-IT"/>
        </w:rPr>
        <w:t xml:space="preserve">peradilan agama </w:t>
      </w:r>
      <w:r w:rsidR="0006738D">
        <w:rPr>
          <w:lang w:val="id-ID"/>
        </w:rPr>
        <w:t>di I</w:t>
      </w:r>
      <w:r>
        <w:rPr>
          <w:lang w:val="id-ID"/>
        </w:rPr>
        <w:t xml:space="preserve">ndonesia </w:t>
      </w:r>
      <w:r>
        <w:rPr>
          <w:lang w:val="it-IT"/>
        </w:rPr>
        <w:t>meliputi kedudukan dan kompetensinya</w:t>
      </w:r>
      <w:r w:rsidRPr="00A66162">
        <w:rPr>
          <w:lang w:val="it-IT"/>
        </w:rPr>
        <w:t xml:space="preserve"> sejak masa kesultanan sampai sekarang, meliputi peradilan agama masa kesultanan Islam, masa penjajahan Belanda, masa pendudukan Jepang, </w:t>
      </w:r>
      <w:r>
        <w:rPr>
          <w:lang w:val="it-IT"/>
        </w:rPr>
        <w:t xml:space="preserve">dan </w:t>
      </w:r>
      <w:r w:rsidRPr="00A66162">
        <w:rPr>
          <w:lang w:val="it-IT"/>
        </w:rPr>
        <w:t xml:space="preserve">masa </w:t>
      </w:r>
      <w:r>
        <w:rPr>
          <w:lang w:val="it-IT"/>
        </w:rPr>
        <w:t>kemerdekaan hingga sekarang</w:t>
      </w:r>
      <w:r w:rsidRPr="00A66162">
        <w:rPr>
          <w:lang w:val="it-IT"/>
        </w:rPr>
        <w:t>.</w:t>
      </w:r>
    </w:p>
    <w:p w:rsidR="0021482E" w:rsidRPr="00A66162" w:rsidRDefault="0021482E" w:rsidP="0021482E">
      <w:pPr>
        <w:tabs>
          <w:tab w:val="left" w:pos="360"/>
        </w:tabs>
        <w:jc w:val="both"/>
        <w:rPr>
          <w:b/>
          <w:noProof/>
          <w:lang w:val="it-IT"/>
        </w:rPr>
      </w:pPr>
    </w:p>
    <w:p w:rsidR="0021482E" w:rsidRPr="00A66162" w:rsidRDefault="0021482E" w:rsidP="0021482E">
      <w:pPr>
        <w:tabs>
          <w:tab w:val="left" w:pos="360"/>
        </w:tabs>
        <w:jc w:val="both"/>
        <w:rPr>
          <w:b/>
          <w:noProof/>
          <w:lang w:val="it-IT"/>
        </w:rPr>
      </w:pPr>
      <w:r w:rsidRPr="00A66162">
        <w:rPr>
          <w:b/>
          <w:noProof/>
          <w:lang w:val="it-IT"/>
        </w:rPr>
        <w:t>C. TUJUAN</w:t>
      </w:r>
    </w:p>
    <w:p w:rsidR="0021482E" w:rsidRPr="00A66162" w:rsidRDefault="0021482E" w:rsidP="0021482E">
      <w:pPr>
        <w:ind w:left="360"/>
        <w:jc w:val="both"/>
        <w:rPr>
          <w:lang w:val="it-IT"/>
        </w:rPr>
      </w:pPr>
      <w:r w:rsidRPr="00A66162">
        <w:rPr>
          <w:lang w:val="it-IT"/>
        </w:rPr>
        <w:t xml:space="preserve">Mata kuliah ini bertujuan memberikan pemahaman tentang peradilan agama </w:t>
      </w:r>
      <w:r>
        <w:rPr>
          <w:lang w:val="it-IT"/>
        </w:rPr>
        <w:t xml:space="preserve">meliputi kedudukan dan kewenangannya </w:t>
      </w:r>
      <w:r w:rsidRPr="00A66162">
        <w:rPr>
          <w:lang w:val="it-IT"/>
        </w:rPr>
        <w:t xml:space="preserve">di Indonesia sejak masa kesultanan sampai sekarang, yang meliputi peradilan agama masa kesultanan Islam, masa penjajahan Belanda, masa pendudukan Jepang, </w:t>
      </w:r>
      <w:r>
        <w:rPr>
          <w:lang w:val="it-IT"/>
        </w:rPr>
        <w:t xml:space="preserve">dan </w:t>
      </w:r>
      <w:r w:rsidRPr="00A66162">
        <w:rPr>
          <w:lang w:val="it-IT"/>
        </w:rPr>
        <w:t xml:space="preserve">masa </w:t>
      </w:r>
      <w:r>
        <w:rPr>
          <w:lang w:val="it-IT"/>
        </w:rPr>
        <w:t>kemerdekaan hingga sekarang</w:t>
      </w:r>
      <w:r w:rsidRPr="00A66162">
        <w:rPr>
          <w:lang w:val="it-IT"/>
        </w:rPr>
        <w:t>.</w:t>
      </w:r>
    </w:p>
    <w:p w:rsidR="0021482E" w:rsidRPr="00A66162" w:rsidRDefault="0021482E" w:rsidP="0021482E">
      <w:pPr>
        <w:tabs>
          <w:tab w:val="left" w:pos="360"/>
        </w:tabs>
        <w:jc w:val="both"/>
        <w:rPr>
          <w:b/>
          <w:noProof/>
          <w:lang w:val="it-IT"/>
        </w:rPr>
      </w:pPr>
    </w:p>
    <w:p w:rsidR="0021482E" w:rsidRPr="00A66162" w:rsidRDefault="0021482E" w:rsidP="0021482E">
      <w:pPr>
        <w:tabs>
          <w:tab w:val="left" w:pos="360"/>
        </w:tabs>
        <w:jc w:val="both"/>
        <w:rPr>
          <w:b/>
          <w:noProof/>
          <w:lang w:val="it-IT"/>
        </w:rPr>
      </w:pPr>
      <w:r w:rsidRPr="00A66162">
        <w:rPr>
          <w:b/>
          <w:noProof/>
          <w:lang w:val="it-IT"/>
        </w:rPr>
        <w:t>D. METODE DAN PROSES PEMBELAJARAN</w:t>
      </w:r>
    </w:p>
    <w:p w:rsidR="0021482E" w:rsidRPr="00A66162" w:rsidRDefault="0021482E" w:rsidP="0021482E">
      <w:pPr>
        <w:tabs>
          <w:tab w:val="left" w:pos="3600"/>
        </w:tabs>
        <w:ind w:left="360"/>
        <w:jc w:val="both"/>
        <w:rPr>
          <w:lang w:val="it-IT"/>
        </w:rPr>
      </w:pPr>
      <w:r w:rsidRPr="00A66162">
        <w:rPr>
          <w:lang w:val="it-IT"/>
        </w:rPr>
        <w:t xml:space="preserve">Strategi perkuliahan yang digunakan yaitu dengan metode perkuliahan yang menyenangkan dan menantang secara bervariasi seperti ceramah bervariasi, presentasi dan diskusi,  latihan, dan pemberian tugas baik secara individu maupun kelompok. Sedangkan media perkuliahan yang digunakan yaitu dengan </w:t>
      </w:r>
      <w:r w:rsidRPr="00A66162">
        <w:rPr>
          <w:i/>
          <w:iCs/>
          <w:lang w:val="it-IT"/>
        </w:rPr>
        <w:t xml:space="preserve">laptop, </w:t>
      </w:r>
      <w:r w:rsidRPr="00A66162">
        <w:rPr>
          <w:lang w:val="it-IT"/>
        </w:rPr>
        <w:t>LCD</w:t>
      </w:r>
      <w:r w:rsidRPr="00A66162">
        <w:rPr>
          <w:i/>
          <w:iCs/>
          <w:lang w:val="it-IT"/>
        </w:rPr>
        <w:t>, software</w:t>
      </w:r>
      <w:r w:rsidRPr="00A66162">
        <w:rPr>
          <w:lang w:val="it-IT"/>
        </w:rPr>
        <w:t xml:space="preserve"> berisi </w:t>
      </w:r>
      <w:r w:rsidRPr="00A66162">
        <w:rPr>
          <w:i/>
          <w:iCs/>
          <w:lang w:val="it-IT"/>
        </w:rPr>
        <w:t xml:space="preserve">pointer / hand out </w:t>
      </w:r>
      <w:r w:rsidRPr="00A66162">
        <w:rPr>
          <w:lang w:val="it-IT"/>
        </w:rPr>
        <w:t>materi perkuliahan.</w:t>
      </w:r>
    </w:p>
    <w:p w:rsidR="0021482E" w:rsidRPr="00A66162" w:rsidRDefault="0021482E" w:rsidP="0021482E">
      <w:pPr>
        <w:tabs>
          <w:tab w:val="left" w:pos="360"/>
        </w:tabs>
        <w:jc w:val="both"/>
        <w:rPr>
          <w:b/>
          <w:noProof/>
          <w:lang w:val="it-IT"/>
        </w:rPr>
      </w:pPr>
    </w:p>
    <w:p w:rsidR="0021482E" w:rsidRPr="00A66162" w:rsidRDefault="0021482E" w:rsidP="0021482E">
      <w:pPr>
        <w:tabs>
          <w:tab w:val="left" w:pos="360"/>
        </w:tabs>
        <w:jc w:val="both"/>
        <w:rPr>
          <w:b/>
          <w:noProof/>
          <w:lang w:val="it-IT"/>
        </w:rPr>
      </w:pPr>
      <w:r w:rsidRPr="00A66162">
        <w:rPr>
          <w:b/>
          <w:noProof/>
          <w:lang w:val="it-IT"/>
        </w:rPr>
        <w:t>E. STANDAR KOMPETENSI</w:t>
      </w:r>
    </w:p>
    <w:p w:rsidR="0021482E" w:rsidRDefault="0021482E" w:rsidP="0021482E">
      <w:pPr>
        <w:tabs>
          <w:tab w:val="left" w:pos="360"/>
        </w:tabs>
        <w:ind w:left="360"/>
        <w:jc w:val="both"/>
        <w:rPr>
          <w:lang w:val="id-ID"/>
        </w:rPr>
      </w:pPr>
      <w:r w:rsidRPr="00A66162">
        <w:rPr>
          <w:lang w:val="it-IT"/>
        </w:rPr>
        <w:t xml:space="preserve">Mahasiswa memiliki pemahaman tentang peradilan agama </w:t>
      </w:r>
      <w:r>
        <w:rPr>
          <w:lang w:val="it-IT"/>
        </w:rPr>
        <w:t>meliputi kedudukan dan kewenangannya</w:t>
      </w:r>
      <w:r w:rsidRPr="00A66162">
        <w:rPr>
          <w:lang w:val="it-IT"/>
        </w:rPr>
        <w:t xml:space="preserve"> di Indonesia sejak masa kesultanan sampai sekarang, yang meliputi peradilan agama masa kesultanan Islam, masa penjajahan Belanda, masa pendudukan Jepang, </w:t>
      </w:r>
      <w:r>
        <w:rPr>
          <w:lang w:val="it-IT"/>
        </w:rPr>
        <w:t xml:space="preserve">dan </w:t>
      </w:r>
      <w:r w:rsidRPr="00A66162">
        <w:rPr>
          <w:lang w:val="it-IT"/>
        </w:rPr>
        <w:t xml:space="preserve">masa </w:t>
      </w:r>
      <w:r>
        <w:rPr>
          <w:lang w:val="it-IT"/>
        </w:rPr>
        <w:t>kemerdekaan hingga sekarang</w:t>
      </w:r>
      <w:r w:rsidRPr="00A66162">
        <w:rPr>
          <w:lang w:val="it-IT"/>
        </w:rPr>
        <w:t>.</w:t>
      </w:r>
    </w:p>
    <w:p w:rsidR="0021482E" w:rsidRPr="009C53AE" w:rsidRDefault="0021482E" w:rsidP="0021482E">
      <w:pPr>
        <w:tabs>
          <w:tab w:val="left" w:pos="360"/>
        </w:tabs>
        <w:ind w:left="360"/>
        <w:jc w:val="both"/>
        <w:rPr>
          <w:lang w:val="id-ID"/>
        </w:rPr>
      </w:pPr>
    </w:p>
    <w:p w:rsidR="0021482E" w:rsidRPr="00A66162" w:rsidRDefault="0021482E" w:rsidP="0021482E">
      <w:pPr>
        <w:tabs>
          <w:tab w:val="left" w:pos="360"/>
        </w:tabs>
        <w:jc w:val="both"/>
        <w:rPr>
          <w:b/>
          <w:noProof/>
          <w:lang w:val="it-IT"/>
        </w:rPr>
      </w:pPr>
      <w:r w:rsidRPr="00A66162">
        <w:rPr>
          <w:b/>
          <w:noProof/>
          <w:lang w:val="it-IT"/>
        </w:rPr>
        <w:t xml:space="preserve">F. MATERI PEMBAHASAN </w:t>
      </w:r>
    </w:p>
    <w:p w:rsidR="0021482E" w:rsidRPr="006A77C8" w:rsidRDefault="0021482E" w:rsidP="0021482E">
      <w:pPr>
        <w:numPr>
          <w:ilvl w:val="0"/>
          <w:numId w:val="1"/>
        </w:numPr>
        <w:jc w:val="both"/>
        <w:rPr>
          <w:sz w:val="26"/>
          <w:szCs w:val="26"/>
          <w:lang w:val="it-IT"/>
        </w:rPr>
      </w:pPr>
      <w:r w:rsidRPr="006A77C8">
        <w:rPr>
          <w:sz w:val="26"/>
          <w:szCs w:val="26"/>
          <w:lang w:val="it-IT"/>
        </w:rPr>
        <w:t xml:space="preserve">Pengantar: </w:t>
      </w:r>
      <w:r w:rsidRPr="006A77C8">
        <w:rPr>
          <w:sz w:val="26"/>
          <w:szCs w:val="26"/>
          <w:lang w:val="id-ID"/>
        </w:rPr>
        <w:t xml:space="preserve"> Pengertian, ruang lingkup, dan manfaat kajian Peradilan Agama</w:t>
      </w:r>
    </w:p>
    <w:p w:rsidR="0021482E" w:rsidRPr="006A77C8" w:rsidRDefault="0021482E" w:rsidP="0021482E">
      <w:pPr>
        <w:numPr>
          <w:ilvl w:val="0"/>
          <w:numId w:val="1"/>
        </w:numPr>
        <w:jc w:val="both"/>
        <w:rPr>
          <w:sz w:val="26"/>
          <w:szCs w:val="26"/>
          <w:lang w:val="it-IT"/>
        </w:rPr>
      </w:pPr>
      <w:r w:rsidRPr="006A77C8">
        <w:rPr>
          <w:sz w:val="26"/>
          <w:szCs w:val="26"/>
          <w:lang w:val="it-IT"/>
        </w:rPr>
        <w:t xml:space="preserve">Sejarah Peradilan Agama di Masa Dinasti Islam </w:t>
      </w:r>
    </w:p>
    <w:p w:rsidR="0021482E" w:rsidRPr="006A77C8" w:rsidRDefault="0021482E" w:rsidP="0021482E">
      <w:pPr>
        <w:numPr>
          <w:ilvl w:val="0"/>
          <w:numId w:val="1"/>
        </w:numPr>
        <w:jc w:val="both"/>
        <w:rPr>
          <w:sz w:val="26"/>
          <w:szCs w:val="26"/>
          <w:lang w:val="it-IT"/>
        </w:rPr>
      </w:pPr>
      <w:r w:rsidRPr="006A77C8">
        <w:rPr>
          <w:sz w:val="26"/>
          <w:szCs w:val="26"/>
          <w:lang w:val="it-IT"/>
        </w:rPr>
        <w:t>Sejarah Peradilan Agama di Dunia Islam Masa Kini</w:t>
      </w:r>
    </w:p>
    <w:p w:rsidR="0021482E" w:rsidRPr="003870A8" w:rsidRDefault="0021482E" w:rsidP="0021482E">
      <w:pPr>
        <w:numPr>
          <w:ilvl w:val="0"/>
          <w:numId w:val="1"/>
        </w:numPr>
        <w:jc w:val="both"/>
        <w:rPr>
          <w:sz w:val="26"/>
          <w:szCs w:val="26"/>
          <w:lang w:val="it-IT"/>
        </w:rPr>
      </w:pPr>
      <w:r w:rsidRPr="006A77C8">
        <w:rPr>
          <w:sz w:val="26"/>
          <w:szCs w:val="26"/>
          <w:lang w:val="it-IT"/>
        </w:rPr>
        <w:t xml:space="preserve">Sejarah Peradilan Agama Masa </w:t>
      </w:r>
      <w:r w:rsidRPr="003870A8">
        <w:rPr>
          <w:sz w:val="26"/>
          <w:szCs w:val="26"/>
          <w:lang w:val="it-IT"/>
        </w:rPr>
        <w:t>Sebelum Belanda</w:t>
      </w:r>
    </w:p>
    <w:p w:rsidR="0021482E" w:rsidRPr="003870A8" w:rsidRDefault="0021482E" w:rsidP="0021482E">
      <w:pPr>
        <w:numPr>
          <w:ilvl w:val="0"/>
          <w:numId w:val="1"/>
        </w:numPr>
        <w:jc w:val="both"/>
        <w:rPr>
          <w:sz w:val="26"/>
          <w:szCs w:val="26"/>
          <w:lang w:val="it-IT"/>
        </w:rPr>
      </w:pPr>
      <w:r w:rsidRPr="003870A8">
        <w:rPr>
          <w:sz w:val="26"/>
          <w:szCs w:val="26"/>
          <w:lang w:val="it-IT"/>
        </w:rPr>
        <w:t>Sejarah Peradilan Agama Masa Kolonial Belanda</w:t>
      </w:r>
    </w:p>
    <w:p w:rsidR="0021482E" w:rsidRPr="003870A8" w:rsidRDefault="0021482E" w:rsidP="0021482E">
      <w:pPr>
        <w:numPr>
          <w:ilvl w:val="0"/>
          <w:numId w:val="1"/>
        </w:numPr>
        <w:jc w:val="both"/>
        <w:rPr>
          <w:sz w:val="26"/>
          <w:szCs w:val="26"/>
          <w:lang w:val="it-IT"/>
        </w:rPr>
      </w:pPr>
      <w:r w:rsidRPr="003870A8">
        <w:rPr>
          <w:sz w:val="26"/>
          <w:szCs w:val="26"/>
          <w:lang w:val="it-IT"/>
        </w:rPr>
        <w:t>Sejarah Peradilan Agama Masa Kolonial Jepang</w:t>
      </w:r>
    </w:p>
    <w:p w:rsidR="0021482E" w:rsidRPr="003870A8" w:rsidRDefault="0021482E" w:rsidP="0021482E">
      <w:pPr>
        <w:numPr>
          <w:ilvl w:val="0"/>
          <w:numId w:val="1"/>
        </w:numPr>
        <w:jc w:val="both"/>
        <w:rPr>
          <w:sz w:val="26"/>
          <w:szCs w:val="26"/>
          <w:lang w:val="fi-FI"/>
        </w:rPr>
      </w:pPr>
      <w:r w:rsidRPr="003870A8">
        <w:rPr>
          <w:sz w:val="26"/>
          <w:szCs w:val="26"/>
          <w:lang w:val="fi-FI"/>
        </w:rPr>
        <w:t>Sejarah Peradilan Agama masa awal kemerdekaan</w:t>
      </w:r>
    </w:p>
    <w:p w:rsidR="0021482E" w:rsidRPr="003870A8" w:rsidRDefault="0021482E" w:rsidP="0021482E">
      <w:pPr>
        <w:numPr>
          <w:ilvl w:val="0"/>
          <w:numId w:val="1"/>
        </w:numPr>
        <w:jc w:val="both"/>
        <w:rPr>
          <w:sz w:val="26"/>
          <w:szCs w:val="26"/>
          <w:lang w:val="fi-FI"/>
        </w:rPr>
      </w:pPr>
      <w:r w:rsidRPr="003870A8">
        <w:rPr>
          <w:sz w:val="26"/>
          <w:szCs w:val="26"/>
          <w:lang w:val="fi-FI"/>
        </w:rPr>
        <w:t xml:space="preserve">Sejarah Peradilan Agama masa Orde Lama </w:t>
      </w:r>
    </w:p>
    <w:p w:rsidR="0021482E" w:rsidRPr="003870A8" w:rsidRDefault="0021482E" w:rsidP="0021482E">
      <w:pPr>
        <w:numPr>
          <w:ilvl w:val="0"/>
          <w:numId w:val="1"/>
        </w:numPr>
        <w:jc w:val="both"/>
        <w:rPr>
          <w:sz w:val="26"/>
          <w:szCs w:val="26"/>
          <w:lang w:val="fi-FI"/>
        </w:rPr>
      </w:pPr>
      <w:r w:rsidRPr="003870A8">
        <w:rPr>
          <w:sz w:val="26"/>
          <w:szCs w:val="26"/>
          <w:lang w:val="fi-FI"/>
        </w:rPr>
        <w:t>Sejarah Peradilan Agama masa Orde Baru</w:t>
      </w:r>
    </w:p>
    <w:p w:rsidR="0021482E" w:rsidRPr="006A77C8" w:rsidRDefault="0021482E" w:rsidP="0021482E">
      <w:pPr>
        <w:numPr>
          <w:ilvl w:val="0"/>
          <w:numId w:val="1"/>
        </w:numPr>
        <w:jc w:val="both"/>
        <w:rPr>
          <w:sz w:val="26"/>
          <w:szCs w:val="26"/>
          <w:lang w:val="it-IT"/>
        </w:rPr>
      </w:pPr>
      <w:r w:rsidRPr="003870A8">
        <w:rPr>
          <w:sz w:val="26"/>
          <w:szCs w:val="26"/>
          <w:lang w:val="it-IT"/>
        </w:rPr>
        <w:t>Sistem Peradilan Agama di Indo</w:t>
      </w:r>
      <w:r w:rsidRPr="006A77C8">
        <w:rPr>
          <w:sz w:val="26"/>
          <w:szCs w:val="26"/>
          <w:lang w:val="it-IT"/>
        </w:rPr>
        <w:t>nesia</w:t>
      </w:r>
    </w:p>
    <w:p w:rsidR="0021482E" w:rsidRPr="006A77C8" w:rsidRDefault="0021482E" w:rsidP="0021482E">
      <w:pPr>
        <w:numPr>
          <w:ilvl w:val="0"/>
          <w:numId w:val="1"/>
        </w:numPr>
        <w:jc w:val="both"/>
        <w:rPr>
          <w:sz w:val="26"/>
          <w:szCs w:val="26"/>
          <w:lang w:val="it-IT"/>
        </w:rPr>
      </w:pPr>
      <w:r w:rsidRPr="006A77C8">
        <w:rPr>
          <w:sz w:val="26"/>
          <w:szCs w:val="26"/>
          <w:lang w:val="it-IT"/>
        </w:rPr>
        <w:t>Susunan Peradilan Agama di Indonesia</w:t>
      </w:r>
    </w:p>
    <w:p w:rsidR="0021482E" w:rsidRPr="006A77C8" w:rsidRDefault="0021482E" w:rsidP="0021482E">
      <w:pPr>
        <w:numPr>
          <w:ilvl w:val="0"/>
          <w:numId w:val="1"/>
        </w:numPr>
        <w:jc w:val="both"/>
        <w:rPr>
          <w:sz w:val="26"/>
          <w:szCs w:val="26"/>
          <w:lang w:val="it-IT"/>
        </w:rPr>
      </w:pPr>
      <w:r w:rsidRPr="006A77C8">
        <w:rPr>
          <w:sz w:val="26"/>
          <w:szCs w:val="26"/>
          <w:lang w:val="it-IT"/>
        </w:rPr>
        <w:t>Kewenangan Peradilan Agama di Indonesia</w:t>
      </w:r>
    </w:p>
    <w:p w:rsidR="0021482E" w:rsidRPr="006A77C8" w:rsidRDefault="0021482E" w:rsidP="0021482E">
      <w:pPr>
        <w:numPr>
          <w:ilvl w:val="0"/>
          <w:numId w:val="1"/>
        </w:numPr>
        <w:jc w:val="both"/>
        <w:rPr>
          <w:sz w:val="26"/>
          <w:szCs w:val="26"/>
        </w:rPr>
      </w:pPr>
      <w:r w:rsidRPr="006A77C8">
        <w:rPr>
          <w:sz w:val="26"/>
          <w:szCs w:val="26"/>
        </w:rPr>
        <w:t xml:space="preserve">Tata Cara </w:t>
      </w:r>
      <w:proofErr w:type="spellStart"/>
      <w:r w:rsidRPr="006A77C8">
        <w:rPr>
          <w:sz w:val="26"/>
          <w:szCs w:val="26"/>
        </w:rPr>
        <w:t>Pengajuan</w:t>
      </w:r>
      <w:proofErr w:type="spellEnd"/>
      <w:r w:rsidRPr="006A77C8">
        <w:rPr>
          <w:sz w:val="26"/>
          <w:szCs w:val="26"/>
        </w:rPr>
        <w:t xml:space="preserve"> </w:t>
      </w:r>
      <w:proofErr w:type="spellStart"/>
      <w:r w:rsidRPr="006A77C8">
        <w:rPr>
          <w:sz w:val="26"/>
          <w:szCs w:val="26"/>
        </w:rPr>
        <w:t>Perkara</w:t>
      </w:r>
      <w:proofErr w:type="spellEnd"/>
      <w:r w:rsidRPr="006A77C8">
        <w:rPr>
          <w:sz w:val="26"/>
          <w:szCs w:val="26"/>
        </w:rPr>
        <w:t xml:space="preserve"> </w:t>
      </w:r>
      <w:proofErr w:type="spellStart"/>
      <w:r w:rsidRPr="006A77C8">
        <w:rPr>
          <w:sz w:val="26"/>
          <w:szCs w:val="26"/>
        </w:rPr>
        <w:t>Peradilan</w:t>
      </w:r>
      <w:proofErr w:type="spellEnd"/>
      <w:r w:rsidRPr="006A77C8">
        <w:rPr>
          <w:sz w:val="26"/>
          <w:szCs w:val="26"/>
        </w:rPr>
        <w:t xml:space="preserve"> Agama </w:t>
      </w:r>
    </w:p>
    <w:p w:rsidR="0021482E" w:rsidRPr="006A77C8" w:rsidRDefault="0021482E" w:rsidP="0021482E">
      <w:pPr>
        <w:numPr>
          <w:ilvl w:val="0"/>
          <w:numId w:val="1"/>
        </w:numPr>
        <w:jc w:val="both"/>
        <w:rPr>
          <w:sz w:val="26"/>
          <w:szCs w:val="26"/>
          <w:lang w:val="it-IT"/>
        </w:rPr>
      </w:pPr>
      <w:proofErr w:type="spellStart"/>
      <w:r w:rsidRPr="006A77C8">
        <w:rPr>
          <w:sz w:val="26"/>
          <w:szCs w:val="26"/>
        </w:rPr>
        <w:lastRenderedPageBreak/>
        <w:t>Produk</w:t>
      </w:r>
      <w:proofErr w:type="spellEnd"/>
      <w:r w:rsidRPr="006A77C8">
        <w:rPr>
          <w:sz w:val="26"/>
          <w:szCs w:val="26"/>
        </w:rPr>
        <w:t xml:space="preserve"> </w:t>
      </w:r>
      <w:proofErr w:type="spellStart"/>
      <w:r w:rsidRPr="006A77C8">
        <w:rPr>
          <w:sz w:val="26"/>
          <w:szCs w:val="26"/>
        </w:rPr>
        <w:t>Peradilan</w:t>
      </w:r>
      <w:proofErr w:type="spellEnd"/>
      <w:r w:rsidRPr="006A77C8">
        <w:rPr>
          <w:sz w:val="26"/>
          <w:szCs w:val="26"/>
        </w:rPr>
        <w:t xml:space="preserve"> Agama di Indonesia </w:t>
      </w:r>
    </w:p>
    <w:p w:rsidR="0021482E" w:rsidRPr="009C53AE" w:rsidRDefault="0021482E" w:rsidP="0021482E">
      <w:pPr>
        <w:jc w:val="both"/>
        <w:rPr>
          <w:lang w:val="id-ID"/>
        </w:rPr>
      </w:pPr>
    </w:p>
    <w:p w:rsidR="0021482E" w:rsidRPr="00A66162" w:rsidRDefault="0021482E" w:rsidP="0021482E">
      <w:pPr>
        <w:tabs>
          <w:tab w:val="left" w:pos="360"/>
        </w:tabs>
        <w:jc w:val="both"/>
        <w:rPr>
          <w:b/>
          <w:iCs/>
          <w:lang w:val="it-IT"/>
        </w:rPr>
      </w:pPr>
      <w:r w:rsidRPr="00A66162">
        <w:rPr>
          <w:b/>
          <w:iCs/>
          <w:lang w:val="it-IT"/>
        </w:rPr>
        <w:t xml:space="preserve">G. REFERENSI </w:t>
      </w:r>
    </w:p>
    <w:p w:rsidR="0021482E" w:rsidRPr="00A66162" w:rsidRDefault="0021482E" w:rsidP="0021482E">
      <w:pPr>
        <w:ind w:left="1080"/>
        <w:jc w:val="both"/>
        <w:rPr>
          <w:lang w:val="it-IT"/>
        </w:rPr>
      </w:pPr>
    </w:p>
    <w:p w:rsidR="0021482E" w:rsidRDefault="0021482E" w:rsidP="0021482E">
      <w:pPr>
        <w:ind w:left="900" w:hanging="540"/>
        <w:jc w:val="both"/>
        <w:rPr>
          <w:lang w:val="it-IT"/>
        </w:rPr>
      </w:pPr>
      <w:r>
        <w:rPr>
          <w:lang w:val="it-IT"/>
        </w:rPr>
        <w:t xml:space="preserve">Abdul Gani Abdullah, </w:t>
      </w:r>
      <w:r w:rsidRPr="00ED62C9">
        <w:rPr>
          <w:i/>
          <w:lang w:val="it-IT"/>
        </w:rPr>
        <w:t>Himpunan Perundang-Undangan dan Peraturan Peradilan Agama</w:t>
      </w:r>
      <w:r>
        <w:rPr>
          <w:lang w:val="it-IT"/>
        </w:rPr>
        <w:t>, Jakarta: Intermasa, 1986</w:t>
      </w:r>
    </w:p>
    <w:p w:rsidR="0021482E" w:rsidRDefault="0021482E" w:rsidP="0021482E">
      <w:pPr>
        <w:ind w:left="900" w:hanging="540"/>
        <w:jc w:val="both"/>
        <w:rPr>
          <w:lang w:val="it-IT"/>
        </w:rPr>
      </w:pPr>
      <w:r>
        <w:rPr>
          <w:lang w:val="it-IT"/>
        </w:rPr>
        <w:t xml:space="preserve">Asmin, </w:t>
      </w:r>
      <w:r w:rsidRPr="00ED62C9">
        <w:rPr>
          <w:i/>
          <w:lang w:val="it-IT"/>
        </w:rPr>
        <w:t>Status Perkawina</w:t>
      </w:r>
      <w:r>
        <w:rPr>
          <w:i/>
          <w:lang w:val="it-IT"/>
        </w:rPr>
        <w:t>n</w:t>
      </w:r>
      <w:r w:rsidRPr="00ED62C9">
        <w:rPr>
          <w:i/>
          <w:lang w:val="it-IT"/>
        </w:rPr>
        <w:t xml:space="preserve"> Ditinjau dari UU No 1 Tahun 1974</w:t>
      </w:r>
      <w:r>
        <w:rPr>
          <w:lang w:val="it-IT"/>
        </w:rPr>
        <w:t>, Jakarta: Dian Rakyat, 1986</w:t>
      </w:r>
    </w:p>
    <w:p w:rsidR="0021482E" w:rsidRPr="00A66162" w:rsidRDefault="0021482E" w:rsidP="0021482E">
      <w:pPr>
        <w:ind w:left="900" w:hanging="540"/>
        <w:jc w:val="both"/>
        <w:rPr>
          <w:i/>
          <w:lang w:val="fi-FI"/>
        </w:rPr>
      </w:pPr>
      <w:r>
        <w:rPr>
          <w:lang w:val="fi-FI"/>
        </w:rPr>
        <w:t xml:space="preserve">Abdullah Tri Wahyudi, </w:t>
      </w:r>
      <w:r w:rsidRPr="00D152F3">
        <w:rPr>
          <w:i/>
          <w:lang w:val="fi-FI"/>
        </w:rPr>
        <w:t>Peradilan Agama di Indonesia</w:t>
      </w:r>
      <w:r>
        <w:rPr>
          <w:lang w:val="fi-FI"/>
        </w:rPr>
        <w:t>, Yogyakarta: Pustaka Pelajar, 2004</w:t>
      </w:r>
    </w:p>
    <w:p w:rsidR="0021482E" w:rsidRDefault="0021482E" w:rsidP="0021482E">
      <w:pPr>
        <w:ind w:left="900" w:hanging="540"/>
        <w:jc w:val="both"/>
        <w:rPr>
          <w:lang w:val="id-ID"/>
        </w:rPr>
      </w:pPr>
      <w:r>
        <w:rPr>
          <w:lang w:val="sv-SE"/>
        </w:rPr>
        <w:t xml:space="preserve">Bustanul Arifin, </w:t>
      </w:r>
      <w:r w:rsidRPr="00ED62C9">
        <w:rPr>
          <w:i/>
          <w:lang w:val="sv-SE"/>
        </w:rPr>
        <w:t>Pelembagaan Hukum Islam di Indonesia</w:t>
      </w:r>
      <w:r>
        <w:rPr>
          <w:lang w:val="sv-SE"/>
        </w:rPr>
        <w:t>, Jakarta: Gema Insani Press, 1986</w:t>
      </w:r>
    </w:p>
    <w:p w:rsidR="0021482E" w:rsidRPr="009C53AE" w:rsidRDefault="0021482E" w:rsidP="0021482E">
      <w:pPr>
        <w:ind w:left="900" w:hanging="540"/>
        <w:jc w:val="both"/>
        <w:rPr>
          <w:lang w:val="id-ID"/>
        </w:rPr>
      </w:pPr>
      <w:r>
        <w:rPr>
          <w:lang w:val="sv-SE"/>
        </w:rPr>
        <w:t>Bustanul Arifin,</w:t>
      </w:r>
      <w:r>
        <w:rPr>
          <w:lang w:val="id-ID"/>
        </w:rPr>
        <w:t xml:space="preserve"> </w:t>
      </w:r>
      <w:r w:rsidRPr="009C53AE">
        <w:rPr>
          <w:i/>
          <w:iCs/>
          <w:lang w:val="id-ID"/>
        </w:rPr>
        <w:t>Transformasi Hukum Islam ke Hukum Nasional</w:t>
      </w:r>
      <w:r>
        <w:rPr>
          <w:lang w:val="id-ID"/>
        </w:rPr>
        <w:t>, Jakarta: Yayasan Al-Hikma, 2001</w:t>
      </w:r>
    </w:p>
    <w:p w:rsidR="0021482E" w:rsidRDefault="0021482E" w:rsidP="0021482E">
      <w:pPr>
        <w:ind w:left="900" w:hanging="540"/>
        <w:jc w:val="both"/>
        <w:rPr>
          <w:lang w:val="it-IT"/>
        </w:rPr>
      </w:pPr>
      <w:r>
        <w:rPr>
          <w:lang w:val="it-IT"/>
        </w:rPr>
        <w:t xml:space="preserve">Gatot Supranomo, </w:t>
      </w:r>
      <w:r w:rsidRPr="00ED62C9">
        <w:rPr>
          <w:i/>
          <w:lang w:val="it-IT"/>
        </w:rPr>
        <w:t>Hukum Pembuktian di Peradilan Agama</w:t>
      </w:r>
      <w:r>
        <w:rPr>
          <w:lang w:val="it-IT"/>
        </w:rPr>
        <w:t>, Bandung: Alumni, 1993</w:t>
      </w:r>
    </w:p>
    <w:p w:rsidR="0021482E" w:rsidRDefault="0021482E" w:rsidP="0021482E">
      <w:pPr>
        <w:ind w:left="900" w:hanging="540"/>
        <w:jc w:val="both"/>
        <w:rPr>
          <w:lang w:val="sv-SE"/>
        </w:rPr>
      </w:pPr>
      <w:r>
        <w:rPr>
          <w:lang w:val="sv-SE"/>
        </w:rPr>
        <w:t xml:space="preserve">M Idris Ramulyo, </w:t>
      </w:r>
      <w:r w:rsidRPr="003E6634">
        <w:rPr>
          <w:i/>
          <w:lang w:val="sv-SE"/>
        </w:rPr>
        <w:t>Beberapa Masalah tentang Hukum Acara Perdata Peradilan Agama</w:t>
      </w:r>
      <w:r>
        <w:rPr>
          <w:lang w:val="sv-SE"/>
        </w:rPr>
        <w:t xml:space="preserve">, Jakarta: Ind-Hill Co, 1991 </w:t>
      </w:r>
    </w:p>
    <w:p w:rsidR="0021482E" w:rsidRPr="003E6634" w:rsidRDefault="0021482E" w:rsidP="0021482E">
      <w:pPr>
        <w:ind w:left="900" w:hanging="540"/>
        <w:jc w:val="both"/>
        <w:rPr>
          <w:lang w:val="sv-SE"/>
        </w:rPr>
      </w:pPr>
      <w:r w:rsidRPr="00A66162">
        <w:rPr>
          <w:lang w:val="sv-SE"/>
        </w:rPr>
        <w:t xml:space="preserve">M. Yahya Harahap, </w:t>
      </w:r>
      <w:r w:rsidRPr="00A66162">
        <w:rPr>
          <w:i/>
          <w:lang w:val="sv-SE"/>
        </w:rPr>
        <w:t>Kedudukan, Kewenangan dan Acara Peradilan</w:t>
      </w:r>
      <w:r>
        <w:rPr>
          <w:i/>
          <w:lang w:val="id-ID"/>
        </w:rPr>
        <w:t xml:space="preserve"> </w:t>
      </w:r>
      <w:r w:rsidRPr="00A66162">
        <w:rPr>
          <w:i/>
          <w:lang w:val="sv-SE"/>
        </w:rPr>
        <w:t>Agama Undang-undang Nomor 7 Tahun 1989</w:t>
      </w:r>
      <w:r>
        <w:rPr>
          <w:i/>
          <w:lang w:val="sv-SE"/>
        </w:rPr>
        <w:t xml:space="preserve">, </w:t>
      </w:r>
      <w:r>
        <w:rPr>
          <w:lang w:val="sv-SE"/>
        </w:rPr>
        <w:t>Jakarta: Pustaka Kartini, 1993</w:t>
      </w:r>
    </w:p>
    <w:p w:rsidR="0021482E" w:rsidRDefault="0021482E" w:rsidP="0021482E">
      <w:pPr>
        <w:ind w:left="900" w:hanging="540"/>
        <w:jc w:val="both"/>
        <w:rPr>
          <w:i/>
          <w:lang w:val="sv-SE"/>
        </w:rPr>
      </w:pPr>
      <w:r w:rsidRPr="00A66162">
        <w:rPr>
          <w:lang w:val="sv-SE"/>
        </w:rPr>
        <w:t xml:space="preserve">Mahkamah Agung, </w:t>
      </w:r>
      <w:r w:rsidRPr="00A66162">
        <w:rPr>
          <w:i/>
          <w:lang w:val="sv-SE"/>
        </w:rPr>
        <w:t>Pedoman dan Pelaksanaan Tugas Administrasi Pengadilan, buku I, II, III</w:t>
      </w:r>
    </w:p>
    <w:p w:rsidR="0021482E" w:rsidRPr="0006738D" w:rsidRDefault="0021482E" w:rsidP="0021482E">
      <w:pPr>
        <w:pStyle w:val="Title"/>
        <w:spacing w:before="0" w:after="0"/>
        <w:ind w:left="850" w:hanging="425"/>
        <w:jc w:val="both"/>
        <w:rPr>
          <w:rFonts w:asciiTheme="majorBidi" w:hAnsiTheme="majorBidi"/>
          <w:b w:val="0"/>
          <w:bCs w:val="0"/>
          <w:sz w:val="24"/>
          <w:szCs w:val="24"/>
          <w:lang w:val="id-ID"/>
        </w:rPr>
      </w:pPr>
      <w:r w:rsidRPr="0006738D">
        <w:rPr>
          <w:rFonts w:asciiTheme="majorBidi" w:hAnsiTheme="majorBidi"/>
          <w:b w:val="0"/>
          <w:bCs w:val="0"/>
          <w:sz w:val="24"/>
          <w:szCs w:val="24"/>
          <w:lang w:val="sv-SE"/>
        </w:rPr>
        <w:t xml:space="preserve">Mahfud MD (ed), </w:t>
      </w:r>
      <w:r w:rsidRPr="0006738D">
        <w:rPr>
          <w:rFonts w:asciiTheme="majorBidi" w:hAnsiTheme="majorBidi"/>
          <w:b w:val="0"/>
          <w:bCs w:val="0"/>
          <w:i/>
          <w:iCs/>
          <w:sz w:val="24"/>
          <w:szCs w:val="24"/>
          <w:lang w:val="sv-SE"/>
        </w:rPr>
        <w:t>Peradilan Agama dan Kompilasi Hukum Islam dalam Tata Hukum Indonesia</w:t>
      </w:r>
      <w:r w:rsidRPr="0006738D">
        <w:rPr>
          <w:rFonts w:asciiTheme="majorBidi" w:hAnsiTheme="majorBidi"/>
          <w:b w:val="0"/>
          <w:bCs w:val="0"/>
          <w:sz w:val="24"/>
          <w:szCs w:val="24"/>
          <w:lang w:val="sv-SE"/>
        </w:rPr>
        <w:t>, Yogyakarta: UII Press, 1991</w:t>
      </w:r>
    </w:p>
    <w:p w:rsidR="0021482E" w:rsidRPr="009C53AE" w:rsidRDefault="0021482E" w:rsidP="0021482E">
      <w:pPr>
        <w:ind w:left="851" w:hanging="425"/>
        <w:rPr>
          <w:lang w:val="id-ID"/>
        </w:rPr>
      </w:pPr>
      <w:r>
        <w:rPr>
          <w:lang w:val="id-ID"/>
        </w:rPr>
        <w:t>Roihan A. Rasyid, Hukum Acara Peradilan Agama, Jakarta: RajaGrafindo Persada, 1996.</w:t>
      </w:r>
    </w:p>
    <w:p w:rsidR="0021482E" w:rsidRDefault="0021482E" w:rsidP="0021482E">
      <w:pPr>
        <w:ind w:left="900" w:hanging="540"/>
        <w:jc w:val="both"/>
        <w:rPr>
          <w:i/>
          <w:lang w:val="id-ID"/>
        </w:rPr>
      </w:pPr>
      <w:r>
        <w:rPr>
          <w:lang w:val="sv-SE"/>
        </w:rPr>
        <w:t xml:space="preserve"> Taufiq Hamami, </w:t>
      </w:r>
      <w:r w:rsidRPr="003E6634">
        <w:rPr>
          <w:i/>
          <w:lang w:val="sv-SE"/>
        </w:rPr>
        <w:t>Kedudukan dan Eksistensi Peradilan Agama dalam Sistem Tata Hukum di Indonesia</w:t>
      </w:r>
      <w:r>
        <w:rPr>
          <w:lang w:val="sv-SE"/>
        </w:rPr>
        <w:t>, Bandung: Alumni, 2003</w:t>
      </w:r>
      <w:r w:rsidRPr="00A66162">
        <w:rPr>
          <w:i/>
          <w:lang w:val="sv-SE"/>
        </w:rPr>
        <w:t>.</w:t>
      </w:r>
    </w:p>
    <w:p w:rsidR="0021482E" w:rsidRPr="006A77C8" w:rsidRDefault="0021482E" w:rsidP="0021482E">
      <w:pPr>
        <w:ind w:left="900" w:hanging="540"/>
        <w:jc w:val="both"/>
        <w:rPr>
          <w:i/>
          <w:lang w:val="id-ID"/>
        </w:rPr>
      </w:pPr>
    </w:p>
    <w:p w:rsidR="0021482E" w:rsidRDefault="0021482E" w:rsidP="0021482E">
      <w:pPr>
        <w:jc w:val="both"/>
        <w:rPr>
          <w:lang w:val="es-ES"/>
        </w:rPr>
      </w:pPr>
    </w:p>
    <w:p w:rsidR="0021482E" w:rsidRPr="00A66162" w:rsidRDefault="0021482E" w:rsidP="0021482E">
      <w:pPr>
        <w:jc w:val="both"/>
        <w:rPr>
          <w:b/>
          <w:bCs/>
          <w:lang w:val="es-ES"/>
        </w:rPr>
      </w:pPr>
      <w:r w:rsidRPr="00A66162">
        <w:rPr>
          <w:lang w:val="es-ES"/>
        </w:rPr>
        <w:t xml:space="preserve"> </w:t>
      </w:r>
      <w:r w:rsidRPr="00A66162">
        <w:rPr>
          <w:b/>
          <w:bCs/>
          <w:lang w:val="es-ES"/>
        </w:rPr>
        <w:t>H. SISTEM EVALUASI</w:t>
      </w:r>
    </w:p>
    <w:p w:rsidR="0021482E" w:rsidRPr="00A66162" w:rsidRDefault="0021482E" w:rsidP="0021482E">
      <w:pPr>
        <w:rPr>
          <w:b/>
          <w:bCs/>
          <w:lang w:val="sv-SE"/>
        </w:rPr>
      </w:pPr>
    </w:p>
    <w:tbl>
      <w:tblPr>
        <w:tblW w:w="8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99"/>
        <w:gridCol w:w="1000"/>
        <w:gridCol w:w="5552"/>
      </w:tblGrid>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NILAI</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HURUF</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BOBOT</w:t>
            </w:r>
          </w:p>
        </w:tc>
        <w:tc>
          <w:tcPr>
            <w:tcW w:w="5552" w:type="dxa"/>
          </w:tcPr>
          <w:p w:rsidR="0021482E" w:rsidRPr="005C18E5" w:rsidRDefault="0021482E" w:rsidP="00446FB2">
            <w:pPr>
              <w:jc w:val="center"/>
              <w:rPr>
                <w:b/>
                <w:bCs/>
                <w:sz w:val="20"/>
                <w:szCs w:val="20"/>
                <w:lang w:val="sv-SE"/>
              </w:rPr>
            </w:pPr>
            <w:r w:rsidRPr="005C18E5">
              <w:rPr>
                <w:b/>
                <w:bCs/>
                <w:sz w:val="20"/>
                <w:szCs w:val="20"/>
                <w:lang w:val="sv-SE"/>
              </w:rPr>
              <w:t>RUMUS</w:t>
            </w: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95-100</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 xml:space="preserve">   A+</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4,00</w:t>
            </w:r>
          </w:p>
        </w:tc>
        <w:tc>
          <w:tcPr>
            <w:tcW w:w="5552" w:type="dxa"/>
            <w:vMerge w:val="restart"/>
          </w:tcPr>
          <w:p w:rsidR="0021482E" w:rsidRPr="005C18E5" w:rsidRDefault="0021482E" w:rsidP="00446FB2">
            <w:pPr>
              <w:rPr>
                <w:b/>
                <w:bCs/>
                <w:sz w:val="20"/>
                <w:szCs w:val="20"/>
                <w:lang w:val="pt-BR"/>
              </w:rPr>
            </w:pPr>
            <w:r w:rsidRPr="005C18E5">
              <w:rPr>
                <w:b/>
                <w:bCs/>
                <w:sz w:val="20"/>
                <w:szCs w:val="20"/>
                <w:lang w:val="pt-BR"/>
              </w:rPr>
              <w:t xml:space="preserve">                             Aktifitas    = x 1</w:t>
            </w:r>
          </w:p>
          <w:p w:rsidR="0021482E" w:rsidRPr="005C18E5" w:rsidRDefault="0021482E" w:rsidP="00446FB2">
            <w:pPr>
              <w:rPr>
                <w:b/>
                <w:bCs/>
                <w:sz w:val="20"/>
                <w:szCs w:val="20"/>
                <w:lang w:val="pt-BR"/>
              </w:rPr>
            </w:pPr>
            <w:r w:rsidRPr="005C18E5">
              <w:rPr>
                <w:b/>
                <w:bCs/>
                <w:sz w:val="20"/>
                <w:szCs w:val="20"/>
                <w:lang w:val="pt-BR"/>
              </w:rPr>
              <w:t xml:space="preserve">                             Tugas        = x 1</w:t>
            </w:r>
          </w:p>
          <w:p w:rsidR="0021482E" w:rsidRPr="005C18E5" w:rsidRDefault="0021482E" w:rsidP="00446FB2">
            <w:pPr>
              <w:jc w:val="center"/>
              <w:rPr>
                <w:b/>
                <w:bCs/>
                <w:sz w:val="20"/>
                <w:szCs w:val="20"/>
                <w:lang w:val="pt-BR"/>
              </w:rPr>
            </w:pPr>
            <w:r w:rsidRPr="005C18E5">
              <w:rPr>
                <w:b/>
                <w:bCs/>
                <w:sz w:val="20"/>
                <w:szCs w:val="20"/>
                <w:lang w:val="pt-BR"/>
              </w:rPr>
              <w:t>UTS           = x 2</w:t>
            </w:r>
          </w:p>
          <w:p w:rsidR="0021482E" w:rsidRPr="005C18E5" w:rsidRDefault="0021482E" w:rsidP="00446FB2">
            <w:pPr>
              <w:jc w:val="center"/>
              <w:rPr>
                <w:b/>
                <w:bCs/>
                <w:sz w:val="20"/>
                <w:szCs w:val="20"/>
                <w:lang w:val="pt-BR"/>
              </w:rPr>
            </w:pPr>
            <w:r w:rsidRPr="005C18E5">
              <w:rPr>
                <w:b/>
                <w:bCs/>
                <w:sz w:val="20"/>
                <w:szCs w:val="20"/>
                <w:lang w:val="pt-BR"/>
              </w:rPr>
              <w:t xml:space="preserve">UAS           = x 2            </w:t>
            </w:r>
          </w:p>
          <w:p w:rsidR="0021482E" w:rsidRPr="005C18E5" w:rsidRDefault="004E09BC" w:rsidP="00446FB2">
            <w:pPr>
              <w:jc w:val="center"/>
              <w:rPr>
                <w:b/>
                <w:bCs/>
                <w:sz w:val="20"/>
                <w:szCs w:val="20"/>
                <w:lang w:val="pt-BR"/>
              </w:rPr>
            </w:pPr>
            <w:r>
              <w:rPr>
                <w:noProof/>
                <w:lang w:val="id-ID" w:eastAsia="id-ID"/>
              </w:rPr>
              <w:pict>
                <v:line id="_x0000_s1026" style="position:absolute;left:0;text-align:left;z-index:251660288" from="120.3pt,-.05pt" to="183.3pt,-.05pt" strokeweight="1.5pt"/>
              </w:pict>
            </w:r>
            <w:r w:rsidR="0021482E" w:rsidRPr="005C18E5">
              <w:rPr>
                <w:b/>
                <w:bCs/>
                <w:sz w:val="20"/>
                <w:szCs w:val="20"/>
                <w:lang w:val="pt-BR"/>
              </w:rPr>
              <w:t xml:space="preserve">                         6</w:t>
            </w:r>
          </w:p>
          <w:p w:rsidR="0021482E" w:rsidRPr="005C18E5" w:rsidRDefault="0021482E" w:rsidP="00446FB2">
            <w:pPr>
              <w:rPr>
                <w:b/>
                <w:bCs/>
                <w:sz w:val="20"/>
                <w:szCs w:val="20"/>
                <w:lang w:val="pt-BR"/>
              </w:rPr>
            </w:pPr>
          </w:p>
          <w:p w:rsidR="0021482E" w:rsidRPr="005C18E5" w:rsidRDefault="0021482E" w:rsidP="00446FB2">
            <w:pPr>
              <w:rPr>
                <w:b/>
                <w:bCs/>
                <w:sz w:val="20"/>
                <w:szCs w:val="20"/>
                <w:lang w:val="pt-BR"/>
              </w:rPr>
            </w:pPr>
            <w:r w:rsidRPr="005C18E5">
              <w:rPr>
                <w:b/>
                <w:bCs/>
                <w:sz w:val="20"/>
                <w:szCs w:val="20"/>
                <w:lang w:val="pt-BR"/>
              </w:rPr>
              <w:t xml:space="preserve">                     R = A (x1)+T (x1)+UTS(x2)+UAS (x2) =</w:t>
            </w:r>
          </w:p>
          <w:p w:rsidR="0021482E" w:rsidRPr="005C18E5" w:rsidRDefault="004E09BC" w:rsidP="00446FB2">
            <w:pPr>
              <w:ind w:left="1512"/>
              <w:rPr>
                <w:b/>
                <w:bCs/>
                <w:sz w:val="20"/>
                <w:szCs w:val="20"/>
                <w:lang w:val="pt-BR"/>
              </w:rPr>
            </w:pPr>
            <w:r>
              <w:rPr>
                <w:noProof/>
                <w:lang w:val="id-ID" w:eastAsia="id-ID"/>
              </w:rPr>
              <w:pict>
                <v:line id="_x0000_s1027" style="position:absolute;left:0;text-align:left;z-index:251661312" from="60.35pt,1.25pt" to="213.35pt,1.25pt" strokeweight="1.5pt"/>
              </w:pict>
            </w:r>
            <w:r w:rsidR="0021482E" w:rsidRPr="005C18E5">
              <w:rPr>
                <w:b/>
                <w:bCs/>
                <w:sz w:val="20"/>
                <w:szCs w:val="20"/>
                <w:lang w:val="pt-BR"/>
              </w:rPr>
              <w:t xml:space="preserve">                                                           </w:t>
            </w:r>
          </w:p>
          <w:p w:rsidR="0021482E" w:rsidRPr="005C18E5" w:rsidRDefault="0021482E" w:rsidP="00446FB2">
            <w:pPr>
              <w:ind w:left="1512"/>
              <w:rPr>
                <w:b/>
                <w:bCs/>
                <w:sz w:val="20"/>
                <w:szCs w:val="20"/>
                <w:lang w:val="sv-SE"/>
              </w:rPr>
            </w:pPr>
            <w:r w:rsidRPr="005C18E5">
              <w:rPr>
                <w:b/>
                <w:bCs/>
                <w:sz w:val="20"/>
                <w:szCs w:val="20"/>
                <w:lang w:val="pt-BR"/>
              </w:rPr>
              <w:t xml:space="preserve">                        </w:t>
            </w:r>
            <w:r w:rsidRPr="005C18E5">
              <w:rPr>
                <w:b/>
                <w:bCs/>
                <w:sz w:val="20"/>
                <w:szCs w:val="20"/>
                <w:lang w:val="sv-SE"/>
              </w:rPr>
              <w:t>6</w:t>
            </w: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90-94</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 xml:space="preserve"> A</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3,75</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85-89</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 xml:space="preserve">  A-</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3,50</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80-84</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 xml:space="preserve">   B+</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3,25</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75-79</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 xml:space="preserve"> B</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3,00</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70-74</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 xml:space="preserve">  B-</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2,75</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65-69</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 xml:space="preserve">  C+</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2,50</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60-64</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C</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2,25</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55-59</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 xml:space="preserve"> C-</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2,00</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50-54</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D</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1,00</w:t>
            </w:r>
          </w:p>
        </w:tc>
        <w:tc>
          <w:tcPr>
            <w:tcW w:w="5552" w:type="dxa"/>
            <w:vMerge/>
            <w:vAlign w:val="center"/>
          </w:tcPr>
          <w:p w:rsidR="0021482E" w:rsidRPr="005C18E5" w:rsidRDefault="0021482E" w:rsidP="00446FB2">
            <w:pPr>
              <w:rPr>
                <w:b/>
                <w:bCs/>
                <w:sz w:val="20"/>
                <w:szCs w:val="20"/>
                <w:lang w:val="sv-SE"/>
              </w:rPr>
            </w:pPr>
          </w:p>
        </w:tc>
      </w:tr>
      <w:tr w:rsidR="0021482E" w:rsidRPr="005C18E5" w:rsidTr="00446FB2">
        <w:tc>
          <w:tcPr>
            <w:tcW w:w="805" w:type="dxa"/>
          </w:tcPr>
          <w:p w:rsidR="0021482E" w:rsidRPr="005C18E5" w:rsidRDefault="0021482E" w:rsidP="00446FB2">
            <w:pPr>
              <w:jc w:val="center"/>
              <w:rPr>
                <w:b/>
                <w:bCs/>
                <w:sz w:val="20"/>
                <w:szCs w:val="20"/>
                <w:lang w:val="sv-SE"/>
              </w:rPr>
            </w:pPr>
            <w:r w:rsidRPr="005C18E5">
              <w:rPr>
                <w:b/>
                <w:bCs/>
                <w:sz w:val="20"/>
                <w:szCs w:val="20"/>
                <w:lang w:val="sv-SE"/>
              </w:rPr>
              <w:t>0-49</w:t>
            </w:r>
          </w:p>
        </w:tc>
        <w:tc>
          <w:tcPr>
            <w:tcW w:w="999" w:type="dxa"/>
          </w:tcPr>
          <w:p w:rsidR="0021482E" w:rsidRPr="005C18E5" w:rsidRDefault="0021482E" w:rsidP="00446FB2">
            <w:pPr>
              <w:jc w:val="center"/>
              <w:rPr>
                <w:b/>
                <w:bCs/>
                <w:sz w:val="20"/>
                <w:szCs w:val="20"/>
                <w:lang w:val="sv-SE"/>
              </w:rPr>
            </w:pPr>
            <w:r w:rsidRPr="005C18E5">
              <w:rPr>
                <w:b/>
                <w:bCs/>
                <w:sz w:val="20"/>
                <w:szCs w:val="20"/>
                <w:lang w:val="sv-SE"/>
              </w:rPr>
              <w:t>E</w:t>
            </w:r>
          </w:p>
        </w:tc>
        <w:tc>
          <w:tcPr>
            <w:tcW w:w="1000" w:type="dxa"/>
          </w:tcPr>
          <w:p w:rsidR="0021482E" w:rsidRPr="005C18E5" w:rsidRDefault="0021482E" w:rsidP="00446FB2">
            <w:pPr>
              <w:jc w:val="center"/>
              <w:rPr>
                <w:b/>
                <w:bCs/>
                <w:sz w:val="20"/>
                <w:szCs w:val="20"/>
                <w:lang w:val="sv-SE"/>
              </w:rPr>
            </w:pPr>
            <w:r w:rsidRPr="005C18E5">
              <w:rPr>
                <w:b/>
                <w:bCs/>
                <w:sz w:val="20"/>
                <w:szCs w:val="20"/>
                <w:lang w:val="sv-SE"/>
              </w:rPr>
              <w:t>0,00</w:t>
            </w:r>
          </w:p>
        </w:tc>
        <w:tc>
          <w:tcPr>
            <w:tcW w:w="5552" w:type="dxa"/>
            <w:vMerge/>
            <w:vAlign w:val="center"/>
          </w:tcPr>
          <w:p w:rsidR="0021482E" w:rsidRPr="005C18E5" w:rsidRDefault="0021482E" w:rsidP="00446FB2">
            <w:pPr>
              <w:rPr>
                <w:b/>
                <w:bCs/>
                <w:sz w:val="20"/>
                <w:szCs w:val="20"/>
                <w:lang w:val="sv-SE"/>
              </w:rPr>
            </w:pPr>
          </w:p>
        </w:tc>
      </w:tr>
    </w:tbl>
    <w:p w:rsidR="0021482E" w:rsidRPr="003870A8" w:rsidRDefault="0021482E" w:rsidP="0021482E">
      <w:pPr>
        <w:jc w:val="both"/>
        <w:rPr>
          <w:lang w:val="id-ID"/>
        </w:rPr>
      </w:pPr>
      <w:r w:rsidRPr="00A66162">
        <w:rPr>
          <w:lang w:val="da-DK"/>
        </w:rPr>
        <w:t xml:space="preserve"> </w:t>
      </w:r>
    </w:p>
    <w:p w:rsidR="0075366F" w:rsidRDefault="003870A8">
      <w:r>
        <w:tab/>
      </w:r>
      <w:r>
        <w:tab/>
      </w:r>
      <w:r>
        <w:tab/>
      </w:r>
      <w:r>
        <w:tab/>
      </w:r>
      <w:r>
        <w:tab/>
      </w:r>
      <w:r>
        <w:tab/>
      </w:r>
      <w:r>
        <w:tab/>
        <w:t>Bengkulu,      September 2018</w:t>
      </w:r>
    </w:p>
    <w:p w:rsidR="003870A8" w:rsidRDefault="003870A8">
      <w:r>
        <w:tab/>
      </w:r>
      <w:r>
        <w:tab/>
      </w:r>
      <w:r>
        <w:tab/>
      </w:r>
      <w:r>
        <w:tab/>
      </w:r>
      <w:r>
        <w:tab/>
      </w:r>
      <w:r>
        <w:tab/>
      </w:r>
      <w:r>
        <w:tab/>
      </w:r>
      <w:proofErr w:type="spellStart"/>
      <w:r>
        <w:t>Dosen</w:t>
      </w:r>
      <w:proofErr w:type="spellEnd"/>
      <w:r>
        <w:t xml:space="preserve"> </w:t>
      </w:r>
      <w:proofErr w:type="spellStart"/>
      <w:r>
        <w:t>Pengampu</w:t>
      </w:r>
      <w:proofErr w:type="spellEnd"/>
      <w:r>
        <w:t>,</w:t>
      </w:r>
    </w:p>
    <w:p w:rsidR="003870A8" w:rsidRDefault="003870A8"/>
    <w:p w:rsidR="003870A8" w:rsidRDefault="003870A8"/>
    <w:p w:rsidR="003870A8" w:rsidRDefault="003870A8"/>
    <w:p w:rsidR="003870A8" w:rsidRDefault="003870A8">
      <w:r>
        <w:tab/>
      </w:r>
      <w:r>
        <w:tab/>
      </w:r>
      <w:r>
        <w:tab/>
      </w:r>
      <w:r>
        <w:tab/>
      </w:r>
      <w:r>
        <w:tab/>
      </w:r>
      <w:r>
        <w:tab/>
      </w:r>
      <w:r>
        <w:tab/>
        <w:t xml:space="preserve">Dr. </w:t>
      </w:r>
      <w:proofErr w:type="spellStart"/>
      <w:r>
        <w:t>Toha</w:t>
      </w:r>
      <w:proofErr w:type="spellEnd"/>
      <w:r>
        <w:t xml:space="preserve"> </w:t>
      </w:r>
      <w:proofErr w:type="spellStart"/>
      <w:r>
        <w:t>Andiko</w:t>
      </w:r>
      <w:proofErr w:type="spellEnd"/>
      <w:r>
        <w:t xml:space="preserve">, </w:t>
      </w:r>
      <w:proofErr w:type="spellStart"/>
      <w:r>
        <w:t>M.Ag</w:t>
      </w:r>
      <w:proofErr w:type="spellEnd"/>
      <w:r>
        <w:t>.</w:t>
      </w:r>
    </w:p>
    <w:p w:rsidR="003870A8" w:rsidRDefault="003870A8">
      <w:r>
        <w:tab/>
      </w:r>
      <w:r>
        <w:tab/>
      </w:r>
      <w:r>
        <w:tab/>
      </w:r>
      <w:bookmarkStart w:id="0" w:name="_GoBack"/>
      <w:bookmarkEnd w:id="0"/>
    </w:p>
    <w:sectPr w:rsidR="003870A8" w:rsidSect="007536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coType Naskh Speci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C0E51"/>
    <w:multiLevelType w:val="hybridMultilevel"/>
    <w:tmpl w:val="D11476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97812E6"/>
    <w:multiLevelType w:val="hybridMultilevel"/>
    <w:tmpl w:val="7EE69E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BCB6802"/>
    <w:multiLevelType w:val="singleLevel"/>
    <w:tmpl w:val="12F6A7D8"/>
    <w:lvl w:ilvl="0">
      <w:start w:val="1"/>
      <w:numFmt w:val="decimal"/>
      <w:lvlText w:val="%1."/>
      <w:lvlJc w:val="left"/>
      <w:pPr>
        <w:tabs>
          <w:tab w:val="num" w:pos="340"/>
        </w:tabs>
        <w:ind w:left="340" w:hanging="34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2"/>
  </w:compat>
  <w:rsids>
    <w:rsidRoot w:val="0021482E"/>
    <w:rsid w:val="000318C3"/>
    <w:rsid w:val="000443B2"/>
    <w:rsid w:val="0006173C"/>
    <w:rsid w:val="0006738D"/>
    <w:rsid w:val="00096C50"/>
    <w:rsid w:val="000A04CB"/>
    <w:rsid w:val="000F2B6B"/>
    <w:rsid w:val="000F5603"/>
    <w:rsid w:val="000F628E"/>
    <w:rsid w:val="0011463B"/>
    <w:rsid w:val="00120745"/>
    <w:rsid w:val="001268A3"/>
    <w:rsid w:val="00185323"/>
    <w:rsid w:val="001A326A"/>
    <w:rsid w:val="001B5CE8"/>
    <w:rsid w:val="001C6821"/>
    <w:rsid w:val="001D4F18"/>
    <w:rsid w:val="0021482E"/>
    <w:rsid w:val="00254856"/>
    <w:rsid w:val="002573E8"/>
    <w:rsid w:val="002766DB"/>
    <w:rsid w:val="002D25E7"/>
    <w:rsid w:val="002E344D"/>
    <w:rsid w:val="002F408A"/>
    <w:rsid w:val="00306C93"/>
    <w:rsid w:val="003138C4"/>
    <w:rsid w:val="00316E01"/>
    <w:rsid w:val="00317294"/>
    <w:rsid w:val="0033439A"/>
    <w:rsid w:val="003567F8"/>
    <w:rsid w:val="00361243"/>
    <w:rsid w:val="003870A8"/>
    <w:rsid w:val="003A6FFB"/>
    <w:rsid w:val="003C288C"/>
    <w:rsid w:val="003D72B8"/>
    <w:rsid w:val="003E46A4"/>
    <w:rsid w:val="003F45B9"/>
    <w:rsid w:val="00427C72"/>
    <w:rsid w:val="004E09BC"/>
    <w:rsid w:val="00517403"/>
    <w:rsid w:val="00544DBD"/>
    <w:rsid w:val="005957F4"/>
    <w:rsid w:val="005B2D62"/>
    <w:rsid w:val="005C3086"/>
    <w:rsid w:val="005E2297"/>
    <w:rsid w:val="00617E1A"/>
    <w:rsid w:val="00672EF3"/>
    <w:rsid w:val="00703B44"/>
    <w:rsid w:val="00733825"/>
    <w:rsid w:val="0075366F"/>
    <w:rsid w:val="00771881"/>
    <w:rsid w:val="007D0172"/>
    <w:rsid w:val="00852354"/>
    <w:rsid w:val="00880E8D"/>
    <w:rsid w:val="008855AA"/>
    <w:rsid w:val="008A19D8"/>
    <w:rsid w:val="008A66A3"/>
    <w:rsid w:val="008D3680"/>
    <w:rsid w:val="008E7366"/>
    <w:rsid w:val="00904BAA"/>
    <w:rsid w:val="009220C5"/>
    <w:rsid w:val="009338B7"/>
    <w:rsid w:val="00935E6B"/>
    <w:rsid w:val="00965358"/>
    <w:rsid w:val="009D6357"/>
    <w:rsid w:val="009E5C9A"/>
    <w:rsid w:val="009F3D0B"/>
    <w:rsid w:val="009F6E33"/>
    <w:rsid w:val="00A32070"/>
    <w:rsid w:val="00A65FF1"/>
    <w:rsid w:val="00AE34E2"/>
    <w:rsid w:val="00B1260E"/>
    <w:rsid w:val="00B6416E"/>
    <w:rsid w:val="00BA1CBA"/>
    <w:rsid w:val="00BB34A6"/>
    <w:rsid w:val="00C34FA6"/>
    <w:rsid w:val="00C350C7"/>
    <w:rsid w:val="00C406C3"/>
    <w:rsid w:val="00C736D0"/>
    <w:rsid w:val="00C878E2"/>
    <w:rsid w:val="00CC1FB0"/>
    <w:rsid w:val="00CD2513"/>
    <w:rsid w:val="00CE04DE"/>
    <w:rsid w:val="00CE0B96"/>
    <w:rsid w:val="00CF221D"/>
    <w:rsid w:val="00CF4ABE"/>
    <w:rsid w:val="00D5415C"/>
    <w:rsid w:val="00D54CE7"/>
    <w:rsid w:val="00D734CC"/>
    <w:rsid w:val="00DA4688"/>
    <w:rsid w:val="00DA6AE4"/>
    <w:rsid w:val="00DB1148"/>
    <w:rsid w:val="00DB60E5"/>
    <w:rsid w:val="00DC6977"/>
    <w:rsid w:val="00DD4AEF"/>
    <w:rsid w:val="00DD5502"/>
    <w:rsid w:val="00E01896"/>
    <w:rsid w:val="00E22E22"/>
    <w:rsid w:val="00E53CC0"/>
    <w:rsid w:val="00E736EB"/>
    <w:rsid w:val="00EC0D1D"/>
    <w:rsid w:val="00F50733"/>
    <w:rsid w:val="00F52CF1"/>
    <w:rsid w:val="00F91F10"/>
    <w:rsid w:val="00FA283E"/>
    <w:rsid w:val="00FC17CE"/>
    <w:rsid w:val="00FD6A25"/>
    <w:rsid w:val="00FE5333"/>
    <w:rsid w:val="00FE7BE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82E"/>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482E"/>
    <w:pPr>
      <w:autoSpaceDE w:val="0"/>
      <w:autoSpaceDN w:val="0"/>
      <w:adjustRightInd w:val="0"/>
    </w:pPr>
    <w:rPr>
      <w:rFonts w:ascii="Times New Roman" w:eastAsia="Times New Roman" w:hAnsi="Times New Roman" w:cs="Times New Roman"/>
      <w:color w:val="000000"/>
      <w:sz w:val="24"/>
      <w:szCs w:val="24"/>
      <w:lang w:val="en-US"/>
    </w:rPr>
  </w:style>
  <w:style w:type="paragraph" w:styleId="Title">
    <w:name w:val="Title"/>
    <w:basedOn w:val="Normal"/>
    <w:next w:val="Normal"/>
    <w:link w:val="TitleChar"/>
    <w:qFormat/>
    <w:rsid w:val="0021482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1482E"/>
    <w:rPr>
      <w:rFonts w:asciiTheme="majorHAnsi" w:eastAsiaTheme="majorEastAsia" w:hAnsiTheme="majorHAnsi" w:cstheme="majorBidi"/>
      <w:b/>
      <w:bCs/>
      <w:kern w:val="28"/>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2018-09-29T03:56:00Z</dcterms:created>
  <dcterms:modified xsi:type="dcterms:W3CDTF">2019-08-21T01:17:00Z</dcterms:modified>
</cp:coreProperties>
</file>