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4800F" w14:textId="48A9F840" w:rsidR="00F856B5" w:rsidRPr="00ED66D6" w:rsidRDefault="00ED66D6" w:rsidP="00ED66D6">
      <w:pPr>
        <w:spacing w:line="360" w:lineRule="auto"/>
        <w:jc w:val="center"/>
        <w:rPr>
          <w:rFonts w:ascii="Times New Roman" w:eastAsia="Times New Roman" w:hAnsi="Times New Roman" w:cs="Times New Roman"/>
          <w:b/>
          <w:bCs/>
          <w:sz w:val="24"/>
          <w:szCs w:val="24"/>
        </w:rPr>
      </w:pPr>
      <w:r w:rsidRPr="00ED66D6">
        <w:rPr>
          <w:rFonts w:ascii="Times New Roman" w:eastAsia="Times New Roman" w:hAnsi="Times New Roman" w:cs="Times New Roman"/>
          <w:b/>
          <w:bCs/>
          <w:sz w:val="24"/>
          <w:szCs w:val="24"/>
        </w:rPr>
        <w:t>Word count: 6208</w:t>
      </w:r>
    </w:p>
    <w:p w14:paraId="3858F637" w14:textId="77777777" w:rsidR="00ED66D6" w:rsidRDefault="00ED66D6" w:rsidP="00ED66D6">
      <w:pPr>
        <w:spacing w:line="360" w:lineRule="auto"/>
        <w:rPr>
          <w:rFonts w:ascii="Times New Roman" w:hAnsi="Times New Roman" w:cs="Times New Roman"/>
          <w:b/>
          <w:sz w:val="24"/>
          <w:szCs w:val="24"/>
        </w:rPr>
      </w:pPr>
    </w:p>
    <w:p w14:paraId="3DB30650" w14:textId="1805FA1D" w:rsidR="00ED66D6" w:rsidRPr="00ED66D6" w:rsidRDefault="00ED66D6" w:rsidP="00ED66D6">
      <w:pPr>
        <w:spacing w:line="360" w:lineRule="auto"/>
        <w:jc w:val="center"/>
        <w:rPr>
          <w:rFonts w:ascii="Times New Roman" w:eastAsia="Times New Roman" w:hAnsi="Times New Roman" w:cs="Times New Roman"/>
          <w:b/>
          <w:bCs/>
          <w:sz w:val="24"/>
          <w:szCs w:val="24"/>
        </w:rPr>
      </w:pPr>
      <w:commentRangeStart w:id="0"/>
      <w:commentRangeStart w:id="1"/>
      <w:r w:rsidRPr="00ED66D6">
        <w:rPr>
          <w:rFonts w:ascii="Times New Roman" w:hAnsi="Times New Roman" w:cs="Times New Roman"/>
          <w:b/>
          <w:sz w:val="24"/>
          <w:szCs w:val="24"/>
        </w:rPr>
        <w:t>Strengthening Policies for Education, Innovation, and Digitization through Teacher Training: Evaluating ProFuturo’s Open Model in Ecuador</w:t>
      </w:r>
      <w:commentRangeEnd w:id="0"/>
      <w:r w:rsidR="00DB3B02">
        <w:rPr>
          <w:rStyle w:val="CommentReference"/>
        </w:rPr>
        <w:commentReference w:id="0"/>
      </w:r>
      <w:commentRangeEnd w:id="1"/>
      <w:r w:rsidR="00A91D4E">
        <w:rPr>
          <w:rStyle w:val="CommentReference"/>
        </w:rPr>
        <w:commentReference w:id="1"/>
      </w:r>
    </w:p>
    <w:p w14:paraId="200A1421" w14:textId="77777777" w:rsidR="00ED66D6" w:rsidRPr="00ED66D6" w:rsidRDefault="00ED66D6" w:rsidP="00ED66D6">
      <w:pPr>
        <w:spacing w:line="360" w:lineRule="auto"/>
        <w:jc w:val="center"/>
        <w:rPr>
          <w:rFonts w:ascii="Times New Roman" w:eastAsia="Times New Roman" w:hAnsi="Times New Roman" w:cs="Times New Roman"/>
          <w:sz w:val="24"/>
          <w:szCs w:val="24"/>
        </w:rPr>
      </w:pPr>
    </w:p>
    <w:p w14:paraId="7641B622" w14:textId="77777777" w:rsidR="00F856B5" w:rsidRPr="00ED66D6" w:rsidRDefault="00F856B5" w:rsidP="00ED66D6">
      <w:pPr>
        <w:spacing w:line="360" w:lineRule="auto"/>
        <w:rPr>
          <w:rFonts w:ascii="Times New Roman" w:eastAsia="Times New Roman" w:hAnsi="Times New Roman" w:cs="Times New Roman"/>
          <w:sz w:val="24"/>
          <w:szCs w:val="24"/>
        </w:rPr>
      </w:pPr>
    </w:p>
    <w:p w14:paraId="0597AEEB" w14:textId="77777777" w:rsidR="00ED66D6" w:rsidRDefault="00ED66D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1F52BC3" w14:textId="271E1B27" w:rsidR="00F856B5" w:rsidRPr="00ED66D6" w:rsidRDefault="009F7ECA" w:rsidP="00ED66D6">
      <w:pPr>
        <w:spacing w:line="360" w:lineRule="auto"/>
        <w:jc w:val="center"/>
        <w:rPr>
          <w:rFonts w:ascii="Times New Roman" w:eastAsia="Times New Roman" w:hAnsi="Times New Roman" w:cs="Times New Roman"/>
          <w:b/>
          <w:bCs/>
          <w:sz w:val="24"/>
          <w:szCs w:val="24"/>
        </w:rPr>
      </w:pPr>
      <w:commentRangeStart w:id="2"/>
      <w:r w:rsidRPr="00ED66D6">
        <w:rPr>
          <w:rFonts w:ascii="Times New Roman" w:hAnsi="Times New Roman" w:cs="Times New Roman"/>
          <w:b/>
          <w:sz w:val="24"/>
          <w:szCs w:val="24"/>
        </w:rPr>
        <w:lastRenderedPageBreak/>
        <w:t>Abstract</w:t>
      </w:r>
    </w:p>
    <w:p w14:paraId="459CC9F5" w14:textId="4B4F9C60" w:rsidR="00F856B5" w:rsidRPr="00ED66D6" w:rsidRDefault="009F7ECA" w:rsidP="00ED66D6">
      <w:pPr>
        <w:spacing w:line="480" w:lineRule="auto"/>
        <w:rPr>
          <w:rFonts w:ascii="Times New Roman" w:eastAsia="Times New Roman" w:hAnsi="Times New Roman" w:cs="Times New Roman"/>
          <w:sz w:val="24"/>
          <w:szCs w:val="24"/>
        </w:rPr>
      </w:pPr>
      <w:commentRangeStart w:id="3"/>
      <w:r w:rsidRPr="7E8E7E1E">
        <w:rPr>
          <w:rFonts w:ascii="Times New Roman" w:hAnsi="Times New Roman" w:cs="Times New Roman"/>
          <w:sz w:val="24"/>
          <w:szCs w:val="24"/>
        </w:rPr>
        <w:t xml:space="preserve">Teacher training and a commitment to innovation in teaching processes are determining factors in the success of technology adoption processes. This article presents a study on the opportunities produced through the collaboration of the Ecuadorian Ministry of Education and the ProFuturo program, arising from the emergent situation caused by COVID-19, which resulted in the improvement of digital competency among teachers and pupils and in transference to educational practise. In addition, this collaboration significantly strengthened the existing limited capabilities for developing mass training programs for teachers in the country. </w:t>
      </w:r>
      <w:commentRangeStart w:id="4"/>
      <w:r w:rsidRPr="7E8E7E1E">
        <w:rPr>
          <w:rFonts w:ascii="Times New Roman" w:hAnsi="Times New Roman" w:cs="Times New Roman"/>
          <w:sz w:val="24"/>
          <w:szCs w:val="24"/>
        </w:rPr>
        <w:t>The research was conducted through a survey, using descriptive analysis of the opinion of 3</w:t>
      </w:r>
      <w:r w:rsidR="002A3B2B">
        <w:rPr>
          <w:rFonts w:ascii="Times New Roman" w:hAnsi="Times New Roman" w:cs="Times New Roman"/>
          <w:sz w:val="24"/>
          <w:szCs w:val="24"/>
        </w:rPr>
        <w:t>.</w:t>
      </w:r>
      <w:r w:rsidRPr="7E8E7E1E">
        <w:rPr>
          <w:rFonts w:ascii="Times New Roman" w:hAnsi="Times New Roman" w:cs="Times New Roman"/>
          <w:sz w:val="24"/>
          <w:szCs w:val="24"/>
        </w:rPr>
        <w:t>565 teachers, in addition to 7</w:t>
      </w:r>
      <w:r w:rsidR="002A3B2B">
        <w:rPr>
          <w:rFonts w:ascii="Times New Roman" w:hAnsi="Times New Roman" w:cs="Times New Roman"/>
          <w:sz w:val="24"/>
          <w:szCs w:val="24"/>
        </w:rPr>
        <w:t>.</w:t>
      </w:r>
      <w:r w:rsidRPr="7E8E7E1E">
        <w:rPr>
          <w:rFonts w:ascii="Times New Roman" w:hAnsi="Times New Roman" w:cs="Times New Roman"/>
          <w:sz w:val="24"/>
          <w:szCs w:val="24"/>
        </w:rPr>
        <w:t>257 teacher</w:t>
      </w:r>
      <w:r w:rsidR="544C4998" w:rsidRPr="7E8E7E1E">
        <w:rPr>
          <w:rFonts w:ascii="Times New Roman" w:hAnsi="Times New Roman" w:cs="Times New Roman"/>
          <w:sz w:val="24"/>
          <w:szCs w:val="24"/>
        </w:rPr>
        <w:t>’s</w:t>
      </w:r>
      <w:r w:rsidR="4DC69808" w:rsidRPr="7E8E7E1E">
        <w:rPr>
          <w:rFonts w:ascii="Times New Roman" w:hAnsi="Times New Roman" w:cs="Times New Roman"/>
          <w:sz w:val="24"/>
          <w:szCs w:val="24"/>
        </w:rPr>
        <w:t xml:space="preserve"> answers to a</w:t>
      </w:r>
      <w:r w:rsidRPr="7E8E7E1E">
        <w:rPr>
          <w:rFonts w:ascii="Times New Roman" w:hAnsi="Times New Roman" w:cs="Times New Roman"/>
          <w:sz w:val="24"/>
          <w:szCs w:val="24"/>
        </w:rPr>
        <w:t xml:space="preserve"> digital competency self-assessment</w:t>
      </w:r>
      <w:r w:rsidR="1797076E" w:rsidRPr="7E8E7E1E">
        <w:rPr>
          <w:rFonts w:ascii="Times New Roman" w:hAnsi="Times New Roman" w:cs="Times New Roman"/>
          <w:sz w:val="24"/>
          <w:szCs w:val="24"/>
        </w:rPr>
        <w:t xml:space="preserve"> tool</w:t>
      </w:r>
      <w:r w:rsidRPr="7E8E7E1E">
        <w:rPr>
          <w:rFonts w:ascii="Times New Roman" w:hAnsi="Times New Roman" w:cs="Times New Roman"/>
          <w:sz w:val="24"/>
          <w:szCs w:val="24"/>
        </w:rPr>
        <w:t>, after their participation in ProFuturo training programs</w:t>
      </w:r>
      <w:commentRangeEnd w:id="4"/>
      <w:r w:rsidR="00A91D4E">
        <w:rPr>
          <w:rStyle w:val="CommentReference"/>
        </w:rPr>
        <w:commentReference w:id="4"/>
      </w:r>
      <w:r w:rsidRPr="7E8E7E1E">
        <w:rPr>
          <w:rFonts w:ascii="Times New Roman" w:hAnsi="Times New Roman" w:cs="Times New Roman"/>
          <w:sz w:val="24"/>
          <w:szCs w:val="24"/>
        </w:rPr>
        <w:t xml:space="preserve">. </w:t>
      </w:r>
      <w:commentRangeStart w:id="5"/>
      <w:r w:rsidRPr="7E8E7E1E">
        <w:rPr>
          <w:rFonts w:ascii="Times New Roman" w:hAnsi="Times New Roman" w:cs="Times New Roman"/>
          <w:sz w:val="24"/>
          <w:szCs w:val="24"/>
        </w:rPr>
        <w:t>The results show an improvement in the competency of the teachers following their participation in the program and confirm that they considered digital transformation in the classroom to be of great utility, associating this with a positive impact on learning experiences, where there was a significant transference, driven by an improvement in digital skills applied to the teaching process.</w:t>
      </w:r>
      <w:commentRangeEnd w:id="2"/>
      <w:r w:rsidR="00A91D4E">
        <w:rPr>
          <w:rStyle w:val="CommentReference"/>
        </w:rPr>
        <w:commentReference w:id="2"/>
      </w:r>
      <w:commentRangeEnd w:id="3"/>
      <w:r w:rsidR="00A91D4E">
        <w:rPr>
          <w:rStyle w:val="CommentReference"/>
        </w:rPr>
        <w:commentReference w:id="3"/>
      </w:r>
      <w:commentRangeEnd w:id="5"/>
      <w:r w:rsidR="00BC5BDA">
        <w:rPr>
          <w:rStyle w:val="CommentReference"/>
        </w:rPr>
        <w:commentReference w:id="5"/>
      </w:r>
    </w:p>
    <w:p w14:paraId="2AFC87FC" w14:textId="77777777" w:rsidR="00F856B5" w:rsidRPr="00ED66D6" w:rsidRDefault="00F856B5" w:rsidP="00ED66D6">
      <w:pPr>
        <w:spacing w:line="480" w:lineRule="auto"/>
        <w:rPr>
          <w:rFonts w:ascii="Times New Roman" w:eastAsia="Times New Roman" w:hAnsi="Times New Roman" w:cs="Times New Roman"/>
          <w:i/>
          <w:iCs/>
          <w:sz w:val="24"/>
          <w:szCs w:val="24"/>
        </w:rPr>
      </w:pPr>
    </w:p>
    <w:p w14:paraId="640C25B1" w14:textId="4C883F41" w:rsidR="00F856B5" w:rsidRPr="00ED66D6" w:rsidRDefault="009F7ECA" w:rsidP="00ED66D6">
      <w:pPr>
        <w:spacing w:line="480" w:lineRule="auto"/>
        <w:rPr>
          <w:rFonts w:ascii="Times New Roman" w:eastAsia="Calibri" w:hAnsi="Times New Roman" w:cs="Times New Roman"/>
          <w:sz w:val="24"/>
          <w:szCs w:val="24"/>
        </w:rPr>
      </w:pPr>
      <w:r w:rsidRPr="00ED66D6">
        <w:rPr>
          <w:rFonts w:ascii="Times New Roman" w:hAnsi="Times New Roman" w:cs="Times New Roman"/>
          <w:bCs/>
          <w:i/>
          <w:iCs/>
          <w:sz w:val="24"/>
          <w:szCs w:val="24"/>
        </w:rPr>
        <w:t>Keywords</w:t>
      </w:r>
      <w:r w:rsidR="00ED66D6">
        <w:rPr>
          <w:rFonts w:ascii="Times New Roman" w:hAnsi="Times New Roman" w:cs="Times New Roman"/>
          <w:b/>
          <w:sz w:val="24"/>
          <w:szCs w:val="24"/>
        </w:rPr>
        <w:t xml:space="preserve">: </w:t>
      </w:r>
      <w:commentRangeStart w:id="6"/>
      <w:r w:rsidR="0030463E">
        <w:rPr>
          <w:rFonts w:ascii="Times New Roman" w:hAnsi="Times New Roman" w:cs="Times New Roman"/>
          <w:sz w:val="24"/>
          <w:szCs w:val="24"/>
        </w:rPr>
        <w:t>t</w:t>
      </w:r>
      <w:r w:rsidRPr="00ED66D6">
        <w:rPr>
          <w:rFonts w:ascii="Times New Roman" w:hAnsi="Times New Roman" w:cs="Times New Roman"/>
          <w:sz w:val="24"/>
          <w:szCs w:val="24"/>
        </w:rPr>
        <w:t xml:space="preserve">eaching roles, institutional strengthening, digital education, teaching innovation, virtual environments, digital </w:t>
      </w:r>
      <w:r w:rsidRPr="00ED66D6">
        <w:rPr>
          <w:rFonts w:ascii="Times New Roman" w:eastAsia="Calibri" w:hAnsi="Times New Roman" w:cs="Times New Roman"/>
          <w:sz w:val="24"/>
          <w:szCs w:val="24"/>
        </w:rPr>
        <w:t>competence.</w:t>
      </w:r>
      <w:commentRangeEnd w:id="6"/>
      <w:r w:rsidR="00B328F6">
        <w:rPr>
          <w:rStyle w:val="CommentReference"/>
        </w:rPr>
        <w:commentReference w:id="6"/>
      </w:r>
    </w:p>
    <w:p w14:paraId="410EF34F" w14:textId="7EA0D005" w:rsidR="00ED66D6" w:rsidRDefault="00ED66D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A5943E1" w14:textId="77777777" w:rsidR="00F856B5" w:rsidRPr="00ED66D6" w:rsidRDefault="00F856B5" w:rsidP="00ED66D6">
      <w:pPr>
        <w:spacing w:line="360" w:lineRule="auto"/>
        <w:rPr>
          <w:rFonts w:ascii="Times New Roman" w:eastAsia="Times New Roman" w:hAnsi="Times New Roman" w:cs="Times New Roman"/>
          <w:b/>
          <w:bCs/>
          <w:sz w:val="24"/>
          <w:szCs w:val="24"/>
        </w:rPr>
      </w:pPr>
    </w:p>
    <w:p w14:paraId="7598E8C6" w14:textId="77777777" w:rsidR="00F856B5" w:rsidRPr="00ED66D6" w:rsidRDefault="009F7ECA" w:rsidP="00ED66D6">
      <w:pPr>
        <w:spacing w:line="360" w:lineRule="auto"/>
        <w:ind w:left="360"/>
        <w:jc w:val="center"/>
        <w:rPr>
          <w:rFonts w:ascii="Times New Roman" w:eastAsia="Times New Roman" w:hAnsi="Times New Roman" w:cs="Times New Roman"/>
          <w:b/>
          <w:bCs/>
          <w:sz w:val="24"/>
          <w:szCs w:val="24"/>
        </w:rPr>
      </w:pPr>
      <w:r w:rsidRPr="00ED66D6">
        <w:rPr>
          <w:rFonts w:ascii="Times New Roman" w:hAnsi="Times New Roman" w:cs="Times New Roman"/>
          <w:b/>
          <w:sz w:val="24"/>
          <w:szCs w:val="24"/>
        </w:rPr>
        <w:t>Introduction</w:t>
      </w:r>
    </w:p>
    <w:p w14:paraId="088D3C9D" w14:textId="77777777" w:rsidR="00ED66D6" w:rsidRDefault="009F7ECA" w:rsidP="00ED66D6">
      <w:pPr>
        <w:spacing w:line="480" w:lineRule="auto"/>
        <w:rPr>
          <w:rFonts w:ascii="Times New Roman" w:hAnsi="Times New Roman" w:cs="Times New Roman"/>
          <w:sz w:val="24"/>
          <w:szCs w:val="24"/>
        </w:rPr>
      </w:pPr>
      <w:r w:rsidRPr="00ED66D6">
        <w:rPr>
          <w:rFonts w:ascii="Times New Roman" w:hAnsi="Times New Roman" w:cs="Times New Roman"/>
          <w:sz w:val="24"/>
          <w:szCs w:val="24"/>
        </w:rPr>
        <w:t xml:space="preserve"> </w:t>
      </w:r>
    </w:p>
    <w:p w14:paraId="1F764DD8" w14:textId="0925FF12" w:rsidR="00F856B5" w:rsidRPr="00ED66D6" w:rsidRDefault="009F7ECA" w:rsidP="0030463E">
      <w:pPr>
        <w:spacing w:line="480" w:lineRule="auto"/>
        <w:ind w:firstLine="567"/>
        <w:rPr>
          <w:rFonts w:ascii="Times New Roman" w:eastAsia="Times New Roman" w:hAnsi="Times New Roman" w:cs="Times New Roman"/>
          <w:sz w:val="24"/>
          <w:szCs w:val="24"/>
        </w:rPr>
      </w:pPr>
      <w:commentRangeStart w:id="7"/>
      <w:r w:rsidRPr="7E8E7E1E">
        <w:rPr>
          <w:rStyle w:val="normaltextrun"/>
          <w:rFonts w:ascii="Times New Roman" w:hAnsi="Times New Roman" w:cs="Times New Roman"/>
          <w:sz w:val="24"/>
          <w:szCs w:val="24"/>
        </w:rPr>
        <w:t>Globally, educational institutions undertake a continuous commitment to training and supporting</w:t>
      </w:r>
      <w:r w:rsidR="03DCE594" w:rsidRPr="7E8E7E1E">
        <w:rPr>
          <w:rStyle w:val="normaltextrun"/>
          <w:rFonts w:ascii="Times New Roman" w:hAnsi="Times New Roman" w:cs="Times New Roman"/>
          <w:sz w:val="24"/>
          <w:szCs w:val="24"/>
        </w:rPr>
        <w:t xml:space="preserve"> their</w:t>
      </w:r>
      <w:r w:rsidRPr="7E8E7E1E">
        <w:rPr>
          <w:rStyle w:val="normaltextrun"/>
          <w:rFonts w:ascii="Times New Roman" w:hAnsi="Times New Roman" w:cs="Times New Roman"/>
          <w:sz w:val="24"/>
          <w:szCs w:val="24"/>
        </w:rPr>
        <w:t xml:space="preserve"> teaching staff</w:t>
      </w:r>
      <w:r w:rsidR="0D1ED9CA" w:rsidRPr="7E8E7E1E">
        <w:rPr>
          <w:rStyle w:val="normaltextrun"/>
          <w:rFonts w:ascii="Times New Roman" w:hAnsi="Times New Roman" w:cs="Times New Roman"/>
          <w:sz w:val="24"/>
          <w:szCs w:val="24"/>
        </w:rPr>
        <w:t xml:space="preserve">, </w:t>
      </w:r>
      <w:r w:rsidRPr="7E8E7E1E">
        <w:rPr>
          <w:rStyle w:val="normaltextrun"/>
          <w:rFonts w:ascii="Times New Roman" w:hAnsi="Times New Roman" w:cs="Times New Roman"/>
          <w:sz w:val="24"/>
          <w:szCs w:val="24"/>
        </w:rPr>
        <w:t>in a context conditioned by digital adoption in all spheres of activity, both work-related and personal</w:t>
      </w:r>
      <w:r w:rsidR="6A9F9B41" w:rsidRPr="7E8E7E1E">
        <w:rPr>
          <w:rStyle w:val="normaltextrun"/>
          <w:rFonts w:ascii="Times New Roman" w:hAnsi="Times New Roman" w:cs="Times New Roman"/>
          <w:sz w:val="24"/>
          <w:szCs w:val="24"/>
        </w:rPr>
        <w:t xml:space="preserve">. This sift </w:t>
      </w:r>
      <w:r w:rsidRPr="7E8E7E1E">
        <w:rPr>
          <w:rStyle w:val="normaltextrun"/>
          <w:rFonts w:ascii="Times New Roman" w:hAnsi="Times New Roman" w:cs="Times New Roman"/>
          <w:sz w:val="24"/>
          <w:szCs w:val="24"/>
        </w:rPr>
        <w:t xml:space="preserve">entails continuous innovation in all processes connected to teaching and learning. Among other changes, adoption of technology in educational institutions has resulted in profound transformation, not only for managing educational projects, planning, implementation, and assessment, but also for instruction, thereby facilitating the acquisition of skills assigned to the different stages of the curriculum, as well as those needed in a social context determined precisely by digital transformation (Falode, 2019; Falode, &amp; Mohammed, 2023, Sangrà et al. 2023). </w:t>
      </w:r>
    </w:p>
    <w:p w14:paraId="288F9A90" w14:textId="14733830" w:rsidR="00F856B5" w:rsidRPr="00ED66D6" w:rsidRDefault="009F7ECA" w:rsidP="0030463E">
      <w:pPr>
        <w:pStyle w:val="paragraph"/>
        <w:spacing w:before="280" w:after="0" w:line="480" w:lineRule="auto"/>
        <w:ind w:firstLine="567"/>
      </w:pPr>
      <w:r>
        <w:t xml:space="preserve">Thus, teacher training is one of the determining factors for technology adoption processes that meet the needs of learners and the society of a region as a whole. In fact, a large part of the scientific literature has focused specifically on identifying a framework that would facilitate training designs that encourage staff innovation and modernization. In this respect, studies </w:t>
      </w:r>
      <w:r w:rsidR="0069131E">
        <w:t>emphasize the variety of roles a teacher must perform in technology-mediated education, given that, in addition to acting as an expert in their field, they must also carry out roles such as (</w:t>
      </w:r>
      <w:r w:rsidR="001C0CC9">
        <w:t>Blinded,</w:t>
      </w:r>
      <w:r w:rsidR="0069131E">
        <w:t xml:space="preserve"> 2013</w:t>
      </w:r>
      <w:r w:rsidR="12211E59">
        <w:t xml:space="preserve">; </w:t>
      </w:r>
      <w:r w:rsidR="0069131E">
        <w:t>Martin et al, 2021):</w:t>
      </w:r>
    </w:p>
    <w:p w14:paraId="3EC663F8" w14:textId="5363BE75" w:rsidR="0069131E" w:rsidRPr="0069131E" w:rsidRDefault="0069131E" w:rsidP="0069131E">
      <w:pPr>
        <w:spacing w:line="480" w:lineRule="auto"/>
        <w:ind w:left="709"/>
        <w:rPr>
          <w:rStyle w:val="normaltextrun"/>
          <w:rFonts w:ascii="Times New Roman" w:hAnsi="Times New Roman" w:cs="Times New Roman"/>
          <w:sz w:val="24"/>
          <w:szCs w:val="24"/>
        </w:rPr>
      </w:pPr>
      <w:r w:rsidRPr="7E8E7E1E">
        <w:rPr>
          <w:rStyle w:val="normaltextrun"/>
          <w:rFonts w:ascii="Times New Roman" w:hAnsi="Times New Roman" w:cs="Times New Roman"/>
          <w:i/>
          <w:iCs/>
          <w:sz w:val="24"/>
          <w:szCs w:val="24"/>
        </w:rPr>
        <w:t>Technologist</w:t>
      </w:r>
      <w:r w:rsidRPr="7E8E7E1E">
        <w:rPr>
          <w:rStyle w:val="normaltextrun"/>
          <w:rFonts w:ascii="Times New Roman" w:hAnsi="Times New Roman" w:cs="Times New Roman"/>
          <w:sz w:val="24"/>
          <w:szCs w:val="24"/>
        </w:rPr>
        <w:t xml:space="preserve">: an expert in the technological environments and digital media involved in the </w:t>
      </w:r>
      <w:r w:rsidR="123F1A7E" w:rsidRPr="7E8E7E1E">
        <w:rPr>
          <w:rStyle w:val="normaltextrun"/>
          <w:rFonts w:ascii="Times New Roman" w:hAnsi="Times New Roman" w:cs="Times New Roman"/>
          <w:sz w:val="24"/>
          <w:szCs w:val="24"/>
        </w:rPr>
        <w:t xml:space="preserve">teaching </w:t>
      </w:r>
      <w:r w:rsidRPr="7E8E7E1E">
        <w:rPr>
          <w:rStyle w:val="normaltextrun"/>
          <w:rFonts w:ascii="Times New Roman" w:hAnsi="Times New Roman" w:cs="Times New Roman"/>
          <w:sz w:val="24"/>
          <w:szCs w:val="24"/>
        </w:rPr>
        <w:t>process.</w:t>
      </w:r>
    </w:p>
    <w:p w14:paraId="5BF5F9BC" w14:textId="77777777" w:rsidR="0069131E" w:rsidRPr="0069131E" w:rsidRDefault="0069131E" w:rsidP="0069131E">
      <w:pPr>
        <w:spacing w:line="480" w:lineRule="auto"/>
        <w:ind w:left="709"/>
        <w:rPr>
          <w:rStyle w:val="normaltextrun"/>
          <w:rFonts w:ascii="Times New Roman" w:hAnsi="Times New Roman" w:cs="Times New Roman"/>
          <w:sz w:val="24"/>
          <w:szCs w:val="24"/>
        </w:rPr>
      </w:pPr>
      <w:r w:rsidRPr="0069131E">
        <w:rPr>
          <w:rStyle w:val="normaltextrun"/>
          <w:rFonts w:ascii="Times New Roman" w:hAnsi="Times New Roman" w:cs="Times New Roman"/>
          <w:i/>
          <w:iCs/>
          <w:sz w:val="24"/>
          <w:szCs w:val="24"/>
        </w:rPr>
        <w:t>Researcher</w:t>
      </w:r>
      <w:r w:rsidRPr="0069131E">
        <w:rPr>
          <w:rStyle w:val="normaltextrun"/>
          <w:rFonts w:ascii="Times New Roman" w:hAnsi="Times New Roman" w:cs="Times New Roman"/>
          <w:sz w:val="24"/>
          <w:szCs w:val="24"/>
        </w:rPr>
        <w:t>: they must commit to continuing education over the course of their lives, understand trends that develop in response to societal challenges, and frequently bridge generation gaps.</w:t>
      </w:r>
    </w:p>
    <w:p w14:paraId="067A7692" w14:textId="77777777" w:rsidR="0069131E" w:rsidRPr="0069131E" w:rsidRDefault="0069131E" w:rsidP="0069131E">
      <w:pPr>
        <w:spacing w:line="480" w:lineRule="auto"/>
        <w:ind w:left="709"/>
        <w:rPr>
          <w:rStyle w:val="normaltextrun"/>
          <w:rFonts w:ascii="Times New Roman" w:hAnsi="Times New Roman" w:cs="Times New Roman"/>
          <w:sz w:val="24"/>
          <w:szCs w:val="24"/>
        </w:rPr>
      </w:pPr>
      <w:r w:rsidRPr="0069131E">
        <w:rPr>
          <w:rStyle w:val="normaltextrun"/>
          <w:rFonts w:ascii="Times New Roman" w:hAnsi="Times New Roman" w:cs="Times New Roman"/>
          <w:i/>
          <w:iCs/>
          <w:sz w:val="24"/>
          <w:szCs w:val="24"/>
        </w:rPr>
        <w:lastRenderedPageBreak/>
        <w:t>Manager/administrator</w:t>
      </w:r>
      <w:r w:rsidRPr="0069131E">
        <w:rPr>
          <w:rStyle w:val="normaltextrun"/>
          <w:rFonts w:ascii="Times New Roman" w:hAnsi="Times New Roman" w:cs="Times New Roman"/>
          <w:sz w:val="24"/>
          <w:szCs w:val="24"/>
        </w:rPr>
        <w:t>: who organizes all of the media and resources, groups students together, and plans or structures processes.</w:t>
      </w:r>
    </w:p>
    <w:p w14:paraId="23236747" w14:textId="77777777" w:rsidR="0069131E" w:rsidRPr="0069131E" w:rsidRDefault="0069131E" w:rsidP="0069131E">
      <w:pPr>
        <w:spacing w:line="480" w:lineRule="auto"/>
        <w:ind w:left="709"/>
        <w:rPr>
          <w:rStyle w:val="normaltextrun"/>
          <w:rFonts w:ascii="Times New Roman" w:hAnsi="Times New Roman" w:cs="Times New Roman"/>
          <w:sz w:val="24"/>
          <w:szCs w:val="24"/>
        </w:rPr>
      </w:pPr>
      <w:r w:rsidRPr="0069131E">
        <w:rPr>
          <w:rStyle w:val="normaltextrun"/>
          <w:rFonts w:ascii="Times New Roman" w:hAnsi="Times New Roman" w:cs="Times New Roman"/>
          <w:i/>
          <w:iCs/>
          <w:sz w:val="24"/>
          <w:szCs w:val="24"/>
        </w:rPr>
        <w:t>Mentor/facilitator</w:t>
      </w:r>
      <w:r w:rsidRPr="0069131E">
        <w:rPr>
          <w:rStyle w:val="normaltextrun"/>
          <w:rFonts w:ascii="Times New Roman" w:hAnsi="Times New Roman" w:cs="Times New Roman"/>
          <w:sz w:val="24"/>
          <w:szCs w:val="24"/>
        </w:rPr>
        <w:t>: who attends to students’ personal and social-emotional needs, in addition to those of a purely academic nature.</w:t>
      </w:r>
    </w:p>
    <w:p w14:paraId="203DD707" w14:textId="77777777" w:rsidR="0069131E" w:rsidRPr="0069131E" w:rsidRDefault="0069131E" w:rsidP="0069131E">
      <w:pPr>
        <w:spacing w:line="480" w:lineRule="auto"/>
        <w:ind w:left="709"/>
        <w:rPr>
          <w:rStyle w:val="normaltextrun"/>
          <w:rFonts w:ascii="Times New Roman" w:hAnsi="Times New Roman" w:cs="Times New Roman"/>
          <w:sz w:val="24"/>
          <w:szCs w:val="24"/>
        </w:rPr>
      </w:pPr>
      <w:r w:rsidRPr="0069131E">
        <w:rPr>
          <w:rStyle w:val="normaltextrun"/>
          <w:rFonts w:ascii="Times New Roman" w:hAnsi="Times New Roman" w:cs="Times New Roman"/>
          <w:i/>
          <w:iCs/>
          <w:sz w:val="24"/>
          <w:szCs w:val="24"/>
        </w:rPr>
        <w:t>Instructional designer</w:t>
      </w:r>
      <w:r w:rsidRPr="0069131E">
        <w:rPr>
          <w:rStyle w:val="normaltextrun"/>
          <w:rFonts w:ascii="Times New Roman" w:hAnsi="Times New Roman" w:cs="Times New Roman"/>
          <w:sz w:val="24"/>
          <w:szCs w:val="24"/>
        </w:rPr>
        <w:t>: who chooses the methods, techniques, and activities best suited to the specific needs of students and aligns them with the learning objectives.</w:t>
      </w:r>
    </w:p>
    <w:p w14:paraId="2399B744" w14:textId="77777777" w:rsidR="0069131E" w:rsidRPr="0069131E" w:rsidRDefault="0069131E" w:rsidP="0069131E">
      <w:pPr>
        <w:spacing w:line="480" w:lineRule="auto"/>
        <w:ind w:left="709"/>
        <w:rPr>
          <w:rStyle w:val="normaltextrun"/>
          <w:rFonts w:ascii="Times New Roman" w:hAnsi="Times New Roman" w:cs="Times New Roman"/>
          <w:sz w:val="24"/>
          <w:szCs w:val="24"/>
        </w:rPr>
      </w:pPr>
      <w:r w:rsidRPr="0069131E">
        <w:rPr>
          <w:rStyle w:val="normaltextrun"/>
          <w:rFonts w:ascii="Times New Roman" w:hAnsi="Times New Roman" w:cs="Times New Roman"/>
          <w:i/>
          <w:iCs/>
          <w:sz w:val="24"/>
          <w:szCs w:val="24"/>
        </w:rPr>
        <w:t>Assessor</w:t>
      </w:r>
      <w:r w:rsidRPr="0069131E">
        <w:rPr>
          <w:rStyle w:val="normaltextrun"/>
          <w:rFonts w:ascii="Times New Roman" w:hAnsi="Times New Roman" w:cs="Times New Roman"/>
          <w:sz w:val="24"/>
          <w:szCs w:val="24"/>
        </w:rPr>
        <w:t>: coordinating the processes of continuous, formative, and summative assessment of students, in addition to evaluating the process to improve its quality.</w:t>
      </w:r>
    </w:p>
    <w:p w14:paraId="69D41F5B" w14:textId="5B6A99C3" w:rsidR="00F856B5" w:rsidRPr="00ED66D6" w:rsidRDefault="009F7ECA" w:rsidP="0030463E">
      <w:pPr>
        <w:spacing w:line="480" w:lineRule="auto"/>
        <w:ind w:firstLine="567"/>
        <w:rPr>
          <w:rFonts w:ascii="Times New Roman" w:eastAsia="Times New Roman" w:hAnsi="Times New Roman" w:cs="Times New Roman"/>
          <w:sz w:val="24"/>
          <w:szCs w:val="24"/>
        </w:rPr>
      </w:pPr>
      <w:r w:rsidRPr="00ED66D6">
        <w:rPr>
          <w:rFonts w:ascii="Times New Roman" w:hAnsi="Times New Roman" w:cs="Times New Roman"/>
          <w:sz w:val="24"/>
          <w:szCs w:val="24"/>
        </w:rPr>
        <w:t>Based on this analysis, training teachers to manage the integration of technology in educational contexts involves carefully planning training itineraries in order to provide training in areas as diverse as management, research, methodology, individualized attention, and technology (Maile et al., 2020). This complexity is reflected in benchmark initiatives, such as UNESCO, which recognize</w:t>
      </w:r>
      <w:r w:rsidR="009F4618" w:rsidRPr="00ED66D6">
        <w:rPr>
          <w:rFonts w:ascii="Times New Roman" w:hAnsi="Times New Roman" w:cs="Times New Roman"/>
          <w:sz w:val="24"/>
          <w:szCs w:val="24"/>
        </w:rPr>
        <w:t>s</w:t>
      </w:r>
      <w:r w:rsidRPr="00ED66D6">
        <w:rPr>
          <w:rFonts w:ascii="Times New Roman" w:hAnsi="Times New Roman" w:cs="Times New Roman"/>
          <w:sz w:val="24"/>
          <w:szCs w:val="24"/>
        </w:rPr>
        <w:t xml:space="preserve"> that training and evaluating teachers is a cornerstone of </w:t>
      </w:r>
      <w:r w:rsidR="00152548" w:rsidRPr="00ED66D6">
        <w:rPr>
          <w:rFonts w:ascii="Times New Roman" w:hAnsi="Times New Roman" w:cs="Times New Roman"/>
          <w:sz w:val="24"/>
          <w:szCs w:val="24"/>
        </w:rPr>
        <w:t>high-quality</w:t>
      </w:r>
      <w:r w:rsidRPr="00ED66D6">
        <w:rPr>
          <w:rFonts w:ascii="Times New Roman" w:hAnsi="Times New Roman" w:cs="Times New Roman"/>
          <w:sz w:val="24"/>
          <w:szCs w:val="24"/>
        </w:rPr>
        <w:t xml:space="preserve"> education and a means of achieving the educational objectives of the 2030 Agenda (UNESCO, 2020).  The Horizon 2020, 2021, and 2022 reports, which predict trends and priorities for educational contexts, emphasize the need to provide high quality online education, hybrid teaching models, and teacher training to enable interventions in both modalities (Brown et al., 2020; Pelletier et al., 2021; Pelletier et al., 2022). </w:t>
      </w:r>
    </w:p>
    <w:p w14:paraId="09C3DEC6" w14:textId="35F72AF3" w:rsidR="00F856B5" w:rsidRPr="00ED66D6" w:rsidRDefault="009F7ECA" w:rsidP="0030463E">
      <w:pPr>
        <w:pStyle w:val="sangria"/>
        <w:spacing w:before="280" w:after="280" w:line="480" w:lineRule="auto"/>
        <w:ind w:firstLine="567"/>
      </w:pPr>
      <w:r>
        <w:t>Furthermore, in order to provide a reference framework to channel and reinforce national, regional, and local efforts to develop the digital competence of educators, the European Commission, in line with other areas of competence, have designed the European Framework for the Digital Competence of Educators, thereby promoting innovation in education (Redecker, 20</w:t>
      </w:r>
      <w:r w:rsidR="001D3FBD">
        <w:t>17</w:t>
      </w:r>
      <w:r>
        <w:t xml:space="preserve">). In the same vein, the GEM 2023 report on technology in </w:t>
      </w:r>
      <w:r>
        <w:lastRenderedPageBreak/>
        <w:t xml:space="preserve">education analyzes the suitability, scalability, and sustainability of the use of technology in education throughout the world. </w:t>
      </w:r>
    </w:p>
    <w:p w14:paraId="28940B4B" w14:textId="554AF041" w:rsidR="4AAA8C8D" w:rsidRDefault="4AAA8C8D" w:rsidP="0030463E">
      <w:pPr>
        <w:spacing w:beforeAutospacing="1" w:afterAutospacing="1" w:line="480" w:lineRule="auto"/>
        <w:ind w:firstLine="567"/>
        <w:rPr>
          <w:rFonts w:ascii="Times New Roman" w:eastAsia="Times New Roman" w:hAnsi="Times New Roman" w:cs="Times New Roman"/>
          <w:sz w:val="24"/>
          <w:szCs w:val="24"/>
        </w:rPr>
      </w:pPr>
      <w:r w:rsidRPr="7E8E7E1E">
        <w:rPr>
          <w:rStyle w:val="normaltextrun"/>
          <w:rFonts w:ascii="Times New Roman" w:hAnsi="Times New Roman" w:cs="Times New Roman"/>
          <w:sz w:val="24"/>
          <w:szCs w:val="24"/>
        </w:rPr>
        <w:t>All of the digital training initiatives run since the start of the 21st century became even more meaningful in the face of the regrettable global crisis caused by the COVID-19 pandemic, which affected 1.6 billion students in over 190 countries. The pandemic gave rise to a global, forced, and accelerated redesign of the 20th-century school structure, in addition to the digitization of education.  The challenges varied by country, depending primarily on their degree of digitalization. For example, the zoomification of teaching (Tullett et al., 2022) in more developed countries was able to support 80-85% of students, compared to the coverage of less than 50% experienced in countries with fewer resources, according to data from UNESCO. This was due to the lack of computers or Internet in homes and schools, which sadly demonstrates the social injustice caused by a digital divide that has not been globally addressed (Dreesen et al., 2020; García-Aretio, 2021).</w:t>
      </w:r>
    </w:p>
    <w:p w14:paraId="05F41F80" w14:textId="77777777" w:rsidR="00F856B5" w:rsidRPr="00ED66D6" w:rsidRDefault="009F7ECA" w:rsidP="0030463E">
      <w:pPr>
        <w:spacing w:beforeAutospacing="1" w:afterAutospacing="1" w:line="480" w:lineRule="auto"/>
        <w:ind w:firstLine="567"/>
        <w:rPr>
          <w:rFonts w:ascii="Times New Roman" w:eastAsia="Times New Roman" w:hAnsi="Times New Roman" w:cs="Times New Roman"/>
          <w:sz w:val="24"/>
          <w:szCs w:val="24"/>
        </w:rPr>
      </w:pPr>
      <w:r w:rsidRPr="00ED66D6">
        <w:rPr>
          <w:rStyle w:val="normaltextrun"/>
          <w:rFonts w:ascii="Times New Roman" w:hAnsi="Times New Roman" w:cs="Times New Roman"/>
          <w:sz w:val="24"/>
          <w:szCs w:val="24"/>
        </w:rPr>
        <w:t>In the context of the pandemic, it became clear that there was a pressing need to train teaching staff; while in many cases, platforms and digital media managed to provide an emergency solution to continue schooling, in each and every context, the urgent need to train teachers became evident, both in order to fulfill the technologist role mentioned previously, and to develop the variety of teaching roles needed in virtual environments (Prieto et al., 2018; Martin et al., 2021).</w:t>
      </w:r>
    </w:p>
    <w:p w14:paraId="3BBEE558" w14:textId="79D79928" w:rsidR="00F856B5" w:rsidRPr="00ED66D6" w:rsidRDefault="009F7ECA" w:rsidP="0030463E">
      <w:pPr>
        <w:pStyle w:val="paragraph"/>
        <w:spacing w:beforeAutospacing="0" w:after="0" w:afterAutospacing="0" w:line="480" w:lineRule="auto"/>
        <w:ind w:firstLine="567"/>
      </w:pPr>
      <w:r>
        <w:t xml:space="preserve">In this sense, as a consequence of the pandemic, some countries were forced to accelerate the digitization of educational processes, adopting training in a virtual mode in order to continue the schooling of their students, and adding a range of technologies, such as digital OER content, instant messaging, and video conferencing tools, in the service of educational processes, while they simultaneously attempted, with varying levels of success, </w:t>
      </w:r>
      <w:r>
        <w:lastRenderedPageBreak/>
        <w:t xml:space="preserve">to address the increasing issues arising from the educator remaining the articulator of these experiences (Cezar et al, 2022). On the other hand, in many contexts, the conditions for connectivity, technological equipment, planning, or necessary teacher training programs </w:t>
      </w:r>
      <w:r w:rsidRPr="7E8E7E1E">
        <w:rPr>
          <w:rStyle w:val="normaltextrun"/>
        </w:rPr>
        <w:t>(García-Aretio 2021) were non-existent. Some countries adopted accelerated digitization programs, betting on high investments in technology adoption without taking into account the lessons learned and widely published in studies, which conclude that in order to ensure learning, it is necessary to employ educational strategies that incorporate training plans which interrelate the relevant curriculum framework, pedagogical lines, and the technology available (</w:t>
      </w:r>
      <w:bookmarkStart w:id="8" w:name="_Hlk160114466"/>
      <w:r w:rsidR="00A42376" w:rsidRPr="7E8E7E1E">
        <w:rPr>
          <w:rStyle w:val="normaltextrun"/>
        </w:rPr>
        <w:t>Author</w:t>
      </w:r>
      <w:r w:rsidRPr="7E8E7E1E">
        <w:rPr>
          <w:rStyle w:val="normaltextrun"/>
        </w:rPr>
        <w:t xml:space="preserve"> </w:t>
      </w:r>
      <w:bookmarkEnd w:id="8"/>
      <w:r w:rsidRPr="7E8E7E1E">
        <w:rPr>
          <w:rStyle w:val="normaltextrun"/>
        </w:rPr>
        <w:t xml:space="preserve">et al., 2019; González-Sanmamed et al., 2020; Hodges et al., 2020). In this respect, it is important to note that these digital acceleration processes are not limited to emergency contexts; there are also policies that adopt these decisions without previous experience or studies, which as we have noted, can serve as guides to successful processes. </w:t>
      </w:r>
    </w:p>
    <w:p w14:paraId="0288643F" w14:textId="4F264478" w:rsidR="00F856B5" w:rsidRPr="00ED66D6" w:rsidRDefault="009F7ECA" w:rsidP="0030463E">
      <w:pPr>
        <w:spacing w:after="0" w:line="480" w:lineRule="auto"/>
        <w:ind w:firstLine="567"/>
        <w:rPr>
          <w:rFonts w:ascii="Times New Roman" w:eastAsia="Times New Roman" w:hAnsi="Times New Roman" w:cs="Times New Roman"/>
          <w:sz w:val="24"/>
          <w:szCs w:val="24"/>
        </w:rPr>
      </w:pPr>
      <w:r w:rsidRPr="7E8E7E1E">
        <w:rPr>
          <w:rStyle w:val="normaltextrun"/>
          <w:rFonts w:ascii="Times New Roman" w:hAnsi="Times New Roman" w:cs="Times New Roman"/>
          <w:sz w:val="24"/>
          <w:szCs w:val="24"/>
        </w:rPr>
        <w:t xml:space="preserve">In the case of Ecuador, the emergency forced practically all educational activities to cease, as these were predominantly in-person and the country did not have the required infrastructure to continue in virtual formats. </w:t>
      </w:r>
      <w:r w:rsidR="79DF3255" w:rsidRPr="7E8E7E1E">
        <w:rPr>
          <w:rStyle w:val="normaltextrun"/>
          <w:rFonts w:ascii="Times New Roman" w:hAnsi="Times New Roman" w:cs="Times New Roman"/>
          <w:sz w:val="24"/>
          <w:szCs w:val="24"/>
        </w:rPr>
        <w:t xml:space="preserve">In August 2020, Ecuador subscribed to the Inter-institutional Cooperation Framework Agreement between the Ministry of Education and Fundación Telefónica Ecuador for three years, to establish a cooperation framework </w:t>
      </w:r>
      <w:r w:rsidRPr="7E8E7E1E">
        <w:rPr>
          <w:rFonts w:ascii="Times New Roman" w:hAnsi="Times New Roman" w:cs="Times New Roman"/>
          <w:sz w:val="24"/>
          <w:szCs w:val="24"/>
        </w:rPr>
        <w:t xml:space="preserve">for implementing projects and processes focused on strengthening the digital skills and abilities of members of the educational community.  As part of this framework agreement, the ProFuturo program ran seven online training sessions, provided 198 courses, and certified that 200,000 teachers completed the training between 2020 and 2022. </w:t>
      </w:r>
    </w:p>
    <w:p w14:paraId="065CD9FB" w14:textId="77777777" w:rsidR="00F856B5" w:rsidRPr="00ED66D6" w:rsidRDefault="009F7ECA" w:rsidP="0030463E">
      <w:pPr>
        <w:spacing w:after="0" w:line="480" w:lineRule="auto"/>
        <w:ind w:firstLine="567"/>
        <w:rPr>
          <w:rFonts w:ascii="Times New Roman" w:eastAsia="Times New Roman" w:hAnsi="Times New Roman" w:cs="Times New Roman"/>
          <w:sz w:val="24"/>
          <w:szCs w:val="24"/>
        </w:rPr>
      </w:pPr>
      <w:r w:rsidRPr="7E8E7E1E">
        <w:rPr>
          <w:rFonts w:ascii="Times New Roman" w:hAnsi="Times New Roman" w:cs="Times New Roman"/>
          <w:sz w:val="24"/>
          <w:szCs w:val="24"/>
        </w:rPr>
        <w:t>ProFuturo is a digital education program promoted by Fundación Telefónica and the Fundación ¨la Caixa¨ in line with objective 4 of the 2030 Agenda for the United Nations Sustainable Development Goals (SDG4): quality education. It focuses on reducing the education gap and promoting high quality education. W</w:t>
      </w:r>
      <w:r w:rsidRPr="7E8E7E1E">
        <w:rPr>
          <w:rStyle w:val="normaltextrun"/>
          <w:rFonts w:ascii="Times New Roman" w:hAnsi="Times New Roman" w:cs="Times New Roman"/>
          <w:sz w:val="24"/>
          <w:szCs w:val="24"/>
        </w:rPr>
        <w:t xml:space="preserve">ith a presence in 45 countries in Latin </w:t>
      </w:r>
      <w:r w:rsidRPr="7E8E7E1E">
        <w:rPr>
          <w:rStyle w:val="normaltextrun"/>
          <w:rFonts w:ascii="Times New Roman" w:hAnsi="Times New Roman" w:cs="Times New Roman"/>
          <w:sz w:val="24"/>
          <w:szCs w:val="24"/>
        </w:rPr>
        <w:lastRenderedPageBreak/>
        <w:t>America, the Caribbean, Africa, and Asia, the program has trained over 1.4 million teachers and benefited 28 million children in these four regions</w:t>
      </w:r>
      <w:r w:rsidRPr="7E8E7E1E">
        <w:rPr>
          <w:rFonts w:ascii="Times New Roman" w:hAnsi="Times New Roman" w:cs="Times New Roman"/>
          <w:sz w:val="24"/>
          <w:szCs w:val="24"/>
        </w:rPr>
        <w:t xml:space="preserve">.  </w:t>
      </w:r>
    </w:p>
    <w:p w14:paraId="668274E7" w14:textId="094A3364" w:rsidR="00F856B5" w:rsidRPr="00ED66D6" w:rsidRDefault="009F7ECA" w:rsidP="0030463E">
      <w:pPr>
        <w:spacing w:line="480" w:lineRule="auto"/>
        <w:ind w:firstLine="567"/>
        <w:rPr>
          <w:rFonts w:ascii="Times New Roman" w:eastAsia="Times New Roman" w:hAnsi="Times New Roman" w:cs="Times New Roman"/>
          <w:sz w:val="24"/>
          <w:szCs w:val="24"/>
        </w:rPr>
      </w:pPr>
      <w:r w:rsidRPr="7E8E7E1E">
        <w:rPr>
          <w:rFonts w:ascii="Times New Roman" w:hAnsi="Times New Roman" w:cs="Times New Roman"/>
          <w:sz w:val="24"/>
          <w:szCs w:val="24"/>
        </w:rPr>
        <w:t xml:space="preserve">At the same time, Fundación Telefónica Ecuador has developed initiatives through the ProFuturo program that serve as a basis for building a global learning community in Ecuador. The three most pertinent are: the digital environment run through a private Facebook group named Comunidad de aprendizaje - Docentes ProFuturo [Learning Community - ProFuturo Teachers] </w:t>
      </w:r>
      <w:r w:rsidR="4D65AC0C" w:rsidRPr="7E8E7E1E">
        <w:rPr>
          <w:rFonts w:ascii="Times New Roman" w:hAnsi="Times New Roman" w:cs="Times New Roman"/>
          <w:sz w:val="24"/>
          <w:szCs w:val="24"/>
        </w:rPr>
        <w:t>which had over 19,000 members in 2023, with an average of 13 publications</w:t>
      </w:r>
      <w:r w:rsidRPr="7E8E7E1E">
        <w:rPr>
          <w:rFonts w:ascii="Times New Roman" w:hAnsi="Times New Roman" w:cs="Times New Roman"/>
          <w:sz w:val="24"/>
          <w:szCs w:val="24"/>
        </w:rPr>
        <w:t xml:space="preserve"> a</w:t>
      </w:r>
      <w:r w:rsidR="35B6FCB0" w:rsidRPr="7E8E7E1E">
        <w:rPr>
          <w:rFonts w:ascii="Times New Roman" w:hAnsi="Times New Roman" w:cs="Times New Roman"/>
          <w:sz w:val="24"/>
          <w:szCs w:val="24"/>
        </w:rPr>
        <w:t>nd</w:t>
      </w:r>
      <w:r w:rsidRPr="7E8E7E1E">
        <w:rPr>
          <w:rFonts w:ascii="Times New Roman" w:hAnsi="Times New Roman" w:cs="Times New Roman"/>
          <w:sz w:val="24"/>
          <w:szCs w:val="24"/>
        </w:rPr>
        <w:t xml:space="preserve"> </w:t>
      </w:r>
      <w:r w:rsidR="1F94BD6A" w:rsidRPr="7E8E7E1E">
        <w:rPr>
          <w:rFonts w:ascii="Times New Roman" w:hAnsi="Times New Roman" w:cs="Times New Roman"/>
          <w:sz w:val="24"/>
          <w:szCs w:val="24"/>
        </w:rPr>
        <w:t xml:space="preserve">a </w:t>
      </w:r>
      <w:r w:rsidRPr="7E8E7E1E">
        <w:rPr>
          <w:rFonts w:ascii="Times New Roman" w:hAnsi="Times New Roman" w:cs="Times New Roman"/>
          <w:sz w:val="24"/>
          <w:szCs w:val="24"/>
        </w:rPr>
        <w:t xml:space="preserve">reach of over 6,000 teachers each week, and an average of 3,000 interactions each year; the Festival de Ideas Educativas “Ideas de 10” [Festival of Educational Ideas] which has taken place on three occasions so far; and the teaching community built around the ABP pilot training project developed in 2022.  </w:t>
      </w:r>
    </w:p>
    <w:p w14:paraId="35CB9C95" w14:textId="14BDA1DB" w:rsidR="00F856B5" w:rsidRPr="00ED66D6" w:rsidRDefault="009F7ECA" w:rsidP="0030463E">
      <w:pPr>
        <w:keepLines/>
        <w:spacing w:before="120" w:line="480" w:lineRule="auto"/>
        <w:ind w:firstLine="567"/>
        <w:rPr>
          <w:rFonts w:ascii="Times New Roman" w:eastAsia="Times New Roman" w:hAnsi="Times New Roman" w:cs="Times New Roman"/>
          <w:sz w:val="24"/>
          <w:szCs w:val="24"/>
        </w:rPr>
      </w:pPr>
      <w:commentRangeStart w:id="9"/>
      <w:r w:rsidRPr="7E8E7E1E">
        <w:rPr>
          <w:rFonts w:ascii="Times New Roman" w:hAnsi="Times New Roman" w:cs="Times New Roman"/>
          <w:sz w:val="24"/>
          <w:szCs w:val="24"/>
        </w:rPr>
        <w:t>P</w:t>
      </w:r>
      <w:r w:rsidRPr="7E8E7E1E">
        <w:rPr>
          <w:rFonts w:ascii="Times New Roman" w:eastAsia="Times New Roman" w:hAnsi="Times New Roman" w:cs="Times New Roman"/>
          <w:sz w:val="24"/>
          <w:szCs w:val="24"/>
        </w:rPr>
        <w:t xml:space="preserve">roFuturo works to improve the conditions of educational systems in vulnerable areas. To this end, they have created </w:t>
      </w:r>
      <w:r w:rsidR="780F9DA7" w:rsidRPr="7E8E7E1E">
        <w:rPr>
          <w:rFonts w:ascii="Times New Roman" w:eastAsia="Times New Roman" w:hAnsi="Times New Roman" w:cs="Times New Roman"/>
          <w:sz w:val="24"/>
          <w:szCs w:val="24"/>
        </w:rPr>
        <w:t>three</w:t>
      </w:r>
      <w:r w:rsidRPr="7E8E7E1E">
        <w:rPr>
          <w:rFonts w:ascii="Times New Roman" w:eastAsia="Times New Roman" w:hAnsi="Times New Roman" w:cs="Times New Roman"/>
          <w:sz w:val="24"/>
          <w:szCs w:val="24"/>
        </w:rPr>
        <w:t xml:space="preserve"> models of intervention. These three models are:</w:t>
      </w:r>
    </w:p>
    <w:p w14:paraId="66349131" w14:textId="5E0EAA0D" w:rsidR="41CC8375" w:rsidRDefault="41CC8375" w:rsidP="7E8E7E1E">
      <w:pPr>
        <w:pStyle w:val="ListParagraph"/>
        <w:keepLines/>
        <w:numPr>
          <w:ilvl w:val="0"/>
          <w:numId w:val="3"/>
        </w:numPr>
        <w:spacing w:before="120" w:after="120" w:line="480" w:lineRule="auto"/>
        <w:rPr>
          <w:rFonts w:ascii="Times New Roman" w:eastAsia="Times New Roman" w:hAnsi="Times New Roman" w:cs="Times New Roman"/>
          <w:sz w:val="24"/>
          <w:szCs w:val="24"/>
        </w:rPr>
      </w:pPr>
      <w:r w:rsidRPr="7E8E7E1E">
        <w:rPr>
          <w:rFonts w:ascii="Times New Roman" w:eastAsia="Times New Roman" w:hAnsi="Times New Roman" w:cs="Times New Roman"/>
          <w:b/>
          <w:bCs/>
          <w:sz w:val="24"/>
          <w:szCs w:val="24"/>
        </w:rPr>
        <w:t>The Comprehensive Model</w:t>
      </w:r>
      <w:r w:rsidRPr="7E8E7E1E">
        <w:rPr>
          <w:rFonts w:ascii="Times New Roman" w:eastAsia="Times New Roman" w:hAnsi="Times New Roman" w:cs="Times New Roman"/>
          <w:sz w:val="24"/>
          <w:szCs w:val="24"/>
        </w:rPr>
        <w:t>: which is based on teacher development (training and support), a digital solution (that includes technological equipment and a Learning Management System that works online and offline); high quality digital educational resources; and a monitoring and evaluation system.</w:t>
      </w:r>
    </w:p>
    <w:p w14:paraId="7E755EE4" w14:textId="613E8217" w:rsidR="41CC8375" w:rsidRDefault="41CC8375" w:rsidP="7E8E7E1E">
      <w:pPr>
        <w:pStyle w:val="ListParagraph"/>
        <w:numPr>
          <w:ilvl w:val="0"/>
          <w:numId w:val="3"/>
        </w:numPr>
        <w:spacing w:line="480" w:lineRule="auto"/>
        <w:jc w:val="both"/>
        <w:rPr>
          <w:rFonts w:ascii="Times New Roman" w:eastAsia="Times New Roman" w:hAnsi="Times New Roman" w:cs="Times New Roman"/>
          <w:sz w:val="24"/>
          <w:szCs w:val="24"/>
        </w:rPr>
      </w:pPr>
      <w:r w:rsidRPr="7E8E7E1E">
        <w:rPr>
          <w:rFonts w:ascii="Times New Roman" w:eastAsia="Times New Roman" w:hAnsi="Times New Roman" w:cs="Times New Roman"/>
          <w:b/>
          <w:bCs/>
          <w:sz w:val="24"/>
          <w:szCs w:val="24"/>
        </w:rPr>
        <w:t>The Refugee Model</w:t>
      </w:r>
      <w:r w:rsidRPr="7E8E7E1E">
        <w:rPr>
          <w:rFonts w:ascii="Times New Roman" w:eastAsia="Times New Roman" w:hAnsi="Times New Roman" w:cs="Times New Roman"/>
          <w:sz w:val="24"/>
          <w:szCs w:val="24"/>
        </w:rPr>
        <w:t>: which complements the previous model, by including psychosocial support, safe spaces for learning and food aid and/or health care.</w:t>
      </w:r>
    </w:p>
    <w:p w14:paraId="107EFA0F" w14:textId="78B7C925" w:rsidR="41CC8375" w:rsidRDefault="41CC8375" w:rsidP="7E8E7E1E">
      <w:pPr>
        <w:pStyle w:val="ListParagraph"/>
        <w:numPr>
          <w:ilvl w:val="0"/>
          <w:numId w:val="3"/>
        </w:numPr>
        <w:spacing w:line="480" w:lineRule="auto"/>
        <w:jc w:val="both"/>
        <w:rPr>
          <w:rFonts w:ascii="Times New Roman" w:eastAsia="Times New Roman" w:hAnsi="Times New Roman" w:cs="Times New Roman"/>
          <w:sz w:val="24"/>
          <w:szCs w:val="24"/>
        </w:rPr>
      </w:pPr>
      <w:r w:rsidRPr="7E8E7E1E">
        <w:rPr>
          <w:rFonts w:ascii="Times New Roman" w:eastAsia="Times New Roman" w:hAnsi="Times New Roman" w:cs="Times New Roman"/>
          <w:b/>
          <w:bCs/>
          <w:sz w:val="24"/>
          <w:szCs w:val="24"/>
        </w:rPr>
        <w:t xml:space="preserve">The </w:t>
      </w:r>
      <w:r w:rsidR="61CA3ECD" w:rsidRPr="7E8E7E1E">
        <w:rPr>
          <w:rFonts w:ascii="Times New Roman" w:eastAsia="Times New Roman" w:hAnsi="Times New Roman" w:cs="Times New Roman"/>
          <w:b/>
          <w:bCs/>
          <w:sz w:val="24"/>
          <w:szCs w:val="24"/>
        </w:rPr>
        <w:t xml:space="preserve">Massive </w:t>
      </w:r>
      <w:r w:rsidRPr="7E8E7E1E">
        <w:rPr>
          <w:rFonts w:ascii="Times New Roman" w:eastAsia="Times New Roman" w:hAnsi="Times New Roman" w:cs="Times New Roman"/>
          <w:b/>
          <w:bCs/>
          <w:sz w:val="24"/>
          <w:szCs w:val="24"/>
        </w:rPr>
        <w:t>Open Model</w:t>
      </w:r>
      <w:r w:rsidRPr="7E8E7E1E">
        <w:rPr>
          <w:rFonts w:ascii="Times New Roman" w:eastAsia="Times New Roman" w:hAnsi="Times New Roman" w:cs="Times New Roman"/>
          <w:sz w:val="24"/>
          <w:szCs w:val="24"/>
        </w:rPr>
        <w:t>: which provides virtual or in-person training for teachers.</w:t>
      </w:r>
      <w:commentRangeEnd w:id="9"/>
      <w:r w:rsidR="003A0329">
        <w:rPr>
          <w:rStyle w:val="CommentReference"/>
        </w:rPr>
        <w:commentReference w:id="9"/>
      </w:r>
    </w:p>
    <w:p w14:paraId="02B2D0E6" w14:textId="6E999D67" w:rsidR="7E8E7E1E" w:rsidRDefault="7E8E7E1E" w:rsidP="7E8E7E1E">
      <w:pPr>
        <w:keepLines/>
        <w:spacing w:before="120" w:after="120" w:line="480" w:lineRule="auto"/>
        <w:jc w:val="both"/>
        <w:rPr>
          <w:rFonts w:ascii="Times New Roman" w:eastAsia="Times New Roman" w:hAnsi="Times New Roman" w:cs="Times New Roman"/>
          <w:sz w:val="24"/>
          <w:szCs w:val="24"/>
        </w:rPr>
      </w:pPr>
    </w:p>
    <w:p w14:paraId="4962C724" w14:textId="7DA3E168" w:rsidR="00F856B5" w:rsidRPr="00ED66D6" w:rsidRDefault="009F7ECA" w:rsidP="0030463E">
      <w:pPr>
        <w:keepLines/>
        <w:spacing w:before="120" w:after="120" w:line="480" w:lineRule="auto"/>
        <w:ind w:firstLine="567"/>
        <w:rPr>
          <w:rFonts w:ascii="Times New Roman" w:eastAsia="Times New Roman" w:hAnsi="Times New Roman" w:cs="Times New Roman"/>
          <w:sz w:val="24"/>
          <w:szCs w:val="24"/>
        </w:rPr>
      </w:pPr>
      <w:r w:rsidRPr="7E8E7E1E">
        <w:rPr>
          <w:rFonts w:ascii="Times New Roman" w:hAnsi="Times New Roman" w:cs="Times New Roman"/>
          <w:sz w:val="24"/>
          <w:szCs w:val="24"/>
        </w:rPr>
        <w:lastRenderedPageBreak/>
        <w:t xml:space="preserve">The </w:t>
      </w:r>
      <w:r w:rsidR="1D9E83FC" w:rsidRPr="7E8E7E1E">
        <w:rPr>
          <w:rFonts w:ascii="Times New Roman" w:hAnsi="Times New Roman" w:cs="Times New Roman"/>
          <w:sz w:val="24"/>
          <w:szCs w:val="24"/>
        </w:rPr>
        <w:t xml:space="preserve">Massive </w:t>
      </w:r>
      <w:r w:rsidR="001161BD" w:rsidRPr="7E8E7E1E">
        <w:rPr>
          <w:rFonts w:ascii="Times New Roman" w:hAnsi="Times New Roman" w:cs="Times New Roman"/>
          <w:sz w:val="24"/>
          <w:szCs w:val="24"/>
        </w:rPr>
        <w:t>O</w:t>
      </w:r>
      <w:r w:rsidRPr="7E8E7E1E">
        <w:rPr>
          <w:rFonts w:ascii="Times New Roman" w:hAnsi="Times New Roman" w:cs="Times New Roman"/>
          <w:sz w:val="24"/>
          <w:szCs w:val="24"/>
        </w:rPr>
        <w:t xml:space="preserve">pen </w:t>
      </w:r>
      <w:r w:rsidR="001161BD" w:rsidRPr="7E8E7E1E">
        <w:rPr>
          <w:rFonts w:ascii="Times New Roman" w:hAnsi="Times New Roman" w:cs="Times New Roman"/>
          <w:sz w:val="24"/>
          <w:szCs w:val="24"/>
        </w:rPr>
        <w:t>M</w:t>
      </w:r>
      <w:r w:rsidRPr="7E8E7E1E">
        <w:rPr>
          <w:rFonts w:ascii="Times New Roman" w:hAnsi="Times New Roman" w:cs="Times New Roman"/>
          <w:sz w:val="24"/>
          <w:szCs w:val="24"/>
        </w:rPr>
        <w:t xml:space="preserve">odel focuses on innovative educational training for teachers, based on leadership, communication, and planning in the classroom. It provides online courses in innovation and ICT, pedagogical and teaching skills, and digital competence. The model is accessible to </w:t>
      </w:r>
      <w:commentRangeEnd w:id="7"/>
      <w:r w:rsidR="003A0329">
        <w:rPr>
          <w:rStyle w:val="CommentReference"/>
        </w:rPr>
        <w:commentReference w:id="7"/>
      </w:r>
      <w:r w:rsidRPr="7E8E7E1E">
        <w:rPr>
          <w:rFonts w:ascii="Times New Roman" w:hAnsi="Times New Roman" w:cs="Times New Roman"/>
          <w:sz w:val="24"/>
          <w:szCs w:val="24"/>
        </w:rPr>
        <w:t xml:space="preserve">all countries and offered to teachers through the use of free educational resources. </w:t>
      </w:r>
    </w:p>
    <w:p w14:paraId="6D7E7F93" w14:textId="1325BC20" w:rsidR="00F856B5" w:rsidRPr="00ED66D6" w:rsidRDefault="009F7ECA" w:rsidP="0030463E">
      <w:pPr>
        <w:spacing w:line="480" w:lineRule="auto"/>
        <w:ind w:firstLine="567"/>
        <w:rPr>
          <w:rFonts w:ascii="Times New Roman" w:eastAsia="Times New Roman" w:hAnsi="Times New Roman" w:cs="Times New Roman"/>
          <w:sz w:val="24"/>
          <w:szCs w:val="24"/>
        </w:rPr>
      </w:pPr>
      <w:r w:rsidRPr="7E8E7E1E">
        <w:rPr>
          <w:rFonts w:ascii="Times New Roman" w:hAnsi="Times New Roman" w:cs="Times New Roman"/>
          <w:sz w:val="24"/>
          <w:szCs w:val="24"/>
        </w:rPr>
        <w:t xml:space="preserve">In this study, we analyzed the collaboration between the public education system in Ecuador and the ProFuturo program during the years of the pandemic, starting from August 2020 and continuing over the course of </w:t>
      </w:r>
      <w:r w:rsidR="14B89495" w:rsidRPr="7E8E7E1E">
        <w:rPr>
          <w:rFonts w:ascii="Times New Roman" w:hAnsi="Times New Roman" w:cs="Times New Roman"/>
          <w:sz w:val="24"/>
          <w:szCs w:val="24"/>
        </w:rPr>
        <w:t>three</w:t>
      </w:r>
      <w:r w:rsidRPr="7E8E7E1E">
        <w:rPr>
          <w:rFonts w:ascii="Times New Roman" w:hAnsi="Times New Roman" w:cs="Times New Roman"/>
          <w:sz w:val="24"/>
          <w:szCs w:val="24"/>
        </w:rPr>
        <w:t xml:space="preserve"> years, from two perspectives: firstly, as a model for collaborative interventions during emergenc</w:t>
      </w:r>
      <w:r w:rsidR="0F223048" w:rsidRPr="7E8E7E1E">
        <w:rPr>
          <w:rFonts w:ascii="Times New Roman" w:hAnsi="Times New Roman" w:cs="Times New Roman"/>
          <w:sz w:val="24"/>
          <w:szCs w:val="24"/>
        </w:rPr>
        <w:t>ies</w:t>
      </w:r>
      <w:r w:rsidRPr="7E8E7E1E">
        <w:rPr>
          <w:rFonts w:ascii="Times New Roman" w:hAnsi="Times New Roman" w:cs="Times New Roman"/>
          <w:sz w:val="24"/>
          <w:szCs w:val="24"/>
        </w:rPr>
        <w:t>, such as that arising between the Ecuadorian Ministry of Education and ProFuturo during the COVID-19 crisis, and secondly, as a means of demonstrating the impact of this type of collaboration on teacher training, improving digital competence, and transference to educational practi</w:t>
      </w:r>
      <w:r w:rsidR="7386D50B" w:rsidRPr="7E8E7E1E">
        <w:rPr>
          <w:rFonts w:ascii="Times New Roman" w:hAnsi="Times New Roman" w:cs="Times New Roman"/>
          <w:sz w:val="24"/>
          <w:szCs w:val="24"/>
        </w:rPr>
        <w:t>c</w:t>
      </w:r>
      <w:r w:rsidRPr="7E8E7E1E">
        <w:rPr>
          <w:rFonts w:ascii="Times New Roman" w:hAnsi="Times New Roman" w:cs="Times New Roman"/>
          <w:sz w:val="24"/>
          <w:szCs w:val="24"/>
        </w:rPr>
        <w:t>e.</w:t>
      </w:r>
    </w:p>
    <w:p w14:paraId="28F11FE4" w14:textId="77777777" w:rsidR="00F856B5" w:rsidRPr="00ED66D6" w:rsidRDefault="00F856B5" w:rsidP="00ED66D6">
      <w:pPr>
        <w:spacing w:line="480" w:lineRule="auto"/>
        <w:rPr>
          <w:rFonts w:ascii="Times New Roman" w:eastAsia="Times New Roman" w:hAnsi="Times New Roman" w:cs="Times New Roman"/>
          <w:sz w:val="24"/>
          <w:szCs w:val="24"/>
        </w:rPr>
      </w:pPr>
    </w:p>
    <w:p w14:paraId="45614079" w14:textId="6B9A75BE" w:rsidR="00F856B5" w:rsidRPr="00ED66D6" w:rsidRDefault="009F7ECA" w:rsidP="00ED66D6">
      <w:pPr>
        <w:spacing w:line="480" w:lineRule="auto"/>
        <w:jc w:val="center"/>
        <w:rPr>
          <w:rFonts w:ascii="Times New Roman" w:eastAsia="Times New Roman" w:hAnsi="Times New Roman" w:cs="Times New Roman"/>
          <w:b/>
          <w:bCs/>
          <w:sz w:val="24"/>
          <w:szCs w:val="24"/>
        </w:rPr>
      </w:pPr>
      <w:r w:rsidRPr="00ED66D6">
        <w:rPr>
          <w:rFonts w:ascii="Times New Roman" w:hAnsi="Times New Roman" w:cs="Times New Roman"/>
          <w:b/>
          <w:sz w:val="24"/>
          <w:szCs w:val="24"/>
        </w:rPr>
        <w:t>Method</w:t>
      </w:r>
      <w:r w:rsidR="00AB1102">
        <w:rPr>
          <w:rFonts w:ascii="Times New Roman" w:hAnsi="Times New Roman" w:cs="Times New Roman"/>
          <w:b/>
          <w:sz w:val="24"/>
          <w:szCs w:val="24"/>
        </w:rPr>
        <w:t>ology</w:t>
      </w:r>
    </w:p>
    <w:p w14:paraId="164C5BA2" w14:textId="4E77A965" w:rsidR="00F856B5" w:rsidRPr="0050067C" w:rsidRDefault="009F7ECA" w:rsidP="00AB1102">
      <w:pPr>
        <w:spacing w:line="480" w:lineRule="auto"/>
        <w:rPr>
          <w:rFonts w:ascii="Times New Roman" w:eastAsia="Times New Roman" w:hAnsi="Times New Roman" w:cs="Times New Roman"/>
          <w:b/>
          <w:bCs/>
          <w:iCs/>
          <w:sz w:val="24"/>
          <w:szCs w:val="24"/>
        </w:rPr>
      </w:pPr>
      <w:r w:rsidRPr="0050067C">
        <w:rPr>
          <w:rFonts w:ascii="Times New Roman" w:hAnsi="Times New Roman" w:cs="Times New Roman"/>
          <w:b/>
          <w:bCs/>
          <w:iCs/>
          <w:sz w:val="24"/>
          <w:szCs w:val="24"/>
        </w:rPr>
        <w:t xml:space="preserve"> Objectives </w:t>
      </w:r>
    </w:p>
    <w:p w14:paraId="0A64267A" w14:textId="508B4E72" w:rsidR="00F856B5" w:rsidRPr="00ED66D6" w:rsidRDefault="5142EEFD" w:rsidP="00AB1102">
      <w:pPr>
        <w:spacing w:line="480" w:lineRule="auto"/>
        <w:ind w:firstLine="567"/>
        <w:rPr>
          <w:rFonts w:ascii="Times New Roman" w:eastAsia="Times New Roman" w:hAnsi="Times New Roman" w:cs="Times New Roman"/>
          <w:sz w:val="24"/>
          <w:szCs w:val="24"/>
        </w:rPr>
      </w:pPr>
      <w:r w:rsidRPr="7E8E7E1E">
        <w:rPr>
          <w:rFonts w:ascii="Times New Roman" w:hAnsi="Times New Roman" w:cs="Times New Roman"/>
          <w:sz w:val="24"/>
          <w:szCs w:val="24"/>
        </w:rPr>
        <w:t>In this article, we analyzed ProFuturo’s intervention in Ecuador during pandemic years, starting in August 2020 and spanning three years. Our analysis focuses on the perception of the teaching staff who participated in ProFuturo’s Open Model, with particular attention to:</w:t>
      </w:r>
      <w:r w:rsidR="009F7ECA" w:rsidRPr="7E8E7E1E">
        <w:rPr>
          <w:rFonts w:ascii="Times New Roman" w:hAnsi="Times New Roman" w:cs="Times New Roman"/>
          <w:sz w:val="24"/>
          <w:szCs w:val="24"/>
        </w:rPr>
        <w:t xml:space="preserve"> </w:t>
      </w:r>
    </w:p>
    <w:p w14:paraId="3F24DAE1" w14:textId="269FBD44" w:rsidR="00F856B5" w:rsidRPr="00ED66D6" w:rsidRDefault="009F7ECA" w:rsidP="00ED66D6">
      <w:pPr>
        <w:pStyle w:val="ListParagraph"/>
        <w:numPr>
          <w:ilvl w:val="0"/>
          <w:numId w:val="7"/>
        </w:numPr>
        <w:spacing w:line="480" w:lineRule="auto"/>
        <w:rPr>
          <w:rFonts w:ascii="Times New Roman" w:eastAsia="Times New Roman" w:hAnsi="Times New Roman" w:cs="Times New Roman"/>
          <w:sz w:val="24"/>
          <w:szCs w:val="24"/>
        </w:rPr>
      </w:pPr>
      <w:r w:rsidRPr="00ED66D6">
        <w:rPr>
          <w:rFonts w:ascii="Times New Roman" w:hAnsi="Times New Roman" w:cs="Times New Roman"/>
          <w:sz w:val="24"/>
          <w:szCs w:val="24"/>
        </w:rPr>
        <w:t xml:space="preserve">The utility of the digital training provided by ProFuturo’s </w:t>
      </w:r>
      <w:r w:rsidR="001161BD" w:rsidRPr="00ED66D6">
        <w:rPr>
          <w:rFonts w:ascii="Times New Roman" w:hAnsi="Times New Roman" w:cs="Times New Roman"/>
          <w:sz w:val="24"/>
          <w:szCs w:val="24"/>
        </w:rPr>
        <w:t>O</w:t>
      </w:r>
      <w:r w:rsidRPr="00ED66D6">
        <w:rPr>
          <w:rFonts w:ascii="Times New Roman" w:hAnsi="Times New Roman" w:cs="Times New Roman"/>
          <w:sz w:val="24"/>
          <w:szCs w:val="24"/>
        </w:rPr>
        <w:t xml:space="preserve">pen </w:t>
      </w:r>
      <w:r w:rsidR="001161BD" w:rsidRPr="00ED66D6">
        <w:rPr>
          <w:rFonts w:ascii="Times New Roman" w:hAnsi="Times New Roman" w:cs="Times New Roman"/>
          <w:sz w:val="24"/>
          <w:szCs w:val="24"/>
        </w:rPr>
        <w:t>M</w:t>
      </w:r>
      <w:r w:rsidRPr="00ED66D6">
        <w:rPr>
          <w:rFonts w:ascii="Times New Roman" w:hAnsi="Times New Roman" w:cs="Times New Roman"/>
          <w:sz w:val="24"/>
          <w:szCs w:val="24"/>
        </w:rPr>
        <w:t>odel for improving teacher learning.</w:t>
      </w:r>
    </w:p>
    <w:p w14:paraId="03EDCB4D" w14:textId="77777777" w:rsidR="00F856B5" w:rsidRPr="00ED66D6" w:rsidRDefault="009F7ECA" w:rsidP="00ED66D6">
      <w:pPr>
        <w:pStyle w:val="ListParagraph"/>
        <w:numPr>
          <w:ilvl w:val="0"/>
          <w:numId w:val="7"/>
        </w:numPr>
        <w:spacing w:line="480" w:lineRule="auto"/>
        <w:rPr>
          <w:rFonts w:ascii="Times New Roman" w:eastAsia="Times New Roman" w:hAnsi="Times New Roman" w:cs="Times New Roman"/>
          <w:sz w:val="24"/>
          <w:szCs w:val="24"/>
        </w:rPr>
      </w:pPr>
      <w:r w:rsidRPr="00ED66D6">
        <w:rPr>
          <w:rFonts w:ascii="Times New Roman" w:hAnsi="Times New Roman" w:cs="Times New Roman"/>
          <w:sz w:val="24"/>
          <w:szCs w:val="24"/>
        </w:rPr>
        <w:t>The improvement in competence associated with the training received.</w:t>
      </w:r>
    </w:p>
    <w:p w14:paraId="549CE91E" w14:textId="77777777" w:rsidR="00F856B5" w:rsidRPr="00ED66D6" w:rsidRDefault="009F7ECA" w:rsidP="00ED66D6">
      <w:pPr>
        <w:pStyle w:val="ListParagraph"/>
        <w:numPr>
          <w:ilvl w:val="0"/>
          <w:numId w:val="7"/>
        </w:numPr>
        <w:spacing w:line="480" w:lineRule="auto"/>
        <w:rPr>
          <w:rFonts w:ascii="Times New Roman" w:eastAsia="Times New Roman" w:hAnsi="Times New Roman" w:cs="Times New Roman"/>
          <w:sz w:val="24"/>
          <w:szCs w:val="24"/>
        </w:rPr>
      </w:pPr>
      <w:bookmarkStart w:id="10" w:name="_Hlk154570599"/>
      <w:r w:rsidRPr="00ED66D6">
        <w:rPr>
          <w:rFonts w:ascii="Times New Roman" w:hAnsi="Times New Roman" w:cs="Times New Roman"/>
          <w:sz w:val="24"/>
          <w:szCs w:val="24"/>
        </w:rPr>
        <w:t>Transference of the training to the classroom environment, resulting in innovative methodological practise.</w:t>
      </w:r>
      <w:bookmarkEnd w:id="10"/>
    </w:p>
    <w:p w14:paraId="22A7FAD1" w14:textId="4DB8BA77" w:rsidR="00F856B5" w:rsidRPr="00ED66D6" w:rsidRDefault="0050067C" w:rsidP="00AB1102">
      <w:pPr>
        <w:spacing w:line="480" w:lineRule="auto"/>
        <w:rPr>
          <w:rFonts w:ascii="Times New Roman" w:eastAsia="Times New Roman" w:hAnsi="Times New Roman" w:cs="Times New Roman"/>
          <w:i/>
          <w:iCs/>
          <w:sz w:val="24"/>
          <w:szCs w:val="24"/>
        </w:rPr>
      </w:pPr>
      <w:r>
        <w:rPr>
          <w:rFonts w:ascii="Times New Roman" w:hAnsi="Times New Roman" w:cs="Times New Roman"/>
          <w:b/>
          <w:bCs/>
          <w:iCs/>
          <w:sz w:val="24"/>
          <w:szCs w:val="24"/>
        </w:rPr>
        <w:lastRenderedPageBreak/>
        <w:t>Study d</w:t>
      </w:r>
      <w:r w:rsidRPr="0050067C">
        <w:rPr>
          <w:rFonts w:ascii="Times New Roman" w:hAnsi="Times New Roman" w:cs="Times New Roman"/>
          <w:b/>
          <w:bCs/>
          <w:iCs/>
          <w:sz w:val="24"/>
          <w:szCs w:val="24"/>
        </w:rPr>
        <w:t xml:space="preserve">esign </w:t>
      </w:r>
    </w:p>
    <w:p w14:paraId="214DF261" w14:textId="77777777" w:rsidR="00F856B5" w:rsidRPr="00ED66D6" w:rsidRDefault="009F7ECA" w:rsidP="00AB1102">
      <w:pPr>
        <w:spacing w:line="480" w:lineRule="auto"/>
        <w:ind w:firstLine="567"/>
        <w:rPr>
          <w:rFonts w:ascii="Times New Roman" w:eastAsia="Times New Roman" w:hAnsi="Times New Roman" w:cs="Times New Roman"/>
          <w:sz w:val="24"/>
          <w:szCs w:val="24"/>
        </w:rPr>
      </w:pPr>
      <w:r w:rsidRPr="00ED66D6">
        <w:rPr>
          <w:rFonts w:ascii="Times New Roman" w:hAnsi="Times New Roman" w:cs="Times New Roman"/>
          <w:sz w:val="24"/>
          <w:szCs w:val="24"/>
        </w:rPr>
        <w:t xml:space="preserve">We designed an ex post facto study based on an online survey method, with a cross-sectional, quantitative, and non-experimental focus (Hai-Jew, 2020). In this publication, we present partial results of the data obtained from two data sources: </w:t>
      </w:r>
    </w:p>
    <w:p w14:paraId="46582D88" w14:textId="7EB89233" w:rsidR="00F856B5" w:rsidRPr="00ED66D6" w:rsidRDefault="009F7ECA" w:rsidP="00ED66D6">
      <w:pPr>
        <w:pStyle w:val="ListParagraph"/>
        <w:numPr>
          <w:ilvl w:val="0"/>
          <w:numId w:val="6"/>
        </w:numPr>
        <w:spacing w:line="480" w:lineRule="auto"/>
        <w:rPr>
          <w:rFonts w:ascii="Times New Roman" w:eastAsia="Times New Roman" w:hAnsi="Times New Roman" w:cs="Times New Roman"/>
          <w:sz w:val="24"/>
          <w:szCs w:val="24"/>
        </w:rPr>
      </w:pPr>
      <w:r w:rsidRPr="00ED66D6">
        <w:rPr>
          <w:rFonts w:ascii="Times New Roman" w:hAnsi="Times New Roman" w:cs="Times New Roman"/>
          <w:sz w:val="24"/>
          <w:szCs w:val="24"/>
        </w:rPr>
        <w:t xml:space="preserve">The digital survey for teachers trained using the </w:t>
      </w:r>
      <w:r w:rsidR="001161BD" w:rsidRPr="00ED66D6">
        <w:rPr>
          <w:rFonts w:ascii="Times New Roman" w:hAnsi="Times New Roman" w:cs="Times New Roman"/>
          <w:sz w:val="24"/>
          <w:szCs w:val="24"/>
        </w:rPr>
        <w:t>O</w:t>
      </w:r>
      <w:r w:rsidRPr="00ED66D6">
        <w:rPr>
          <w:rFonts w:ascii="Times New Roman" w:hAnsi="Times New Roman" w:cs="Times New Roman"/>
          <w:sz w:val="24"/>
          <w:szCs w:val="24"/>
        </w:rPr>
        <w:t xml:space="preserve">pen </w:t>
      </w:r>
      <w:r w:rsidR="001161BD" w:rsidRPr="00ED66D6">
        <w:rPr>
          <w:rFonts w:ascii="Times New Roman" w:hAnsi="Times New Roman" w:cs="Times New Roman"/>
          <w:sz w:val="24"/>
          <w:szCs w:val="24"/>
        </w:rPr>
        <w:t>M</w:t>
      </w:r>
      <w:r w:rsidRPr="00ED66D6">
        <w:rPr>
          <w:rFonts w:ascii="Times New Roman" w:hAnsi="Times New Roman" w:cs="Times New Roman"/>
          <w:sz w:val="24"/>
          <w:szCs w:val="24"/>
        </w:rPr>
        <w:t xml:space="preserve">odel in Ecuador between 2020 and 2022, in particular, the questions related to the teacher training offered and its level of transference. In respect of instrument design, </w:t>
      </w:r>
      <w:commentRangeStart w:id="11"/>
      <w:r w:rsidRPr="00ED66D6">
        <w:rPr>
          <w:rFonts w:ascii="Times New Roman" w:hAnsi="Times New Roman" w:cs="Times New Roman"/>
          <w:sz w:val="24"/>
          <w:szCs w:val="24"/>
        </w:rPr>
        <w:t xml:space="preserve">the questionnaire was </w:t>
      </w:r>
      <w:commentRangeEnd w:id="11"/>
      <w:r w:rsidR="001C2D64">
        <w:rPr>
          <w:rStyle w:val="CommentReference"/>
        </w:rPr>
        <w:commentReference w:id="11"/>
      </w:r>
      <w:r w:rsidRPr="00ED66D6">
        <w:rPr>
          <w:rFonts w:ascii="Times New Roman" w:hAnsi="Times New Roman" w:cs="Times New Roman"/>
          <w:sz w:val="24"/>
          <w:szCs w:val="24"/>
        </w:rPr>
        <w:t xml:space="preserve">reviewed by 7 specialist judges in digital </w:t>
      </w:r>
      <w:r w:rsidR="00F33CF8" w:rsidRPr="00ED66D6">
        <w:rPr>
          <w:rFonts w:ascii="Times New Roman" w:hAnsi="Times New Roman" w:cs="Times New Roman"/>
          <w:sz w:val="24"/>
          <w:szCs w:val="24"/>
        </w:rPr>
        <w:t>education</w:t>
      </w:r>
      <w:r w:rsidRPr="00ED66D6">
        <w:rPr>
          <w:rFonts w:ascii="Times New Roman" w:hAnsi="Times New Roman" w:cs="Times New Roman"/>
          <w:sz w:val="24"/>
          <w:szCs w:val="24"/>
        </w:rPr>
        <w:t xml:space="preserve"> and teacher training processes and 3 research methodology specialists. A pilot study with teachers from several different countries was also carried out. </w:t>
      </w:r>
    </w:p>
    <w:p w14:paraId="3FD7A062" w14:textId="77777777" w:rsidR="00F856B5" w:rsidRPr="00ED66D6" w:rsidRDefault="00F856B5" w:rsidP="00ED66D6">
      <w:pPr>
        <w:pStyle w:val="ListParagraph"/>
        <w:spacing w:line="480" w:lineRule="auto"/>
        <w:rPr>
          <w:rFonts w:ascii="Times New Roman" w:eastAsia="Times New Roman" w:hAnsi="Times New Roman" w:cs="Times New Roman"/>
          <w:sz w:val="24"/>
          <w:szCs w:val="24"/>
        </w:rPr>
      </w:pPr>
    </w:p>
    <w:p w14:paraId="4E30B19B" w14:textId="39E7695D" w:rsidR="00F856B5" w:rsidRPr="00ED66D6" w:rsidRDefault="009F7ECA" w:rsidP="00ED66D6">
      <w:pPr>
        <w:pStyle w:val="ListParagraph"/>
        <w:numPr>
          <w:ilvl w:val="0"/>
          <w:numId w:val="5"/>
        </w:numPr>
        <w:spacing w:line="480" w:lineRule="auto"/>
        <w:rPr>
          <w:rFonts w:ascii="Times New Roman" w:eastAsia="Times New Roman" w:hAnsi="Times New Roman" w:cs="Times New Roman"/>
          <w:sz w:val="24"/>
          <w:szCs w:val="24"/>
        </w:rPr>
      </w:pPr>
      <w:r w:rsidRPr="7E8E7E1E">
        <w:rPr>
          <w:rFonts w:ascii="Times New Roman" w:hAnsi="Times New Roman" w:cs="Times New Roman"/>
          <w:sz w:val="24"/>
          <w:szCs w:val="24"/>
        </w:rPr>
        <w:t xml:space="preserve">The test </w:t>
      </w:r>
      <w:r w:rsidRPr="7E8E7E1E">
        <w:rPr>
          <w:rFonts w:ascii="Times New Roman" w:hAnsi="Times New Roman" w:cs="Times New Roman"/>
          <w:i/>
          <w:iCs/>
          <w:sz w:val="24"/>
          <w:szCs w:val="24"/>
        </w:rPr>
        <w:t>Autoevaluación de Competencias Digitales para Profesoras y Profesores</w:t>
      </w:r>
      <w:r w:rsidRPr="7E8E7E1E">
        <w:rPr>
          <w:rFonts w:ascii="Times New Roman" w:hAnsi="Times New Roman" w:cs="Times New Roman"/>
          <w:sz w:val="24"/>
          <w:szCs w:val="24"/>
        </w:rPr>
        <w:t xml:space="preserve"> [</w:t>
      </w:r>
      <w:hyperlink r:id="rId11">
        <w:r w:rsidRPr="7E8E7E1E">
          <w:rPr>
            <w:rStyle w:val="Hyperlink"/>
            <w:rFonts w:ascii="Times New Roman" w:hAnsi="Times New Roman" w:cs="Times New Roman"/>
            <w:sz w:val="24"/>
            <w:szCs w:val="24"/>
          </w:rPr>
          <w:t>Self-Assessment of Digital Competence for Teac</w:t>
        </w:r>
        <w:r w:rsidRPr="7E8E7E1E">
          <w:rPr>
            <w:rStyle w:val="Hyperlink"/>
            <w:rFonts w:ascii="Times New Roman" w:hAnsi="Times New Roman" w:cs="Times New Roman"/>
            <w:sz w:val="24"/>
            <w:szCs w:val="24"/>
          </w:rPr>
          <w:t>h</w:t>
        </w:r>
        <w:r w:rsidRPr="7E8E7E1E">
          <w:rPr>
            <w:rStyle w:val="Hyperlink"/>
            <w:rFonts w:ascii="Times New Roman" w:hAnsi="Times New Roman" w:cs="Times New Roman"/>
            <w:sz w:val="24"/>
            <w:szCs w:val="24"/>
          </w:rPr>
          <w:t>ers</w:t>
        </w:r>
      </w:hyperlink>
      <w:r w:rsidRPr="7E8E7E1E">
        <w:rPr>
          <w:rFonts w:ascii="Times New Roman" w:hAnsi="Times New Roman" w:cs="Times New Roman"/>
          <w:sz w:val="24"/>
          <w:szCs w:val="24"/>
        </w:rPr>
        <w:t>], which was self-assessed by teachers in the country, enabled ex post measurement of the impact of the ProFuturo training on the level of teacher competence, comparing teachers who had previously received ProFuturo training with those who had not. It was based on the teacher self-assessment survey designed by the C</w:t>
      </w:r>
      <w:r w:rsidR="4510E69A" w:rsidRPr="7E8E7E1E">
        <w:rPr>
          <w:rFonts w:ascii="Times New Roman" w:hAnsi="Times New Roman" w:cs="Times New Roman"/>
          <w:sz w:val="24"/>
          <w:szCs w:val="24"/>
        </w:rPr>
        <w:t>entro de Inovação para a Educação Brasileira</w:t>
      </w:r>
      <w:r w:rsidR="721C1EC9" w:rsidRPr="7E8E7E1E">
        <w:rPr>
          <w:rFonts w:ascii="Times New Roman" w:hAnsi="Times New Roman" w:cs="Times New Roman"/>
          <w:sz w:val="24"/>
          <w:szCs w:val="24"/>
        </w:rPr>
        <w:t xml:space="preserve"> (CIEB); </w:t>
      </w:r>
      <w:r w:rsidRPr="7E8E7E1E">
        <w:rPr>
          <w:rFonts w:ascii="Times New Roman" w:hAnsi="Times New Roman" w:cs="Times New Roman"/>
          <w:i/>
          <w:iCs/>
          <w:sz w:val="24"/>
          <w:szCs w:val="24"/>
        </w:rPr>
        <w:t>Brazilian Centre for Educational Innovation</w:t>
      </w:r>
      <w:r w:rsidR="04477DB2" w:rsidRPr="7E8E7E1E">
        <w:rPr>
          <w:rFonts w:ascii="Times New Roman" w:hAnsi="Times New Roman" w:cs="Times New Roman"/>
          <w:i/>
          <w:iCs/>
          <w:sz w:val="24"/>
          <w:szCs w:val="24"/>
        </w:rPr>
        <w:t xml:space="preserve"> </w:t>
      </w:r>
      <w:r w:rsidRPr="7E8E7E1E">
        <w:rPr>
          <w:rFonts w:ascii="Times New Roman" w:hAnsi="Times New Roman" w:cs="Times New Roman"/>
          <w:sz w:val="24"/>
          <w:szCs w:val="24"/>
        </w:rPr>
        <w:t>which is used in the region, particularly in Brazil, as a reliable tool for measuring competence. This is a free online tool with two main objectives: 1) To encourage teachers to reflect on their own knowledge and the use of digital technology; and 2) To provide information for education networks, regarding the aggregate profile of digital competence among teachers, in order to develop more effective teacher training. It includes 23 questions which evaluate 12 skills, distributed across three areas.</w:t>
      </w:r>
    </w:p>
    <w:p w14:paraId="3D1A77A0" w14:textId="5E4FAAFB" w:rsidR="00F856B5" w:rsidRPr="00ED66D6" w:rsidRDefault="009F7ECA" w:rsidP="00ED66D6">
      <w:pPr>
        <w:keepLines/>
        <w:spacing w:before="120" w:line="480" w:lineRule="auto"/>
        <w:rPr>
          <w:rFonts w:ascii="Times New Roman" w:eastAsia="Times New Roman" w:hAnsi="Times New Roman" w:cs="Times New Roman"/>
          <w:i/>
          <w:iCs/>
          <w:sz w:val="24"/>
          <w:szCs w:val="24"/>
        </w:rPr>
      </w:pPr>
      <w:r w:rsidRPr="0050067C">
        <w:rPr>
          <w:rFonts w:ascii="Times New Roman" w:hAnsi="Times New Roman" w:cs="Times New Roman"/>
          <w:b/>
          <w:bCs/>
          <w:iCs/>
          <w:sz w:val="24"/>
          <w:szCs w:val="24"/>
        </w:rPr>
        <w:lastRenderedPageBreak/>
        <w:t>Description of the intervention context</w:t>
      </w:r>
      <w:r w:rsidRPr="00ED66D6">
        <w:rPr>
          <w:rFonts w:ascii="Times New Roman" w:hAnsi="Times New Roman" w:cs="Times New Roman"/>
          <w:i/>
          <w:sz w:val="24"/>
          <w:szCs w:val="24"/>
        </w:rPr>
        <w:t xml:space="preserve"> </w:t>
      </w:r>
    </w:p>
    <w:p w14:paraId="3B6C19AE" w14:textId="77777777" w:rsidR="00F856B5" w:rsidRPr="00ED66D6" w:rsidRDefault="009F7ECA" w:rsidP="00AB1102">
      <w:pPr>
        <w:keepLines/>
        <w:spacing w:before="120" w:after="120" w:line="480" w:lineRule="auto"/>
        <w:ind w:firstLine="567"/>
        <w:rPr>
          <w:rFonts w:ascii="Times New Roman" w:eastAsia="Times New Roman" w:hAnsi="Times New Roman" w:cs="Times New Roman"/>
          <w:sz w:val="24"/>
          <w:szCs w:val="24"/>
        </w:rPr>
      </w:pPr>
      <w:r w:rsidRPr="00ED66D6">
        <w:rPr>
          <w:rFonts w:ascii="Times New Roman" w:hAnsi="Times New Roman" w:cs="Times New Roman"/>
          <w:sz w:val="24"/>
          <w:szCs w:val="24"/>
        </w:rPr>
        <w:t>Fundación Telefónica has been working in Ecuador since 2008 to promote and develop educational competence through responsible use of ICT in educational processes, including both teachers and the student body. Through the ProFuturo program, it has worked in 24 provinces and 1,133 schools in the country, training over 85,000 teachers and benefiting over two million children since 2017.</w:t>
      </w:r>
    </w:p>
    <w:p w14:paraId="3D21F8E9" w14:textId="77777777" w:rsidR="00F856B5" w:rsidRDefault="00F856B5">
      <w:pPr>
        <w:keepLines/>
        <w:spacing w:after="200" w:line="240" w:lineRule="auto"/>
        <w:jc w:val="both"/>
        <w:rPr>
          <w:rFonts w:ascii="Times New Roman" w:eastAsia="Times New Roman" w:hAnsi="Times New Roman" w:cs="Times New Roman"/>
          <w:b/>
          <w:bCs/>
          <w:sz w:val="24"/>
          <w:szCs w:val="24"/>
        </w:rPr>
      </w:pPr>
    </w:p>
    <w:p w14:paraId="5B56CE2C" w14:textId="77777777" w:rsidR="00F856B5" w:rsidRDefault="009F7ECA" w:rsidP="00CE35AA">
      <w:pPr>
        <w:keepLines/>
        <w:spacing w:after="200" w:line="480" w:lineRule="auto"/>
        <w:jc w:val="both"/>
        <w:rPr>
          <w:rFonts w:ascii="Times New Roman" w:eastAsia="Times New Roman" w:hAnsi="Times New Roman" w:cs="Times New Roman"/>
          <w:b/>
          <w:bCs/>
          <w:sz w:val="24"/>
          <w:szCs w:val="24"/>
        </w:rPr>
      </w:pPr>
      <w:r>
        <w:rPr>
          <w:rFonts w:ascii="Times New Roman" w:hAnsi="Times New Roman"/>
          <w:b/>
          <w:sz w:val="24"/>
        </w:rPr>
        <w:t>Table 1</w:t>
      </w:r>
    </w:p>
    <w:p w14:paraId="2C304B6C" w14:textId="77777777" w:rsidR="00F856B5" w:rsidRDefault="009F7ECA" w:rsidP="00CE35AA">
      <w:pPr>
        <w:keepLines/>
        <w:spacing w:after="200" w:line="480" w:lineRule="auto"/>
        <w:jc w:val="both"/>
        <w:rPr>
          <w:rFonts w:ascii="Times New Roman" w:eastAsia="Times New Roman" w:hAnsi="Times New Roman" w:cs="Times New Roman"/>
          <w:i/>
          <w:iCs/>
          <w:sz w:val="24"/>
          <w:szCs w:val="24"/>
        </w:rPr>
      </w:pPr>
      <w:r>
        <w:rPr>
          <w:rFonts w:ascii="Times New Roman" w:hAnsi="Times New Roman"/>
          <w:i/>
          <w:sz w:val="24"/>
        </w:rPr>
        <w:t>Summary of examination sessions from 2020 to 2022</w:t>
      </w:r>
    </w:p>
    <w:tbl>
      <w:tblPr>
        <w:tblStyle w:val="PlainTable2"/>
        <w:tblW w:w="9126" w:type="dxa"/>
        <w:tblLayout w:type="fixed"/>
        <w:tblLook w:val="04A0" w:firstRow="1" w:lastRow="0" w:firstColumn="1" w:lastColumn="0" w:noHBand="0" w:noVBand="1"/>
      </w:tblPr>
      <w:tblGrid>
        <w:gridCol w:w="1141"/>
        <w:gridCol w:w="1519"/>
        <w:gridCol w:w="891"/>
        <w:gridCol w:w="914"/>
        <w:gridCol w:w="1037"/>
        <w:gridCol w:w="1154"/>
        <w:gridCol w:w="1165"/>
        <w:gridCol w:w="1305"/>
      </w:tblGrid>
      <w:tr w:rsidR="00F856B5" w:rsidRPr="00560F62" w14:paraId="5F8DED13" w14:textId="77777777" w:rsidTr="00560F62">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141" w:type="dxa"/>
          </w:tcPr>
          <w:p w14:paraId="53CA351E" w14:textId="77777777" w:rsidR="00F856B5" w:rsidRPr="00560F62" w:rsidRDefault="009F7ECA">
            <w:pPr>
              <w:spacing w:after="0" w:line="240" w:lineRule="auto"/>
              <w:jc w:val="center"/>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Examination</w:t>
            </w:r>
          </w:p>
          <w:p w14:paraId="0F64934C" w14:textId="77777777" w:rsidR="00F856B5" w:rsidRPr="00560F62" w:rsidRDefault="009F7ECA">
            <w:pPr>
              <w:spacing w:after="0" w:line="240" w:lineRule="auto"/>
              <w:jc w:val="center"/>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Session</w:t>
            </w:r>
          </w:p>
        </w:tc>
        <w:tc>
          <w:tcPr>
            <w:tcW w:w="1519" w:type="dxa"/>
          </w:tcPr>
          <w:p w14:paraId="20738475"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Duration</w:t>
            </w:r>
          </w:p>
        </w:tc>
        <w:tc>
          <w:tcPr>
            <w:tcW w:w="891" w:type="dxa"/>
          </w:tcPr>
          <w:p w14:paraId="0AAD38AD"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Number of Courses</w:t>
            </w:r>
          </w:p>
        </w:tc>
        <w:tc>
          <w:tcPr>
            <w:tcW w:w="914" w:type="dxa"/>
          </w:tcPr>
          <w:p w14:paraId="3263F2DB"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Hours of Training</w:t>
            </w:r>
          </w:p>
        </w:tc>
        <w:tc>
          <w:tcPr>
            <w:tcW w:w="1037" w:type="dxa"/>
          </w:tcPr>
          <w:p w14:paraId="3F688344"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Total Registrants</w:t>
            </w:r>
          </w:p>
        </w:tc>
        <w:tc>
          <w:tcPr>
            <w:tcW w:w="1154" w:type="dxa"/>
          </w:tcPr>
          <w:p w14:paraId="27809B06"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No. of Passing Grades</w:t>
            </w:r>
          </w:p>
        </w:tc>
        <w:tc>
          <w:tcPr>
            <w:tcW w:w="1165" w:type="dxa"/>
          </w:tcPr>
          <w:p w14:paraId="0BC80E6C"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 xml:space="preserve">Percentage </w:t>
            </w:r>
          </w:p>
          <w:p w14:paraId="14DE0587"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of Passing Grades</w:t>
            </w:r>
          </w:p>
        </w:tc>
        <w:tc>
          <w:tcPr>
            <w:tcW w:w="1305" w:type="dxa"/>
          </w:tcPr>
          <w:p w14:paraId="2486B9AD"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Teachers Certified</w:t>
            </w:r>
          </w:p>
        </w:tc>
      </w:tr>
      <w:tr w:rsidR="00F856B5" w:rsidRPr="00560F62" w14:paraId="1805F8E9"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41" w:type="dxa"/>
          </w:tcPr>
          <w:p w14:paraId="62CCD9D3"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2020_1st</w:t>
            </w:r>
          </w:p>
        </w:tc>
        <w:tc>
          <w:tcPr>
            <w:tcW w:w="1519" w:type="dxa"/>
          </w:tcPr>
          <w:p w14:paraId="67CD7161"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March-September</w:t>
            </w:r>
          </w:p>
        </w:tc>
        <w:tc>
          <w:tcPr>
            <w:tcW w:w="891" w:type="dxa"/>
          </w:tcPr>
          <w:p w14:paraId="4F838E7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23</w:t>
            </w:r>
          </w:p>
        </w:tc>
        <w:tc>
          <w:tcPr>
            <w:tcW w:w="914" w:type="dxa"/>
          </w:tcPr>
          <w:p w14:paraId="04FE8C6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537</w:t>
            </w:r>
          </w:p>
        </w:tc>
        <w:tc>
          <w:tcPr>
            <w:tcW w:w="1037" w:type="dxa"/>
          </w:tcPr>
          <w:p w14:paraId="345E403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146,376</w:t>
            </w:r>
          </w:p>
        </w:tc>
        <w:tc>
          <w:tcPr>
            <w:tcW w:w="1154" w:type="dxa"/>
          </w:tcPr>
          <w:p w14:paraId="1ED13E51"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129,764</w:t>
            </w:r>
          </w:p>
        </w:tc>
        <w:tc>
          <w:tcPr>
            <w:tcW w:w="1165" w:type="dxa"/>
          </w:tcPr>
          <w:p w14:paraId="5C506AD6"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88.65%</w:t>
            </w:r>
          </w:p>
        </w:tc>
        <w:tc>
          <w:tcPr>
            <w:tcW w:w="1305" w:type="dxa"/>
          </w:tcPr>
          <w:p w14:paraId="141F838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129,754</w:t>
            </w:r>
          </w:p>
        </w:tc>
      </w:tr>
      <w:tr w:rsidR="00F856B5" w:rsidRPr="00560F62" w14:paraId="63C88ABF"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1141" w:type="dxa"/>
          </w:tcPr>
          <w:p w14:paraId="382AC9D4"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2021_1st</w:t>
            </w:r>
          </w:p>
        </w:tc>
        <w:tc>
          <w:tcPr>
            <w:tcW w:w="1519" w:type="dxa"/>
          </w:tcPr>
          <w:p w14:paraId="5C8D92EB"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Dec 2020 - May 2021</w:t>
            </w:r>
          </w:p>
        </w:tc>
        <w:tc>
          <w:tcPr>
            <w:tcW w:w="891" w:type="dxa"/>
          </w:tcPr>
          <w:p w14:paraId="3E4A377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38</w:t>
            </w:r>
          </w:p>
        </w:tc>
        <w:tc>
          <w:tcPr>
            <w:tcW w:w="914" w:type="dxa"/>
          </w:tcPr>
          <w:p w14:paraId="403E678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813</w:t>
            </w:r>
          </w:p>
        </w:tc>
        <w:tc>
          <w:tcPr>
            <w:tcW w:w="1037" w:type="dxa"/>
          </w:tcPr>
          <w:p w14:paraId="3516B90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391,464</w:t>
            </w:r>
          </w:p>
        </w:tc>
        <w:tc>
          <w:tcPr>
            <w:tcW w:w="1154" w:type="dxa"/>
          </w:tcPr>
          <w:p w14:paraId="43C6101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207,863</w:t>
            </w:r>
          </w:p>
        </w:tc>
        <w:tc>
          <w:tcPr>
            <w:tcW w:w="1165" w:type="dxa"/>
          </w:tcPr>
          <w:p w14:paraId="206469E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52.08%</w:t>
            </w:r>
          </w:p>
        </w:tc>
        <w:tc>
          <w:tcPr>
            <w:tcW w:w="1305" w:type="dxa"/>
          </w:tcPr>
          <w:p w14:paraId="473F55B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59,733</w:t>
            </w:r>
          </w:p>
        </w:tc>
      </w:tr>
      <w:tr w:rsidR="00F856B5" w:rsidRPr="00560F62" w14:paraId="1FCF1D59"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41" w:type="dxa"/>
          </w:tcPr>
          <w:p w14:paraId="1F7FBAD9"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2021_2nd</w:t>
            </w:r>
          </w:p>
        </w:tc>
        <w:tc>
          <w:tcPr>
            <w:tcW w:w="1519" w:type="dxa"/>
          </w:tcPr>
          <w:p w14:paraId="022FDB2C"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May-July</w:t>
            </w:r>
          </w:p>
        </w:tc>
        <w:tc>
          <w:tcPr>
            <w:tcW w:w="891" w:type="dxa"/>
          </w:tcPr>
          <w:p w14:paraId="00F7CD4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7</w:t>
            </w:r>
          </w:p>
        </w:tc>
        <w:tc>
          <w:tcPr>
            <w:tcW w:w="914" w:type="dxa"/>
          </w:tcPr>
          <w:p w14:paraId="3D8AC94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233</w:t>
            </w:r>
          </w:p>
        </w:tc>
        <w:tc>
          <w:tcPr>
            <w:tcW w:w="1037" w:type="dxa"/>
          </w:tcPr>
          <w:p w14:paraId="10597BC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23,567</w:t>
            </w:r>
          </w:p>
        </w:tc>
        <w:tc>
          <w:tcPr>
            <w:tcW w:w="1154" w:type="dxa"/>
          </w:tcPr>
          <w:p w14:paraId="53EDCB0B"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11,594</w:t>
            </w:r>
          </w:p>
        </w:tc>
        <w:tc>
          <w:tcPr>
            <w:tcW w:w="1165" w:type="dxa"/>
          </w:tcPr>
          <w:p w14:paraId="649351B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49.20%</w:t>
            </w:r>
          </w:p>
        </w:tc>
        <w:tc>
          <w:tcPr>
            <w:tcW w:w="1305" w:type="dxa"/>
          </w:tcPr>
          <w:p w14:paraId="02B2C8D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8,164</w:t>
            </w:r>
          </w:p>
        </w:tc>
      </w:tr>
      <w:tr w:rsidR="00F856B5" w:rsidRPr="00560F62" w14:paraId="2532D5A0"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1141" w:type="dxa"/>
          </w:tcPr>
          <w:p w14:paraId="67A598E1"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2021_3rd</w:t>
            </w:r>
          </w:p>
        </w:tc>
        <w:tc>
          <w:tcPr>
            <w:tcW w:w="1519" w:type="dxa"/>
          </w:tcPr>
          <w:p w14:paraId="56E6CD66"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July-December</w:t>
            </w:r>
          </w:p>
        </w:tc>
        <w:tc>
          <w:tcPr>
            <w:tcW w:w="891" w:type="dxa"/>
          </w:tcPr>
          <w:p w14:paraId="6F629DD7"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47</w:t>
            </w:r>
          </w:p>
        </w:tc>
        <w:tc>
          <w:tcPr>
            <w:tcW w:w="914" w:type="dxa"/>
          </w:tcPr>
          <w:p w14:paraId="354E2E8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861</w:t>
            </w:r>
          </w:p>
        </w:tc>
        <w:tc>
          <w:tcPr>
            <w:tcW w:w="1037" w:type="dxa"/>
          </w:tcPr>
          <w:p w14:paraId="135AC5D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339,005</w:t>
            </w:r>
          </w:p>
        </w:tc>
        <w:tc>
          <w:tcPr>
            <w:tcW w:w="1154" w:type="dxa"/>
          </w:tcPr>
          <w:p w14:paraId="1C64545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106,876</w:t>
            </w:r>
          </w:p>
        </w:tc>
        <w:tc>
          <w:tcPr>
            <w:tcW w:w="1165" w:type="dxa"/>
          </w:tcPr>
          <w:p w14:paraId="5004974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31.53%</w:t>
            </w:r>
          </w:p>
        </w:tc>
        <w:tc>
          <w:tcPr>
            <w:tcW w:w="1305" w:type="dxa"/>
          </w:tcPr>
          <w:p w14:paraId="5B2B3F93"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15,107</w:t>
            </w:r>
          </w:p>
        </w:tc>
      </w:tr>
      <w:tr w:rsidR="00F856B5" w:rsidRPr="00560F62" w14:paraId="66C8453E"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41" w:type="dxa"/>
          </w:tcPr>
          <w:p w14:paraId="2A3A3231"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2021_5th</w:t>
            </w:r>
          </w:p>
        </w:tc>
        <w:tc>
          <w:tcPr>
            <w:tcW w:w="1519" w:type="dxa"/>
          </w:tcPr>
          <w:p w14:paraId="15A45E31"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October-December</w:t>
            </w:r>
          </w:p>
        </w:tc>
        <w:tc>
          <w:tcPr>
            <w:tcW w:w="891" w:type="dxa"/>
          </w:tcPr>
          <w:p w14:paraId="5DBE2FD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40</w:t>
            </w:r>
          </w:p>
        </w:tc>
        <w:tc>
          <w:tcPr>
            <w:tcW w:w="914" w:type="dxa"/>
          </w:tcPr>
          <w:p w14:paraId="643EA4E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993</w:t>
            </w:r>
          </w:p>
        </w:tc>
        <w:tc>
          <w:tcPr>
            <w:tcW w:w="1037" w:type="dxa"/>
          </w:tcPr>
          <w:p w14:paraId="5249CCB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21,800</w:t>
            </w:r>
          </w:p>
        </w:tc>
        <w:tc>
          <w:tcPr>
            <w:tcW w:w="1154" w:type="dxa"/>
          </w:tcPr>
          <w:p w14:paraId="743EB62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12,927</w:t>
            </w:r>
          </w:p>
        </w:tc>
        <w:tc>
          <w:tcPr>
            <w:tcW w:w="1165" w:type="dxa"/>
          </w:tcPr>
          <w:p w14:paraId="24DE1EA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59.30%</w:t>
            </w:r>
          </w:p>
        </w:tc>
        <w:tc>
          <w:tcPr>
            <w:tcW w:w="1305" w:type="dxa"/>
          </w:tcPr>
          <w:p w14:paraId="784AC08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777</w:t>
            </w:r>
          </w:p>
        </w:tc>
      </w:tr>
      <w:tr w:rsidR="00F856B5" w:rsidRPr="00560F62" w14:paraId="5B2FB139"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1141" w:type="dxa"/>
          </w:tcPr>
          <w:p w14:paraId="2C154BD8"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2022_1st</w:t>
            </w:r>
          </w:p>
        </w:tc>
        <w:tc>
          <w:tcPr>
            <w:tcW w:w="1519" w:type="dxa"/>
          </w:tcPr>
          <w:p w14:paraId="480B5BA9"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April-December</w:t>
            </w:r>
          </w:p>
        </w:tc>
        <w:tc>
          <w:tcPr>
            <w:tcW w:w="891" w:type="dxa"/>
          </w:tcPr>
          <w:p w14:paraId="76C83317"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32</w:t>
            </w:r>
          </w:p>
        </w:tc>
        <w:tc>
          <w:tcPr>
            <w:tcW w:w="914" w:type="dxa"/>
          </w:tcPr>
          <w:p w14:paraId="795CEB3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651</w:t>
            </w:r>
          </w:p>
        </w:tc>
        <w:tc>
          <w:tcPr>
            <w:tcW w:w="1037" w:type="dxa"/>
          </w:tcPr>
          <w:p w14:paraId="7CB9AD5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197,275</w:t>
            </w:r>
          </w:p>
        </w:tc>
        <w:tc>
          <w:tcPr>
            <w:tcW w:w="1154" w:type="dxa"/>
          </w:tcPr>
          <w:p w14:paraId="7A3B101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45,084</w:t>
            </w:r>
          </w:p>
        </w:tc>
        <w:tc>
          <w:tcPr>
            <w:tcW w:w="1165" w:type="dxa"/>
          </w:tcPr>
          <w:p w14:paraId="46E5DC9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22.85%</w:t>
            </w:r>
          </w:p>
        </w:tc>
        <w:tc>
          <w:tcPr>
            <w:tcW w:w="1305" w:type="dxa"/>
          </w:tcPr>
          <w:p w14:paraId="7B4D2FC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4,519</w:t>
            </w:r>
          </w:p>
        </w:tc>
      </w:tr>
      <w:tr w:rsidR="00F856B5" w:rsidRPr="00560F62" w14:paraId="11E404B9"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41" w:type="dxa"/>
          </w:tcPr>
          <w:p w14:paraId="4FAECB52" w14:textId="77777777" w:rsidR="00F856B5" w:rsidRPr="00560F62" w:rsidRDefault="009F7ECA">
            <w:pPr>
              <w:spacing w:after="0" w:line="240" w:lineRule="auto"/>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2022_2nd</w:t>
            </w:r>
          </w:p>
        </w:tc>
        <w:tc>
          <w:tcPr>
            <w:tcW w:w="1519" w:type="dxa"/>
          </w:tcPr>
          <w:p w14:paraId="7FBAED0A"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September-December</w:t>
            </w:r>
          </w:p>
        </w:tc>
        <w:tc>
          <w:tcPr>
            <w:tcW w:w="891" w:type="dxa"/>
          </w:tcPr>
          <w:p w14:paraId="41249A2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11</w:t>
            </w:r>
          </w:p>
        </w:tc>
        <w:tc>
          <w:tcPr>
            <w:tcW w:w="914" w:type="dxa"/>
          </w:tcPr>
          <w:p w14:paraId="343BD92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212</w:t>
            </w:r>
          </w:p>
        </w:tc>
        <w:tc>
          <w:tcPr>
            <w:tcW w:w="1037" w:type="dxa"/>
          </w:tcPr>
          <w:p w14:paraId="7706DCC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121,724</w:t>
            </w:r>
          </w:p>
        </w:tc>
        <w:tc>
          <w:tcPr>
            <w:tcW w:w="1154" w:type="dxa"/>
          </w:tcPr>
          <w:p w14:paraId="5D51755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49,307</w:t>
            </w:r>
          </w:p>
        </w:tc>
        <w:tc>
          <w:tcPr>
            <w:tcW w:w="1165" w:type="dxa"/>
          </w:tcPr>
          <w:p w14:paraId="190EA45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40.05%</w:t>
            </w:r>
          </w:p>
        </w:tc>
        <w:tc>
          <w:tcPr>
            <w:tcW w:w="1305" w:type="dxa"/>
          </w:tcPr>
          <w:p w14:paraId="61C306A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color w:val="242424"/>
                <w:shd w:val="clear" w:color="auto" w:fill="FFFFFF"/>
              </w:rPr>
              <w:t>8,081</w:t>
            </w:r>
          </w:p>
        </w:tc>
      </w:tr>
      <w:tr w:rsidR="00F856B5" w:rsidRPr="00560F62" w14:paraId="00F98D0E"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2660" w:type="dxa"/>
            <w:gridSpan w:val="2"/>
          </w:tcPr>
          <w:p w14:paraId="7395F9EE" w14:textId="77777777" w:rsidR="00F856B5" w:rsidRPr="00560F62" w:rsidRDefault="009F7ECA">
            <w:pPr>
              <w:spacing w:after="0" w:line="240" w:lineRule="auto"/>
              <w:jc w:val="center"/>
              <w:rPr>
                <w:rFonts w:ascii="Times New Roman" w:eastAsia="Times New Roman" w:hAnsi="Times New Roman" w:cs="Times New Roman"/>
                <w:b w:val="0"/>
                <w:bCs w:val="0"/>
                <w:sz w:val="18"/>
                <w:szCs w:val="18"/>
              </w:rPr>
            </w:pPr>
            <w:r w:rsidRPr="00560F62">
              <w:rPr>
                <w:rFonts w:ascii="Times New Roman" w:hAnsi="Times New Roman" w:cs="Times New Roman"/>
                <w:b w:val="0"/>
                <w:bCs w:val="0"/>
                <w:sz w:val="18"/>
              </w:rPr>
              <w:t>Total</w:t>
            </w:r>
          </w:p>
        </w:tc>
        <w:tc>
          <w:tcPr>
            <w:tcW w:w="891" w:type="dxa"/>
          </w:tcPr>
          <w:p w14:paraId="5BA21FA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198</w:t>
            </w:r>
          </w:p>
        </w:tc>
        <w:tc>
          <w:tcPr>
            <w:tcW w:w="914" w:type="dxa"/>
          </w:tcPr>
          <w:p w14:paraId="75A58E8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4,300</w:t>
            </w:r>
          </w:p>
        </w:tc>
        <w:tc>
          <w:tcPr>
            <w:tcW w:w="1037" w:type="dxa"/>
          </w:tcPr>
          <w:p w14:paraId="6B58CB38"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1,241,211</w:t>
            </w:r>
          </w:p>
        </w:tc>
        <w:tc>
          <w:tcPr>
            <w:tcW w:w="1154" w:type="dxa"/>
          </w:tcPr>
          <w:p w14:paraId="487913F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563,415</w:t>
            </w:r>
          </w:p>
        </w:tc>
        <w:tc>
          <w:tcPr>
            <w:tcW w:w="1165" w:type="dxa"/>
          </w:tcPr>
          <w:p w14:paraId="67FF9E81"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 </w:t>
            </w:r>
          </w:p>
        </w:tc>
        <w:tc>
          <w:tcPr>
            <w:tcW w:w="1305" w:type="dxa"/>
          </w:tcPr>
          <w:p w14:paraId="5470A868"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0F62">
              <w:rPr>
                <w:rFonts w:ascii="Times New Roman" w:hAnsi="Times New Roman" w:cs="Times New Roman"/>
                <w:sz w:val="18"/>
              </w:rPr>
              <w:t>218,054</w:t>
            </w:r>
          </w:p>
        </w:tc>
      </w:tr>
    </w:tbl>
    <w:p w14:paraId="00A4FB73" w14:textId="77777777" w:rsidR="00F856B5" w:rsidRPr="00CE35AA" w:rsidRDefault="009F7ECA" w:rsidP="00CE35AA">
      <w:pPr>
        <w:keepLines/>
        <w:spacing w:before="120" w:after="120" w:line="480" w:lineRule="auto"/>
        <w:rPr>
          <w:rFonts w:ascii="Times New Roman" w:eastAsia="Times New Roman" w:hAnsi="Times New Roman" w:cs="Times New Roman"/>
          <w:sz w:val="24"/>
          <w:szCs w:val="24"/>
        </w:rPr>
      </w:pPr>
      <w:r w:rsidRPr="00CE35AA">
        <w:rPr>
          <w:rFonts w:ascii="Times New Roman" w:hAnsi="Times New Roman"/>
          <w:i/>
          <w:sz w:val="24"/>
          <w:szCs w:val="24"/>
        </w:rPr>
        <w:t>Source: Fundación Telefónica Ecuador</w:t>
      </w:r>
    </w:p>
    <w:p w14:paraId="544F2872" w14:textId="6E43D081"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7E8E7E1E">
        <w:rPr>
          <w:rFonts w:ascii="Times New Roman" w:hAnsi="Times New Roman"/>
          <w:sz w:val="24"/>
          <w:szCs w:val="24"/>
        </w:rPr>
        <w:t xml:space="preserve">In April 2020, </w:t>
      </w:r>
      <w:r w:rsidR="5E9E1028" w:rsidRPr="7E8E7E1E">
        <w:rPr>
          <w:rFonts w:ascii="Times New Roman" w:eastAsia="Times New Roman" w:hAnsi="Times New Roman" w:cs="Times New Roman"/>
          <w:sz w:val="24"/>
          <w:szCs w:val="24"/>
        </w:rPr>
        <w:t>training courses were launched</w:t>
      </w:r>
      <w:r w:rsidRPr="7E8E7E1E">
        <w:rPr>
          <w:rFonts w:ascii="Times New Roman" w:hAnsi="Times New Roman"/>
          <w:sz w:val="24"/>
          <w:szCs w:val="24"/>
        </w:rPr>
        <w:t xml:space="preserve"> through the Fundación Telefónica website and the educational resource and planning portal on the Ministry of Education website. The courses were designed to develop digital skills, educational methodologies, educational strategies, gamification, mathematics, leadership, and digital citizenship, with lengths ranging from 5 to 40 hours.  </w:t>
      </w:r>
    </w:p>
    <w:p w14:paraId="7BCF6F31"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lastRenderedPageBreak/>
        <w:t>In that year, 30.43% of the courses related to pedagogy and pedagogical methodologies, 26.09% to digital skills for teachers, and 13.04% to digital citizenship. There were 146,376 registrations and 88% (129,764 teachers) passed or finished the courses.</w:t>
      </w:r>
    </w:p>
    <w:p w14:paraId="5FE9B138" w14:textId="4BA038D3"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In 202</w:t>
      </w:r>
      <w:r w:rsidR="00270AAE" w:rsidRPr="00CE35AA">
        <w:rPr>
          <w:rFonts w:ascii="Times New Roman" w:hAnsi="Times New Roman"/>
          <w:sz w:val="24"/>
          <w:szCs w:val="24"/>
        </w:rPr>
        <w:t>1</w:t>
      </w:r>
      <w:r w:rsidRPr="00CE35AA">
        <w:rPr>
          <w:rFonts w:ascii="Times New Roman" w:hAnsi="Times New Roman"/>
          <w:sz w:val="24"/>
          <w:szCs w:val="24"/>
        </w:rPr>
        <w:t xml:space="preserve">, they launched four sessions that were published through the Fundación Telefónica website and its social networks, as well as the MeCapacito section of the Ministry of Education website. This resulted in a total of 776,230 registrations and 339,519 passing grades, meaning a pass rate of 43.74%. A total of 133 courses were developed, divided across 13 skills, 21 itineraries, and 6 levels. The courses were built around the areas of digital competence for teachers, where 33.29% of the students completed the courses, pedagogy and pedagogical methodologies, where 18.28% of teachers completed the training, and digital citizenship, where 14.36% of teachers received training that year.   </w:t>
      </w:r>
    </w:p>
    <w:p w14:paraId="2340AC74" w14:textId="15C49622"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7E8E7E1E">
        <w:rPr>
          <w:rFonts w:ascii="Times New Roman" w:hAnsi="Times New Roman"/>
          <w:sz w:val="24"/>
          <w:szCs w:val="24"/>
        </w:rPr>
        <w:t xml:space="preserve">For 2022, </w:t>
      </w:r>
      <w:r w:rsidR="265FC15B" w:rsidRPr="7E8E7E1E">
        <w:rPr>
          <w:rFonts w:ascii="Times New Roman" w:hAnsi="Times New Roman"/>
          <w:sz w:val="24"/>
          <w:szCs w:val="24"/>
        </w:rPr>
        <w:t xml:space="preserve">the program </w:t>
      </w:r>
      <w:r w:rsidRPr="7E8E7E1E">
        <w:rPr>
          <w:rFonts w:ascii="Times New Roman" w:hAnsi="Times New Roman"/>
          <w:sz w:val="24"/>
          <w:szCs w:val="24"/>
        </w:rPr>
        <w:t>aimed to align the program with the digital education agenda by defining the training as a means of strengthening digital competence among teachers.</w:t>
      </w:r>
    </w:p>
    <w:p w14:paraId="2C206CB9" w14:textId="66AF9727" w:rsidR="0EEF6077" w:rsidRDefault="0EEF6077" w:rsidP="00AB1102">
      <w:pPr>
        <w:keepLines/>
        <w:spacing w:before="120" w:after="120" w:line="480" w:lineRule="auto"/>
        <w:ind w:firstLine="567"/>
        <w:rPr>
          <w:rFonts w:ascii="Times New Roman" w:eastAsia="Times New Roman" w:hAnsi="Times New Roman" w:cs="Times New Roman"/>
          <w:sz w:val="24"/>
          <w:szCs w:val="24"/>
        </w:rPr>
      </w:pPr>
      <w:r w:rsidRPr="7E8E7E1E">
        <w:rPr>
          <w:rFonts w:ascii="Times New Roman" w:hAnsi="Times New Roman"/>
          <w:sz w:val="24"/>
          <w:szCs w:val="24"/>
        </w:rPr>
        <w:t xml:space="preserve">A total of 43 courses were provided, distributed across four areas, three skills, four itineraries, and six levels. Courses related to digital competence for teachers continued to be the most offered (37.21%) and the most in-demand (45% of registrants). However, courses related to social-emotional and communication skills had the highest passing grade rate per registrant (with 37.25% and 32.52% respectively).  </w:t>
      </w:r>
    </w:p>
    <w:p w14:paraId="2F742F3B"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highlight w:val="yellow"/>
        </w:rPr>
      </w:pPr>
      <w:r w:rsidRPr="00CE35AA">
        <w:rPr>
          <w:rFonts w:ascii="Times New Roman" w:hAnsi="Times New Roman"/>
          <w:sz w:val="24"/>
          <w:szCs w:val="24"/>
        </w:rPr>
        <w:t>The training was divided into the areas of competence shown in table 2.</w:t>
      </w:r>
    </w:p>
    <w:p w14:paraId="1744C58D" w14:textId="77777777" w:rsidR="00F856B5" w:rsidRPr="00CE35AA" w:rsidRDefault="009F7ECA" w:rsidP="00CE35AA">
      <w:pPr>
        <w:keepLines/>
        <w:spacing w:after="200" w:line="480" w:lineRule="auto"/>
        <w:rPr>
          <w:rFonts w:ascii="Times New Roman" w:eastAsia="Times New Roman" w:hAnsi="Times New Roman" w:cs="Times New Roman"/>
          <w:b/>
          <w:bCs/>
          <w:sz w:val="24"/>
          <w:szCs w:val="24"/>
        </w:rPr>
      </w:pPr>
      <w:r w:rsidRPr="00CE35AA">
        <w:rPr>
          <w:rFonts w:ascii="Times New Roman" w:hAnsi="Times New Roman"/>
          <w:b/>
          <w:sz w:val="24"/>
          <w:szCs w:val="24"/>
        </w:rPr>
        <w:t>Table 2</w:t>
      </w:r>
    </w:p>
    <w:p w14:paraId="445B77E8" w14:textId="77777777" w:rsidR="00F856B5" w:rsidRPr="00CE35AA" w:rsidRDefault="009F7ECA" w:rsidP="00CE35AA">
      <w:pPr>
        <w:keepLines/>
        <w:spacing w:after="200" w:line="480" w:lineRule="auto"/>
        <w:rPr>
          <w:rFonts w:ascii="Times New Roman" w:eastAsia="Times New Roman" w:hAnsi="Times New Roman" w:cs="Times New Roman"/>
          <w:i/>
          <w:iCs/>
          <w:sz w:val="24"/>
          <w:szCs w:val="24"/>
        </w:rPr>
      </w:pPr>
      <w:r w:rsidRPr="00CE35AA">
        <w:rPr>
          <w:rFonts w:ascii="Times New Roman" w:hAnsi="Times New Roman"/>
          <w:i/>
          <w:sz w:val="24"/>
          <w:szCs w:val="24"/>
        </w:rPr>
        <w:t>Courses by area of competence</w:t>
      </w:r>
    </w:p>
    <w:tbl>
      <w:tblPr>
        <w:tblStyle w:val="PlainTable2"/>
        <w:tblW w:w="9015" w:type="dxa"/>
        <w:tblLayout w:type="fixed"/>
        <w:tblLook w:val="04A0" w:firstRow="1" w:lastRow="0" w:firstColumn="1" w:lastColumn="0" w:noHBand="0" w:noVBand="1"/>
      </w:tblPr>
      <w:tblGrid>
        <w:gridCol w:w="2660"/>
        <w:gridCol w:w="965"/>
        <w:gridCol w:w="911"/>
        <w:gridCol w:w="950"/>
        <w:gridCol w:w="1104"/>
        <w:gridCol w:w="1322"/>
        <w:gridCol w:w="1103"/>
      </w:tblGrid>
      <w:tr w:rsidR="00F856B5" w:rsidRPr="00560F62" w14:paraId="38568347" w14:textId="77777777" w:rsidTr="00560F62">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60" w:type="dxa"/>
          </w:tcPr>
          <w:p w14:paraId="0413D647"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Area</w:t>
            </w:r>
          </w:p>
        </w:tc>
        <w:tc>
          <w:tcPr>
            <w:tcW w:w="965" w:type="dxa"/>
          </w:tcPr>
          <w:p w14:paraId="081010DA" w14:textId="4D1E9AD0" w:rsidR="00F856B5" w:rsidRPr="00560F62" w:rsidRDefault="009F7ECA">
            <w:pPr>
              <w:spacing w:after="0" w:line="240" w:lineRule="auto"/>
              <w:ind w:right="-7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N</w:t>
            </w:r>
            <w:r w:rsidR="00560F62">
              <w:rPr>
                <w:rFonts w:ascii="Times New Roman" w:hAnsi="Times New Roman" w:cs="Times New Roman"/>
                <w:sz w:val="20"/>
              </w:rPr>
              <w:t>umber</w:t>
            </w:r>
            <w:r w:rsidRPr="00560F62">
              <w:rPr>
                <w:rFonts w:ascii="Times New Roman" w:hAnsi="Times New Roman" w:cs="Times New Roman"/>
                <w:sz w:val="20"/>
              </w:rPr>
              <w:t xml:space="preserve"> of courses</w:t>
            </w:r>
          </w:p>
        </w:tc>
        <w:tc>
          <w:tcPr>
            <w:tcW w:w="911" w:type="dxa"/>
          </w:tcPr>
          <w:p w14:paraId="6B63315E"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xml:space="preserve">% of courses </w:t>
            </w:r>
          </w:p>
        </w:tc>
        <w:tc>
          <w:tcPr>
            <w:tcW w:w="950" w:type="dxa"/>
          </w:tcPr>
          <w:p w14:paraId="5769C980"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Total Registrants</w:t>
            </w:r>
          </w:p>
        </w:tc>
        <w:tc>
          <w:tcPr>
            <w:tcW w:w="1104" w:type="dxa"/>
          </w:tcPr>
          <w:p w14:paraId="10641223"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Total Passing Grades</w:t>
            </w:r>
          </w:p>
        </w:tc>
        <w:tc>
          <w:tcPr>
            <w:tcW w:w="1322" w:type="dxa"/>
          </w:tcPr>
          <w:p w14:paraId="6A188C00"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Passing Grade per Session</w:t>
            </w:r>
          </w:p>
        </w:tc>
        <w:tc>
          <w:tcPr>
            <w:tcW w:w="1103" w:type="dxa"/>
          </w:tcPr>
          <w:p w14:paraId="4ABFBA2F"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Passing Grade per Registrant</w:t>
            </w:r>
          </w:p>
        </w:tc>
      </w:tr>
      <w:tr w:rsidR="00F856B5" w:rsidRPr="00560F62" w14:paraId="204463FF"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60" w:type="dxa"/>
          </w:tcPr>
          <w:p w14:paraId="69F70B57"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lastRenderedPageBreak/>
              <w:t>Pedagogy</w:t>
            </w:r>
          </w:p>
        </w:tc>
        <w:tc>
          <w:tcPr>
            <w:tcW w:w="965" w:type="dxa"/>
          </w:tcPr>
          <w:p w14:paraId="457AEC8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w:t>
            </w:r>
          </w:p>
        </w:tc>
        <w:tc>
          <w:tcPr>
            <w:tcW w:w="911" w:type="dxa"/>
          </w:tcPr>
          <w:p w14:paraId="17D20FA1"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30.43%</w:t>
            </w:r>
          </w:p>
        </w:tc>
        <w:tc>
          <w:tcPr>
            <w:tcW w:w="950" w:type="dxa"/>
          </w:tcPr>
          <w:p w14:paraId="70AE599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42,732</w:t>
            </w:r>
          </w:p>
        </w:tc>
        <w:tc>
          <w:tcPr>
            <w:tcW w:w="1104" w:type="dxa"/>
          </w:tcPr>
          <w:p w14:paraId="6BB1033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38,134</w:t>
            </w:r>
          </w:p>
        </w:tc>
        <w:tc>
          <w:tcPr>
            <w:tcW w:w="1322" w:type="dxa"/>
          </w:tcPr>
          <w:p w14:paraId="00D49EA9"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29.39%</w:t>
            </w:r>
          </w:p>
        </w:tc>
        <w:tc>
          <w:tcPr>
            <w:tcW w:w="1103" w:type="dxa"/>
          </w:tcPr>
          <w:p w14:paraId="77D778DB"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89.24%</w:t>
            </w:r>
          </w:p>
        </w:tc>
      </w:tr>
      <w:tr w:rsidR="00F856B5" w:rsidRPr="00560F62" w14:paraId="38623D9A"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2660" w:type="dxa"/>
          </w:tcPr>
          <w:p w14:paraId="7ABCE501"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Digital Skills for Teachers</w:t>
            </w:r>
          </w:p>
        </w:tc>
        <w:tc>
          <w:tcPr>
            <w:tcW w:w="965" w:type="dxa"/>
          </w:tcPr>
          <w:p w14:paraId="3BAA607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c>
          <w:tcPr>
            <w:tcW w:w="911" w:type="dxa"/>
          </w:tcPr>
          <w:p w14:paraId="1244381C"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26.09%</w:t>
            </w:r>
          </w:p>
        </w:tc>
        <w:tc>
          <w:tcPr>
            <w:tcW w:w="950" w:type="dxa"/>
          </w:tcPr>
          <w:p w14:paraId="5E295373"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57,353</w:t>
            </w:r>
          </w:p>
        </w:tc>
        <w:tc>
          <w:tcPr>
            <w:tcW w:w="1104" w:type="dxa"/>
          </w:tcPr>
          <w:p w14:paraId="72735557"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50,749</w:t>
            </w:r>
          </w:p>
        </w:tc>
        <w:tc>
          <w:tcPr>
            <w:tcW w:w="1322" w:type="dxa"/>
          </w:tcPr>
          <w:p w14:paraId="4D9DE064"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39.11%</w:t>
            </w:r>
          </w:p>
        </w:tc>
        <w:tc>
          <w:tcPr>
            <w:tcW w:w="1103" w:type="dxa"/>
          </w:tcPr>
          <w:p w14:paraId="3CB64AD9"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88.49%</w:t>
            </w:r>
          </w:p>
        </w:tc>
      </w:tr>
      <w:tr w:rsidR="00F856B5" w:rsidRPr="00560F62" w14:paraId="3351C2F6"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60" w:type="dxa"/>
          </w:tcPr>
          <w:p w14:paraId="2BE1FD76"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Digital Citizenship</w:t>
            </w:r>
          </w:p>
        </w:tc>
        <w:tc>
          <w:tcPr>
            <w:tcW w:w="965" w:type="dxa"/>
          </w:tcPr>
          <w:p w14:paraId="17C55A6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911" w:type="dxa"/>
          </w:tcPr>
          <w:p w14:paraId="092A06A6"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13.04%</w:t>
            </w:r>
          </w:p>
        </w:tc>
        <w:tc>
          <w:tcPr>
            <w:tcW w:w="950" w:type="dxa"/>
          </w:tcPr>
          <w:p w14:paraId="2C4DD0F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8,147</w:t>
            </w:r>
          </w:p>
        </w:tc>
        <w:tc>
          <w:tcPr>
            <w:tcW w:w="1104" w:type="dxa"/>
          </w:tcPr>
          <w:p w14:paraId="40576D1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7,652</w:t>
            </w:r>
          </w:p>
        </w:tc>
        <w:tc>
          <w:tcPr>
            <w:tcW w:w="1322" w:type="dxa"/>
          </w:tcPr>
          <w:p w14:paraId="750052B5"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5.90%</w:t>
            </w:r>
          </w:p>
        </w:tc>
        <w:tc>
          <w:tcPr>
            <w:tcW w:w="1103" w:type="dxa"/>
          </w:tcPr>
          <w:p w14:paraId="2871DDAB"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93.92%</w:t>
            </w:r>
          </w:p>
        </w:tc>
      </w:tr>
      <w:tr w:rsidR="00F856B5" w:rsidRPr="00560F62" w14:paraId="45C8416A"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2660" w:type="dxa"/>
          </w:tcPr>
          <w:p w14:paraId="62B1290A"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Communication Skills</w:t>
            </w:r>
          </w:p>
        </w:tc>
        <w:tc>
          <w:tcPr>
            <w:tcW w:w="965" w:type="dxa"/>
          </w:tcPr>
          <w:p w14:paraId="41803E0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911" w:type="dxa"/>
          </w:tcPr>
          <w:p w14:paraId="6FD83A67"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8.70%</w:t>
            </w:r>
          </w:p>
        </w:tc>
        <w:tc>
          <w:tcPr>
            <w:tcW w:w="950" w:type="dxa"/>
          </w:tcPr>
          <w:p w14:paraId="55457388"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13,084</w:t>
            </w:r>
          </w:p>
        </w:tc>
        <w:tc>
          <w:tcPr>
            <w:tcW w:w="1104" w:type="dxa"/>
          </w:tcPr>
          <w:p w14:paraId="646E1AD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11,146</w:t>
            </w:r>
          </w:p>
        </w:tc>
        <w:tc>
          <w:tcPr>
            <w:tcW w:w="1322" w:type="dxa"/>
          </w:tcPr>
          <w:p w14:paraId="6F07D223"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8.59%</w:t>
            </w:r>
          </w:p>
        </w:tc>
        <w:tc>
          <w:tcPr>
            <w:tcW w:w="1103" w:type="dxa"/>
          </w:tcPr>
          <w:p w14:paraId="1A157F7B"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85.19%</w:t>
            </w:r>
          </w:p>
        </w:tc>
      </w:tr>
      <w:tr w:rsidR="00F856B5" w:rsidRPr="00560F62" w14:paraId="7D07B368"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60" w:type="dxa"/>
          </w:tcPr>
          <w:p w14:paraId="2E824E09"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Direction and Management Skills</w:t>
            </w:r>
          </w:p>
        </w:tc>
        <w:tc>
          <w:tcPr>
            <w:tcW w:w="965" w:type="dxa"/>
          </w:tcPr>
          <w:p w14:paraId="57F8708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911" w:type="dxa"/>
          </w:tcPr>
          <w:p w14:paraId="7101F343"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8.70%</w:t>
            </w:r>
          </w:p>
        </w:tc>
        <w:tc>
          <w:tcPr>
            <w:tcW w:w="950" w:type="dxa"/>
          </w:tcPr>
          <w:p w14:paraId="72DE33B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7,384</w:t>
            </w:r>
          </w:p>
        </w:tc>
        <w:tc>
          <w:tcPr>
            <w:tcW w:w="1104" w:type="dxa"/>
          </w:tcPr>
          <w:p w14:paraId="517306B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6,306</w:t>
            </w:r>
          </w:p>
        </w:tc>
        <w:tc>
          <w:tcPr>
            <w:tcW w:w="1322" w:type="dxa"/>
          </w:tcPr>
          <w:p w14:paraId="44D57179"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4.86%</w:t>
            </w:r>
          </w:p>
        </w:tc>
        <w:tc>
          <w:tcPr>
            <w:tcW w:w="1103" w:type="dxa"/>
          </w:tcPr>
          <w:p w14:paraId="4B6F0460"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85.40%</w:t>
            </w:r>
          </w:p>
        </w:tc>
      </w:tr>
      <w:tr w:rsidR="00F856B5" w:rsidRPr="00560F62" w14:paraId="0C2070C0" w14:textId="77777777" w:rsidTr="00560F62">
        <w:trPr>
          <w:trHeight w:val="285"/>
        </w:trPr>
        <w:tc>
          <w:tcPr>
            <w:cnfStyle w:val="001000000000" w:firstRow="0" w:lastRow="0" w:firstColumn="1" w:lastColumn="0" w:oddVBand="0" w:evenVBand="0" w:oddHBand="0" w:evenHBand="0" w:firstRowFirstColumn="0" w:firstRowLastColumn="0" w:lastRowFirstColumn="0" w:lastRowLastColumn="0"/>
            <w:tcW w:w="2660" w:type="dxa"/>
          </w:tcPr>
          <w:p w14:paraId="2B7AA980"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Collaboration Skills</w:t>
            </w:r>
          </w:p>
        </w:tc>
        <w:tc>
          <w:tcPr>
            <w:tcW w:w="965" w:type="dxa"/>
          </w:tcPr>
          <w:p w14:paraId="1BC54BC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911" w:type="dxa"/>
          </w:tcPr>
          <w:p w14:paraId="7AF8AE36"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4.35%</w:t>
            </w:r>
          </w:p>
        </w:tc>
        <w:tc>
          <w:tcPr>
            <w:tcW w:w="950" w:type="dxa"/>
          </w:tcPr>
          <w:p w14:paraId="3140522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5,210</w:t>
            </w:r>
          </w:p>
        </w:tc>
        <w:tc>
          <w:tcPr>
            <w:tcW w:w="1104" w:type="dxa"/>
          </w:tcPr>
          <w:p w14:paraId="0B9CFB8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4,428</w:t>
            </w:r>
          </w:p>
        </w:tc>
        <w:tc>
          <w:tcPr>
            <w:tcW w:w="1322" w:type="dxa"/>
          </w:tcPr>
          <w:p w14:paraId="206A8E4A"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3.41%</w:t>
            </w:r>
          </w:p>
        </w:tc>
        <w:tc>
          <w:tcPr>
            <w:tcW w:w="1103" w:type="dxa"/>
          </w:tcPr>
          <w:p w14:paraId="32E1665B"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84.99%</w:t>
            </w:r>
          </w:p>
        </w:tc>
      </w:tr>
      <w:tr w:rsidR="00F856B5" w:rsidRPr="00560F62" w14:paraId="5F4B5185" w14:textId="77777777" w:rsidTr="00560F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60" w:type="dxa"/>
          </w:tcPr>
          <w:p w14:paraId="5392385C"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Mathematical Competence</w:t>
            </w:r>
          </w:p>
        </w:tc>
        <w:tc>
          <w:tcPr>
            <w:tcW w:w="965" w:type="dxa"/>
          </w:tcPr>
          <w:p w14:paraId="2B890D9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911" w:type="dxa"/>
          </w:tcPr>
          <w:p w14:paraId="43DC4B54"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4.35%</w:t>
            </w:r>
          </w:p>
        </w:tc>
        <w:tc>
          <w:tcPr>
            <w:tcW w:w="950" w:type="dxa"/>
          </w:tcPr>
          <w:p w14:paraId="7542A2B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6,534</w:t>
            </w:r>
          </w:p>
        </w:tc>
        <w:tc>
          <w:tcPr>
            <w:tcW w:w="1104" w:type="dxa"/>
          </w:tcPr>
          <w:p w14:paraId="18683D9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5,727</w:t>
            </w:r>
          </w:p>
        </w:tc>
        <w:tc>
          <w:tcPr>
            <w:tcW w:w="1322" w:type="dxa"/>
          </w:tcPr>
          <w:p w14:paraId="720F82E0"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4.41%</w:t>
            </w:r>
          </w:p>
        </w:tc>
        <w:tc>
          <w:tcPr>
            <w:tcW w:w="1103" w:type="dxa"/>
          </w:tcPr>
          <w:p w14:paraId="581CADFB"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87.65%</w:t>
            </w:r>
          </w:p>
        </w:tc>
      </w:tr>
      <w:tr w:rsidR="00F856B5" w:rsidRPr="00560F62" w14:paraId="5B47FC06"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2660" w:type="dxa"/>
          </w:tcPr>
          <w:p w14:paraId="67834543"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Social-emotional Skills</w:t>
            </w:r>
          </w:p>
        </w:tc>
        <w:tc>
          <w:tcPr>
            <w:tcW w:w="965" w:type="dxa"/>
          </w:tcPr>
          <w:p w14:paraId="3205156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911" w:type="dxa"/>
          </w:tcPr>
          <w:p w14:paraId="0812BFC7"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4.35%</w:t>
            </w:r>
          </w:p>
        </w:tc>
        <w:tc>
          <w:tcPr>
            <w:tcW w:w="950" w:type="dxa"/>
          </w:tcPr>
          <w:p w14:paraId="5253E0F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5,932</w:t>
            </w:r>
          </w:p>
        </w:tc>
        <w:tc>
          <w:tcPr>
            <w:tcW w:w="1104" w:type="dxa"/>
          </w:tcPr>
          <w:p w14:paraId="76EAACA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5,622</w:t>
            </w:r>
          </w:p>
        </w:tc>
        <w:tc>
          <w:tcPr>
            <w:tcW w:w="1322" w:type="dxa"/>
          </w:tcPr>
          <w:p w14:paraId="23EFBBEC"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4.33%</w:t>
            </w:r>
          </w:p>
        </w:tc>
        <w:tc>
          <w:tcPr>
            <w:tcW w:w="1103" w:type="dxa"/>
          </w:tcPr>
          <w:p w14:paraId="3F091A6F"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94.77%</w:t>
            </w:r>
          </w:p>
        </w:tc>
      </w:tr>
      <w:tr w:rsidR="00F856B5" w:rsidRPr="00560F62" w14:paraId="1C61F366"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60" w:type="dxa"/>
          </w:tcPr>
          <w:p w14:paraId="739C5B00"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Total</w:t>
            </w:r>
          </w:p>
        </w:tc>
        <w:tc>
          <w:tcPr>
            <w:tcW w:w="965" w:type="dxa"/>
          </w:tcPr>
          <w:p w14:paraId="505C139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23</w:t>
            </w:r>
          </w:p>
        </w:tc>
        <w:tc>
          <w:tcPr>
            <w:tcW w:w="911" w:type="dxa"/>
          </w:tcPr>
          <w:p w14:paraId="7769A814"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100.00%</w:t>
            </w:r>
          </w:p>
        </w:tc>
        <w:tc>
          <w:tcPr>
            <w:tcW w:w="950" w:type="dxa"/>
          </w:tcPr>
          <w:p w14:paraId="2B6207F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146,376</w:t>
            </w:r>
          </w:p>
        </w:tc>
        <w:tc>
          <w:tcPr>
            <w:tcW w:w="1104" w:type="dxa"/>
          </w:tcPr>
          <w:p w14:paraId="6AD9778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129,764</w:t>
            </w:r>
          </w:p>
        </w:tc>
        <w:tc>
          <w:tcPr>
            <w:tcW w:w="1322" w:type="dxa"/>
          </w:tcPr>
          <w:p w14:paraId="33CAA712"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100.00%</w:t>
            </w:r>
          </w:p>
        </w:tc>
        <w:tc>
          <w:tcPr>
            <w:tcW w:w="1103" w:type="dxa"/>
          </w:tcPr>
          <w:p w14:paraId="0078264C"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88.65%</w:t>
            </w:r>
          </w:p>
        </w:tc>
      </w:tr>
    </w:tbl>
    <w:p w14:paraId="74C355F6" w14:textId="77777777" w:rsidR="00F856B5" w:rsidRPr="00560F62" w:rsidRDefault="009F7ECA">
      <w:pPr>
        <w:keepLines/>
        <w:spacing w:before="120" w:after="120"/>
        <w:jc w:val="both"/>
        <w:rPr>
          <w:rFonts w:ascii="Times New Roman" w:eastAsia="Times New Roman" w:hAnsi="Times New Roman" w:cs="Times New Roman"/>
          <w:sz w:val="24"/>
          <w:szCs w:val="24"/>
        </w:rPr>
      </w:pPr>
      <w:r w:rsidRPr="00560F62">
        <w:rPr>
          <w:rFonts w:ascii="Times New Roman" w:hAnsi="Times New Roman"/>
          <w:sz w:val="24"/>
          <w:szCs w:val="24"/>
        </w:rPr>
        <w:t xml:space="preserve">Source: Compiled by the authors based on data from ProFuturo </w:t>
      </w:r>
    </w:p>
    <w:p w14:paraId="04C5B5C5" w14:textId="77777777" w:rsidR="00F856B5" w:rsidRDefault="00F856B5">
      <w:pPr>
        <w:keepLines/>
        <w:spacing w:before="120" w:after="120"/>
        <w:jc w:val="both"/>
        <w:rPr>
          <w:rFonts w:ascii="Times New Roman" w:eastAsia="Times New Roman" w:hAnsi="Times New Roman" w:cs="Times New Roman"/>
          <w:sz w:val="24"/>
          <w:szCs w:val="24"/>
        </w:rPr>
      </w:pPr>
    </w:p>
    <w:p w14:paraId="2FDAF7F2"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cs="Times New Roman"/>
          <w:sz w:val="24"/>
          <w:szCs w:val="24"/>
        </w:rPr>
        <w:t>Some of this content was offered over 3 consecutive years. See table 3.</w:t>
      </w:r>
    </w:p>
    <w:p w14:paraId="7E66CD49" w14:textId="77777777" w:rsidR="00F856B5" w:rsidRPr="00CE35AA" w:rsidRDefault="009F7ECA" w:rsidP="00CE35AA">
      <w:pPr>
        <w:keepLines/>
        <w:spacing w:before="120" w:after="120" w:line="480" w:lineRule="auto"/>
        <w:rPr>
          <w:rFonts w:ascii="Times New Roman" w:eastAsia="Times New Roman" w:hAnsi="Times New Roman" w:cs="Times New Roman"/>
          <w:i/>
          <w:iCs/>
          <w:sz w:val="24"/>
          <w:szCs w:val="24"/>
        </w:rPr>
      </w:pPr>
      <w:r w:rsidRPr="00CE35AA">
        <w:rPr>
          <w:rFonts w:ascii="Times New Roman" w:hAnsi="Times New Roman" w:cs="Times New Roman"/>
          <w:b/>
          <w:sz w:val="24"/>
          <w:szCs w:val="24"/>
        </w:rPr>
        <w:t>Table 3</w:t>
      </w:r>
      <w:r w:rsidRPr="00CE35AA">
        <w:rPr>
          <w:rFonts w:ascii="Times New Roman" w:hAnsi="Times New Roman" w:cs="Times New Roman"/>
          <w:i/>
          <w:sz w:val="24"/>
          <w:szCs w:val="24"/>
        </w:rPr>
        <w:t xml:space="preserve"> </w:t>
      </w:r>
    </w:p>
    <w:p w14:paraId="48DE6992" w14:textId="77777777" w:rsidR="00F856B5" w:rsidRPr="00CE35AA" w:rsidRDefault="009F7ECA" w:rsidP="00CE35AA">
      <w:pPr>
        <w:keepLines/>
        <w:spacing w:before="120" w:after="120" w:line="480" w:lineRule="auto"/>
        <w:rPr>
          <w:rFonts w:ascii="Times New Roman" w:eastAsia="Times New Roman" w:hAnsi="Times New Roman" w:cs="Times New Roman"/>
          <w:i/>
          <w:iCs/>
          <w:sz w:val="24"/>
          <w:szCs w:val="24"/>
        </w:rPr>
      </w:pPr>
      <w:r w:rsidRPr="00CE35AA">
        <w:rPr>
          <w:rFonts w:ascii="Times New Roman" w:hAnsi="Times New Roman" w:cs="Times New Roman"/>
          <w:i/>
          <w:sz w:val="24"/>
          <w:szCs w:val="24"/>
        </w:rPr>
        <w:t>Courses that ran consecutively over the last 3 years</w:t>
      </w:r>
    </w:p>
    <w:tbl>
      <w:tblPr>
        <w:tblStyle w:val="PlainTable2"/>
        <w:tblW w:w="8775" w:type="dxa"/>
        <w:tblLayout w:type="fixed"/>
        <w:tblLook w:val="04A0" w:firstRow="1" w:lastRow="0" w:firstColumn="1" w:lastColumn="0" w:noHBand="0" w:noVBand="1"/>
      </w:tblPr>
      <w:tblGrid>
        <w:gridCol w:w="5715"/>
        <w:gridCol w:w="765"/>
        <w:gridCol w:w="764"/>
        <w:gridCol w:w="765"/>
        <w:gridCol w:w="766"/>
      </w:tblGrid>
      <w:tr w:rsidR="00F856B5" w:rsidRPr="00560F62" w14:paraId="3C469DB3" w14:textId="77777777" w:rsidTr="00560F6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vMerge w:val="restart"/>
          </w:tcPr>
          <w:p w14:paraId="1784F037"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Courses</w:t>
            </w:r>
          </w:p>
        </w:tc>
        <w:tc>
          <w:tcPr>
            <w:tcW w:w="3060" w:type="dxa"/>
            <w:gridSpan w:val="4"/>
          </w:tcPr>
          <w:p w14:paraId="62003037"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No. of Examination Sessions</w:t>
            </w:r>
          </w:p>
        </w:tc>
      </w:tr>
      <w:tr w:rsidR="00F856B5" w:rsidRPr="00560F62" w14:paraId="1A68D2F3"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vMerge/>
          </w:tcPr>
          <w:p w14:paraId="7C1CAF32" w14:textId="77777777" w:rsidR="00F856B5" w:rsidRPr="00560F62" w:rsidRDefault="00F856B5">
            <w:pPr>
              <w:rPr>
                <w:rFonts w:ascii="Times New Roman" w:hAnsi="Times New Roman" w:cs="Times New Roman"/>
                <w:sz w:val="20"/>
                <w:szCs w:val="20"/>
              </w:rPr>
            </w:pPr>
          </w:p>
        </w:tc>
        <w:tc>
          <w:tcPr>
            <w:tcW w:w="765" w:type="dxa"/>
          </w:tcPr>
          <w:p w14:paraId="737A02D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2020</w:t>
            </w:r>
          </w:p>
        </w:tc>
        <w:tc>
          <w:tcPr>
            <w:tcW w:w="764" w:type="dxa"/>
          </w:tcPr>
          <w:p w14:paraId="2ACB6DF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2021</w:t>
            </w:r>
          </w:p>
        </w:tc>
        <w:tc>
          <w:tcPr>
            <w:tcW w:w="765" w:type="dxa"/>
          </w:tcPr>
          <w:p w14:paraId="594736D6"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2022</w:t>
            </w:r>
          </w:p>
        </w:tc>
        <w:tc>
          <w:tcPr>
            <w:tcW w:w="766" w:type="dxa"/>
          </w:tcPr>
          <w:p w14:paraId="1C0F84D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 xml:space="preserve">Total </w:t>
            </w:r>
          </w:p>
        </w:tc>
      </w:tr>
      <w:tr w:rsidR="00F856B5" w:rsidRPr="00560F62" w14:paraId="214FE37A"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5715" w:type="dxa"/>
          </w:tcPr>
          <w:p w14:paraId="427184C0"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Project-based Learning (ABEP)</w:t>
            </w:r>
          </w:p>
        </w:tc>
        <w:tc>
          <w:tcPr>
            <w:tcW w:w="765" w:type="dxa"/>
          </w:tcPr>
          <w:p w14:paraId="17FE96BD"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1CE99419"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w:t>
            </w:r>
          </w:p>
        </w:tc>
        <w:tc>
          <w:tcPr>
            <w:tcW w:w="765" w:type="dxa"/>
          </w:tcPr>
          <w:p w14:paraId="47E348D7"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756E3E10"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w:t>
            </w:r>
          </w:p>
        </w:tc>
      </w:tr>
      <w:tr w:rsidR="00F856B5" w:rsidRPr="00560F62" w14:paraId="23A10603"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tcPr>
          <w:p w14:paraId="10D675F2"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Action against Cyberbullying (AFAC)</w:t>
            </w:r>
          </w:p>
        </w:tc>
        <w:tc>
          <w:tcPr>
            <w:tcW w:w="765" w:type="dxa"/>
          </w:tcPr>
          <w:p w14:paraId="0E77885A"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1AB6AA75"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6CB60219"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1D7B70BF"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4664B684"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5715" w:type="dxa"/>
          </w:tcPr>
          <w:p w14:paraId="73706486"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Cooperative Learning (APCO)</w:t>
            </w:r>
          </w:p>
        </w:tc>
        <w:tc>
          <w:tcPr>
            <w:tcW w:w="765" w:type="dxa"/>
          </w:tcPr>
          <w:p w14:paraId="39CD54CD"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153B1A83"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1774C57F"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75C94B8F"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7ABC745C"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tcPr>
          <w:p w14:paraId="20BAD2AD"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Digital Skills for Teachers I (CDDI)</w:t>
            </w:r>
          </w:p>
        </w:tc>
        <w:tc>
          <w:tcPr>
            <w:tcW w:w="765" w:type="dxa"/>
          </w:tcPr>
          <w:p w14:paraId="3A30FFD4"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04D33EB6"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371985AA"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6929916A"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1899D004"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5715" w:type="dxa"/>
          </w:tcPr>
          <w:p w14:paraId="2AC8D9FF"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Digital Skills for Teachers II (CDII)</w:t>
            </w:r>
          </w:p>
        </w:tc>
        <w:tc>
          <w:tcPr>
            <w:tcW w:w="765" w:type="dxa"/>
          </w:tcPr>
          <w:p w14:paraId="765FC6C1"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5358C004"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0ECB347F"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24A993DA"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7B8B7F23"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tcPr>
          <w:p w14:paraId="5FCDD74F"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Digital Skills for Teachers III (CIII)</w:t>
            </w:r>
          </w:p>
        </w:tc>
        <w:tc>
          <w:tcPr>
            <w:tcW w:w="765" w:type="dxa"/>
          </w:tcPr>
          <w:p w14:paraId="76C9D1D4"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3783B3F1"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529AFD31"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1EF01612"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2F21A46C"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5715" w:type="dxa"/>
          </w:tcPr>
          <w:p w14:paraId="3199504F"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Affective Communication in the Classroom (CAEA)</w:t>
            </w:r>
          </w:p>
        </w:tc>
        <w:tc>
          <w:tcPr>
            <w:tcW w:w="765" w:type="dxa"/>
          </w:tcPr>
          <w:p w14:paraId="61AAC46F"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6F3EB914"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w:t>
            </w:r>
          </w:p>
        </w:tc>
        <w:tc>
          <w:tcPr>
            <w:tcW w:w="765" w:type="dxa"/>
          </w:tcPr>
          <w:p w14:paraId="544F1D8A"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6" w:type="dxa"/>
          </w:tcPr>
          <w:p w14:paraId="7A2D18E9"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28236C93"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tcPr>
          <w:p w14:paraId="38AD8DCA"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Skills for a Life of Peace (DEST)</w:t>
            </w:r>
          </w:p>
        </w:tc>
        <w:tc>
          <w:tcPr>
            <w:tcW w:w="765" w:type="dxa"/>
          </w:tcPr>
          <w:p w14:paraId="75254DF4"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332C8619"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4E213BAE"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6BFB70CE"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696BBC7B"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5715" w:type="dxa"/>
          </w:tcPr>
          <w:p w14:paraId="7208FFDE"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Learning Difficulties (DLAP)</w:t>
            </w:r>
          </w:p>
        </w:tc>
        <w:tc>
          <w:tcPr>
            <w:tcW w:w="765" w:type="dxa"/>
          </w:tcPr>
          <w:p w14:paraId="5E4CD7E4"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45032390"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w:t>
            </w:r>
          </w:p>
        </w:tc>
        <w:tc>
          <w:tcPr>
            <w:tcW w:w="765" w:type="dxa"/>
          </w:tcPr>
          <w:p w14:paraId="24782E12"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6" w:type="dxa"/>
          </w:tcPr>
          <w:p w14:paraId="318C2B74"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w:t>
            </w:r>
          </w:p>
        </w:tc>
      </w:tr>
      <w:tr w:rsidR="00F856B5" w:rsidRPr="00560F62" w14:paraId="33B0DBF8" w14:textId="77777777" w:rsidTr="00560F6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715" w:type="dxa"/>
          </w:tcPr>
          <w:p w14:paraId="652AB57D"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School Bullying: Prevention, Detection, and Action (APDA)</w:t>
            </w:r>
          </w:p>
        </w:tc>
        <w:tc>
          <w:tcPr>
            <w:tcW w:w="765" w:type="dxa"/>
          </w:tcPr>
          <w:p w14:paraId="32817173"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2AEA17FA"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5" w:type="dxa"/>
          </w:tcPr>
          <w:p w14:paraId="71A6AB6F"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6" w:type="dxa"/>
          </w:tcPr>
          <w:p w14:paraId="220BA475" w14:textId="77777777" w:rsidR="00F856B5" w:rsidRPr="00560F62"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w:t>
            </w:r>
          </w:p>
        </w:tc>
      </w:tr>
      <w:tr w:rsidR="00F856B5" w:rsidRPr="00560F62" w14:paraId="5F726078" w14:textId="77777777" w:rsidTr="00560F62">
        <w:trPr>
          <w:trHeight w:val="240"/>
        </w:trPr>
        <w:tc>
          <w:tcPr>
            <w:cnfStyle w:val="001000000000" w:firstRow="0" w:lastRow="0" w:firstColumn="1" w:lastColumn="0" w:oddVBand="0" w:evenVBand="0" w:oddHBand="0" w:evenHBand="0" w:firstRowFirstColumn="0" w:firstRowLastColumn="0" w:lastRowFirstColumn="0" w:lastRowLastColumn="0"/>
            <w:tcW w:w="5715" w:type="dxa"/>
          </w:tcPr>
          <w:p w14:paraId="22F38D2A"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Dyslexia in the Classroom (DEEA)</w:t>
            </w:r>
          </w:p>
        </w:tc>
        <w:tc>
          <w:tcPr>
            <w:tcW w:w="765" w:type="dxa"/>
          </w:tcPr>
          <w:p w14:paraId="747B5674"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4" w:type="dxa"/>
          </w:tcPr>
          <w:p w14:paraId="3AB083F2"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w:t>
            </w:r>
          </w:p>
        </w:tc>
        <w:tc>
          <w:tcPr>
            <w:tcW w:w="765" w:type="dxa"/>
          </w:tcPr>
          <w:p w14:paraId="20C2B2A8"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w:t>
            </w:r>
          </w:p>
        </w:tc>
        <w:tc>
          <w:tcPr>
            <w:tcW w:w="766" w:type="dxa"/>
          </w:tcPr>
          <w:p w14:paraId="684CA567" w14:textId="77777777" w:rsidR="00F856B5" w:rsidRPr="00560F62"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w:t>
            </w:r>
          </w:p>
        </w:tc>
      </w:tr>
    </w:tbl>
    <w:p w14:paraId="41EBC5B1" w14:textId="77777777" w:rsidR="00F856B5" w:rsidRDefault="00F856B5">
      <w:pPr>
        <w:jc w:val="both"/>
        <w:rPr>
          <w:rFonts w:ascii="Times New Roman" w:eastAsia="Times New Roman" w:hAnsi="Times New Roman" w:cs="Times New Roman"/>
        </w:rPr>
      </w:pPr>
    </w:p>
    <w:p w14:paraId="0D0BF8F0" w14:textId="59147A5B"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7E8E7E1E">
        <w:rPr>
          <w:rFonts w:ascii="Times New Roman" w:hAnsi="Times New Roman" w:cs="Times New Roman"/>
          <w:sz w:val="24"/>
          <w:szCs w:val="24"/>
        </w:rPr>
        <w:t xml:space="preserve">Education in Ecuador is regulated by </w:t>
      </w:r>
      <w:r w:rsidR="5BE1B99A" w:rsidRPr="7E8E7E1E">
        <w:rPr>
          <w:rFonts w:ascii="Times New Roman" w:hAnsi="Times New Roman" w:cs="Times New Roman"/>
          <w:sz w:val="24"/>
          <w:szCs w:val="24"/>
        </w:rPr>
        <w:t>four</w:t>
      </w:r>
      <w:r w:rsidRPr="7E8E7E1E">
        <w:rPr>
          <w:rFonts w:ascii="Times New Roman" w:hAnsi="Times New Roman" w:cs="Times New Roman"/>
          <w:sz w:val="24"/>
          <w:szCs w:val="24"/>
        </w:rPr>
        <w:t xml:space="preserve"> types of models according to the type of funding: public (managed by public administration), fiscomisional (which receives funding from both public and private sources), municipal (public management with part of the education specific to the municipality that governs it), and private. </w:t>
      </w:r>
    </w:p>
    <w:p w14:paraId="4FB37AC5" w14:textId="77777777" w:rsidR="00F856B5" w:rsidRPr="00CE35AA" w:rsidRDefault="009F7ECA" w:rsidP="00CE35AA">
      <w:pPr>
        <w:keepLines/>
        <w:spacing w:after="200" w:line="480" w:lineRule="auto"/>
        <w:rPr>
          <w:rFonts w:ascii="Times New Roman" w:eastAsia="Times New Roman" w:hAnsi="Times New Roman" w:cs="Times New Roman"/>
          <w:b/>
          <w:bCs/>
          <w:sz w:val="24"/>
          <w:szCs w:val="24"/>
        </w:rPr>
      </w:pPr>
      <w:r w:rsidRPr="00CE35AA">
        <w:rPr>
          <w:rFonts w:ascii="Times New Roman" w:hAnsi="Times New Roman" w:cs="Times New Roman"/>
          <w:b/>
          <w:sz w:val="24"/>
          <w:szCs w:val="24"/>
        </w:rPr>
        <w:t>Table 4</w:t>
      </w:r>
    </w:p>
    <w:p w14:paraId="3379A664" w14:textId="77777777" w:rsidR="00F856B5" w:rsidRPr="00CE35AA" w:rsidRDefault="009F7ECA" w:rsidP="00CE35AA">
      <w:pPr>
        <w:keepLines/>
        <w:spacing w:after="200" w:line="480" w:lineRule="auto"/>
        <w:rPr>
          <w:rFonts w:ascii="Times New Roman" w:eastAsia="Times New Roman" w:hAnsi="Times New Roman" w:cs="Times New Roman"/>
          <w:i/>
          <w:iCs/>
          <w:sz w:val="24"/>
          <w:szCs w:val="24"/>
        </w:rPr>
      </w:pPr>
      <w:r w:rsidRPr="00CE35AA">
        <w:rPr>
          <w:rFonts w:ascii="Times New Roman" w:hAnsi="Times New Roman" w:cs="Times New Roman"/>
          <w:i/>
          <w:sz w:val="24"/>
          <w:szCs w:val="24"/>
        </w:rPr>
        <w:t xml:space="preserve">Distribution of students in Ecuador by establishment type </w:t>
      </w:r>
    </w:p>
    <w:tbl>
      <w:tblPr>
        <w:tblStyle w:val="PlainTable2"/>
        <w:tblW w:w="5040" w:type="dxa"/>
        <w:tblLayout w:type="fixed"/>
        <w:tblLook w:val="04A0" w:firstRow="1" w:lastRow="0" w:firstColumn="1" w:lastColumn="0" w:noHBand="0" w:noVBand="1"/>
      </w:tblPr>
      <w:tblGrid>
        <w:gridCol w:w="1576"/>
        <w:gridCol w:w="1155"/>
        <w:gridCol w:w="1154"/>
        <w:gridCol w:w="1155"/>
      </w:tblGrid>
      <w:tr w:rsidR="00F856B5" w:rsidRPr="00560F62" w14:paraId="2A83D19B" w14:textId="77777777" w:rsidTr="00560F6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9" w:type="dxa"/>
            <w:gridSpan w:val="4"/>
          </w:tcPr>
          <w:p w14:paraId="5CF12776"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Students by institution funding type</w:t>
            </w:r>
          </w:p>
        </w:tc>
      </w:tr>
      <w:tr w:rsidR="00F856B5" w:rsidRPr="00560F62" w14:paraId="62AD671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Pr>
          <w:p w14:paraId="1E0CE4D4"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lastRenderedPageBreak/>
              <w:t>Funding</w:t>
            </w:r>
          </w:p>
        </w:tc>
        <w:tc>
          <w:tcPr>
            <w:tcW w:w="1155" w:type="dxa"/>
          </w:tcPr>
          <w:p w14:paraId="6FB3515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2019-2020</w:t>
            </w:r>
          </w:p>
        </w:tc>
        <w:tc>
          <w:tcPr>
            <w:tcW w:w="1154" w:type="dxa"/>
          </w:tcPr>
          <w:p w14:paraId="4D45270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2020-2021</w:t>
            </w:r>
          </w:p>
        </w:tc>
        <w:tc>
          <w:tcPr>
            <w:tcW w:w="1155" w:type="dxa"/>
          </w:tcPr>
          <w:p w14:paraId="70F784C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2021-2022</w:t>
            </w:r>
          </w:p>
        </w:tc>
      </w:tr>
      <w:tr w:rsidR="00F856B5" w:rsidRPr="00560F62" w14:paraId="0812F76C"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31598C97"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Total</w:t>
            </w:r>
          </w:p>
        </w:tc>
        <w:tc>
          <w:tcPr>
            <w:tcW w:w="1155" w:type="dxa"/>
          </w:tcPr>
          <w:p w14:paraId="53735A8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4,407,030</w:t>
            </w:r>
          </w:p>
        </w:tc>
        <w:tc>
          <w:tcPr>
            <w:tcW w:w="1154" w:type="dxa"/>
          </w:tcPr>
          <w:p w14:paraId="0B6455B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4,314,777</w:t>
            </w:r>
          </w:p>
        </w:tc>
        <w:tc>
          <w:tcPr>
            <w:tcW w:w="1155" w:type="dxa"/>
          </w:tcPr>
          <w:p w14:paraId="233A210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4,309,139</w:t>
            </w:r>
          </w:p>
        </w:tc>
      </w:tr>
      <w:tr w:rsidR="00F856B5" w:rsidRPr="00560F62" w14:paraId="471E4222"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5AAA9BD6" w14:textId="77777777" w:rsidR="00F856B5" w:rsidRPr="00560F62" w:rsidRDefault="00F856B5">
            <w:pPr>
              <w:rPr>
                <w:rFonts w:ascii="Times New Roman" w:hAnsi="Times New Roman" w:cs="Times New Roman"/>
                <w:sz w:val="20"/>
                <w:szCs w:val="20"/>
              </w:rPr>
            </w:pPr>
          </w:p>
        </w:tc>
        <w:tc>
          <w:tcPr>
            <w:tcW w:w="1155" w:type="dxa"/>
          </w:tcPr>
          <w:p w14:paraId="5E29440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c>
          <w:tcPr>
            <w:tcW w:w="1154" w:type="dxa"/>
          </w:tcPr>
          <w:p w14:paraId="70236781"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c>
          <w:tcPr>
            <w:tcW w:w="1155" w:type="dxa"/>
          </w:tcPr>
          <w:p w14:paraId="1946AB1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r>
      <w:tr w:rsidR="00F856B5" w:rsidRPr="00560F62" w14:paraId="0C991B75"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6EDBF5B4"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Public</w:t>
            </w:r>
          </w:p>
        </w:tc>
        <w:tc>
          <w:tcPr>
            <w:tcW w:w="1155" w:type="dxa"/>
          </w:tcPr>
          <w:p w14:paraId="076DF50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3,219,939</w:t>
            </w:r>
          </w:p>
        </w:tc>
        <w:tc>
          <w:tcPr>
            <w:tcW w:w="1154" w:type="dxa"/>
          </w:tcPr>
          <w:p w14:paraId="205EB48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3,297,505</w:t>
            </w:r>
          </w:p>
        </w:tc>
        <w:tc>
          <w:tcPr>
            <w:tcW w:w="1155" w:type="dxa"/>
          </w:tcPr>
          <w:p w14:paraId="6C40CA2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3,324,405</w:t>
            </w:r>
          </w:p>
        </w:tc>
      </w:tr>
      <w:tr w:rsidR="00F856B5" w:rsidRPr="00560F62" w14:paraId="3353B546"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68BF1BC3" w14:textId="77777777" w:rsidR="00F856B5" w:rsidRPr="00560F62" w:rsidRDefault="00F856B5">
            <w:pPr>
              <w:rPr>
                <w:rFonts w:ascii="Times New Roman" w:hAnsi="Times New Roman" w:cs="Times New Roman"/>
                <w:sz w:val="20"/>
                <w:szCs w:val="20"/>
              </w:rPr>
            </w:pPr>
          </w:p>
        </w:tc>
        <w:tc>
          <w:tcPr>
            <w:tcW w:w="1155" w:type="dxa"/>
          </w:tcPr>
          <w:p w14:paraId="0698F3E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73.06%</w:t>
            </w:r>
          </w:p>
        </w:tc>
        <w:tc>
          <w:tcPr>
            <w:tcW w:w="1154" w:type="dxa"/>
          </w:tcPr>
          <w:p w14:paraId="34D1227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76.42%</w:t>
            </w:r>
          </w:p>
        </w:tc>
        <w:tc>
          <w:tcPr>
            <w:tcW w:w="1155" w:type="dxa"/>
          </w:tcPr>
          <w:p w14:paraId="5623B7E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77.15%</w:t>
            </w:r>
          </w:p>
        </w:tc>
      </w:tr>
      <w:tr w:rsidR="00F856B5" w:rsidRPr="00560F62" w14:paraId="3A47A3BA"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2D5DFE6B"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Fiscomisional</w:t>
            </w:r>
          </w:p>
        </w:tc>
        <w:tc>
          <w:tcPr>
            <w:tcW w:w="1155" w:type="dxa"/>
          </w:tcPr>
          <w:p w14:paraId="09F62D5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286,382</w:t>
            </w:r>
          </w:p>
        </w:tc>
        <w:tc>
          <w:tcPr>
            <w:tcW w:w="1154" w:type="dxa"/>
          </w:tcPr>
          <w:p w14:paraId="4436D7C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269,742</w:t>
            </w:r>
          </w:p>
        </w:tc>
        <w:tc>
          <w:tcPr>
            <w:tcW w:w="1155" w:type="dxa"/>
          </w:tcPr>
          <w:p w14:paraId="070086F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259,054</w:t>
            </w:r>
          </w:p>
        </w:tc>
      </w:tr>
      <w:tr w:rsidR="00F856B5" w:rsidRPr="00560F62" w14:paraId="7BF99659"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6960EE29" w14:textId="77777777" w:rsidR="00F856B5" w:rsidRPr="00560F62" w:rsidRDefault="00F856B5">
            <w:pPr>
              <w:rPr>
                <w:rFonts w:ascii="Times New Roman" w:hAnsi="Times New Roman" w:cs="Times New Roman"/>
                <w:sz w:val="20"/>
                <w:szCs w:val="20"/>
              </w:rPr>
            </w:pPr>
          </w:p>
        </w:tc>
        <w:tc>
          <w:tcPr>
            <w:tcW w:w="1155" w:type="dxa"/>
          </w:tcPr>
          <w:p w14:paraId="469D81B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6.50%</w:t>
            </w:r>
          </w:p>
        </w:tc>
        <w:tc>
          <w:tcPr>
            <w:tcW w:w="1154" w:type="dxa"/>
          </w:tcPr>
          <w:p w14:paraId="23856B99"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6.25%</w:t>
            </w:r>
          </w:p>
        </w:tc>
        <w:tc>
          <w:tcPr>
            <w:tcW w:w="1155" w:type="dxa"/>
          </w:tcPr>
          <w:p w14:paraId="507D8F91"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6.01%</w:t>
            </w:r>
          </w:p>
        </w:tc>
      </w:tr>
      <w:tr w:rsidR="00F856B5" w:rsidRPr="00560F62" w14:paraId="01B319B0"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3109CB05"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Municipal</w:t>
            </w:r>
          </w:p>
        </w:tc>
        <w:tc>
          <w:tcPr>
            <w:tcW w:w="1155" w:type="dxa"/>
          </w:tcPr>
          <w:p w14:paraId="5FBE4DD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35,191</w:t>
            </w:r>
          </w:p>
        </w:tc>
        <w:tc>
          <w:tcPr>
            <w:tcW w:w="1154" w:type="dxa"/>
          </w:tcPr>
          <w:p w14:paraId="22BE095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34,173</w:t>
            </w:r>
          </w:p>
        </w:tc>
        <w:tc>
          <w:tcPr>
            <w:tcW w:w="1155" w:type="dxa"/>
          </w:tcPr>
          <w:p w14:paraId="6F78A08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33,652</w:t>
            </w:r>
          </w:p>
        </w:tc>
      </w:tr>
      <w:tr w:rsidR="00F856B5" w:rsidRPr="00560F62" w14:paraId="7425FFA0"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4EED22B8" w14:textId="77777777" w:rsidR="00F856B5" w:rsidRPr="00560F62" w:rsidRDefault="00F856B5">
            <w:pPr>
              <w:rPr>
                <w:rFonts w:ascii="Times New Roman" w:hAnsi="Times New Roman" w:cs="Times New Roman"/>
                <w:sz w:val="20"/>
                <w:szCs w:val="20"/>
              </w:rPr>
            </w:pPr>
          </w:p>
        </w:tc>
        <w:tc>
          <w:tcPr>
            <w:tcW w:w="1155" w:type="dxa"/>
          </w:tcPr>
          <w:p w14:paraId="7A59C60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0.80%</w:t>
            </w:r>
          </w:p>
        </w:tc>
        <w:tc>
          <w:tcPr>
            <w:tcW w:w="1154" w:type="dxa"/>
          </w:tcPr>
          <w:p w14:paraId="610E3169"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0.79%</w:t>
            </w:r>
          </w:p>
        </w:tc>
        <w:tc>
          <w:tcPr>
            <w:tcW w:w="1155" w:type="dxa"/>
          </w:tcPr>
          <w:p w14:paraId="788A7E8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0.78%</w:t>
            </w:r>
          </w:p>
        </w:tc>
      </w:tr>
      <w:tr w:rsidR="00F856B5" w:rsidRPr="00560F62" w14:paraId="0B5AF467"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70CC88A5"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Private</w:t>
            </w:r>
          </w:p>
        </w:tc>
        <w:tc>
          <w:tcPr>
            <w:tcW w:w="1155" w:type="dxa"/>
          </w:tcPr>
          <w:p w14:paraId="71A314F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865,518</w:t>
            </w:r>
          </w:p>
        </w:tc>
        <w:tc>
          <w:tcPr>
            <w:tcW w:w="1154" w:type="dxa"/>
          </w:tcPr>
          <w:p w14:paraId="1867CDF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713,357</w:t>
            </w:r>
          </w:p>
        </w:tc>
        <w:tc>
          <w:tcPr>
            <w:tcW w:w="1155" w:type="dxa"/>
          </w:tcPr>
          <w:p w14:paraId="6154C01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692,028</w:t>
            </w:r>
          </w:p>
        </w:tc>
      </w:tr>
      <w:tr w:rsidR="00F856B5" w:rsidRPr="00560F62" w14:paraId="6A95E65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3B5EBB0E" w14:textId="77777777" w:rsidR="00F856B5" w:rsidRPr="00560F62" w:rsidRDefault="00F856B5">
            <w:pPr>
              <w:rPr>
                <w:rFonts w:ascii="Times New Roman" w:hAnsi="Times New Roman" w:cs="Times New Roman"/>
                <w:sz w:val="20"/>
                <w:szCs w:val="20"/>
              </w:rPr>
            </w:pPr>
          </w:p>
        </w:tc>
        <w:tc>
          <w:tcPr>
            <w:tcW w:w="1155" w:type="dxa"/>
          </w:tcPr>
          <w:p w14:paraId="3C3AE54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19.64%</w:t>
            </w:r>
          </w:p>
        </w:tc>
        <w:tc>
          <w:tcPr>
            <w:tcW w:w="1154" w:type="dxa"/>
          </w:tcPr>
          <w:p w14:paraId="3A7B6CF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16.53%</w:t>
            </w:r>
          </w:p>
        </w:tc>
        <w:tc>
          <w:tcPr>
            <w:tcW w:w="1155" w:type="dxa"/>
          </w:tcPr>
          <w:p w14:paraId="2C0F860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16.06%</w:t>
            </w:r>
          </w:p>
        </w:tc>
      </w:tr>
    </w:tbl>
    <w:p w14:paraId="13B2F7CB" w14:textId="77777777" w:rsidR="00F856B5" w:rsidRPr="00CE35AA" w:rsidRDefault="009F7ECA" w:rsidP="00CE35AA">
      <w:pPr>
        <w:keepLines/>
        <w:spacing w:before="120" w:after="120" w:line="480" w:lineRule="auto"/>
        <w:rPr>
          <w:rFonts w:ascii="Times New Roman" w:eastAsia="Times New Roman" w:hAnsi="Times New Roman" w:cs="Times New Roman"/>
          <w:sz w:val="24"/>
          <w:szCs w:val="24"/>
        </w:rPr>
      </w:pPr>
      <w:r w:rsidRPr="00CE35AA">
        <w:rPr>
          <w:rFonts w:ascii="Times New Roman" w:hAnsi="Times New Roman" w:cs="Times New Roman"/>
          <w:sz w:val="24"/>
          <w:szCs w:val="24"/>
        </w:rPr>
        <w:t xml:space="preserve">Source: </w:t>
      </w:r>
      <w:hyperlink r:id="rId12">
        <w:r w:rsidRPr="00CE35AA">
          <w:rPr>
            <w:rStyle w:val="Hyperlink"/>
            <w:rFonts w:ascii="Times New Roman" w:hAnsi="Times New Roman" w:cs="Times New Roman"/>
            <w:color w:val="auto"/>
            <w:sz w:val="24"/>
            <w:szCs w:val="24"/>
          </w:rPr>
          <w:t>Ministry of Education (MINEDUC)</w:t>
        </w:r>
      </w:hyperlink>
      <w:r w:rsidRPr="00CE35AA">
        <w:rPr>
          <w:rStyle w:val="Hyperlink"/>
          <w:rFonts w:ascii="Times New Roman" w:hAnsi="Times New Roman" w:cs="Times New Roman"/>
          <w:color w:val="auto"/>
          <w:sz w:val="24"/>
          <w:szCs w:val="24"/>
        </w:rPr>
        <w:t xml:space="preserve"> 2022</w:t>
      </w:r>
    </w:p>
    <w:p w14:paraId="53D8EC34"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cs="Times New Roman"/>
          <w:sz w:val="24"/>
          <w:szCs w:val="24"/>
        </w:rPr>
        <w:t xml:space="preserve">The school age population is 4,300,000. The majority of students receive a public education (approximately 75%), followed by private (16%), fiscomisional (6%), and municipal (less than 1%). </w:t>
      </w:r>
    </w:p>
    <w:p w14:paraId="43EA6F57"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cs="Times New Roman"/>
          <w:sz w:val="24"/>
          <w:szCs w:val="24"/>
        </w:rPr>
        <w:t>Looking at the number of institutions of each type, we find the following:</w:t>
      </w:r>
    </w:p>
    <w:p w14:paraId="13BE3E64" w14:textId="77777777" w:rsidR="00F856B5" w:rsidRPr="00CE35AA" w:rsidRDefault="00F856B5" w:rsidP="00CE35AA">
      <w:pPr>
        <w:keepLines/>
        <w:spacing w:before="120" w:after="120" w:line="480" w:lineRule="auto"/>
        <w:rPr>
          <w:rFonts w:ascii="Times New Roman" w:eastAsia="Times New Roman" w:hAnsi="Times New Roman" w:cs="Times New Roman"/>
          <w:sz w:val="24"/>
          <w:szCs w:val="24"/>
        </w:rPr>
      </w:pPr>
    </w:p>
    <w:p w14:paraId="046C3762" w14:textId="77777777" w:rsidR="00F856B5" w:rsidRPr="00CE35AA" w:rsidRDefault="009F7ECA" w:rsidP="00CE35AA">
      <w:pPr>
        <w:keepLines/>
        <w:spacing w:after="200" w:line="480" w:lineRule="auto"/>
        <w:rPr>
          <w:rFonts w:ascii="Times New Roman" w:eastAsia="Times New Roman" w:hAnsi="Times New Roman" w:cs="Times New Roman"/>
          <w:b/>
          <w:bCs/>
          <w:sz w:val="24"/>
          <w:szCs w:val="24"/>
        </w:rPr>
      </w:pPr>
      <w:r w:rsidRPr="00CE35AA">
        <w:rPr>
          <w:rFonts w:ascii="Times New Roman" w:hAnsi="Times New Roman" w:cs="Times New Roman"/>
          <w:b/>
          <w:sz w:val="24"/>
          <w:szCs w:val="24"/>
        </w:rPr>
        <w:t>Table 5</w:t>
      </w:r>
    </w:p>
    <w:p w14:paraId="46954ECB" w14:textId="77777777" w:rsidR="00F856B5" w:rsidRPr="00CE35AA" w:rsidRDefault="009F7ECA" w:rsidP="00CE35AA">
      <w:pPr>
        <w:keepLines/>
        <w:spacing w:after="200" w:line="480" w:lineRule="auto"/>
        <w:rPr>
          <w:rFonts w:ascii="Times New Roman" w:eastAsia="Times New Roman" w:hAnsi="Times New Roman" w:cs="Times New Roman"/>
          <w:i/>
          <w:iCs/>
          <w:sz w:val="24"/>
          <w:szCs w:val="24"/>
        </w:rPr>
      </w:pPr>
      <w:r w:rsidRPr="00CE35AA">
        <w:rPr>
          <w:rFonts w:ascii="Times New Roman" w:hAnsi="Times New Roman" w:cs="Times New Roman"/>
          <w:i/>
          <w:sz w:val="24"/>
          <w:szCs w:val="24"/>
        </w:rPr>
        <w:t xml:space="preserve">Distribution of educational institutions in Ecuador by type of financing </w:t>
      </w:r>
    </w:p>
    <w:tbl>
      <w:tblPr>
        <w:tblStyle w:val="PlainTable2"/>
        <w:tblW w:w="5040" w:type="dxa"/>
        <w:tblLayout w:type="fixed"/>
        <w:tblLook w:val="04A0" w:firstRow="1" w:lastRow="0" w:firstColumn="1" w:lastColumn="0" w:noHBand="0" w:noVBand="1"/>
      </w:tblPr>
      <w:tblGrid>
        <w:gridCol w:w="1576"/>
        <w:gridCol w:w="1155"/>
        <w:gridCol w:w="1154"/>
        <w:gridCol w:w="1155"/>
      </w:tblGrid>
      <w:tr w:rsidR="00F856B5" w:rsidRPr="00560F62" w14:paraId="3C5FCCE2" w14:textId="77777777" w:rsidTr="00560F6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39" w:type="dxa"/>
            <w:gridSpan w:val="4"/>
          </w:tcPr>
          <w:p w14:paraId="68FC9151"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Educational institutions by type of funding</w:t>
            </w:r>
          </w:p>
        </w:tc>
      </w:tr>
      <w:tr w:rsidR="00F856B5" w:rsidRPr="00560F62" w14:paraId="29BB44B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Pr>
          <w:p w14:paraId="4243C8A0"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Funding</w:t>
            </w:r>
          </w:p>
        </w:tc>
        <w:tc>
          <w:tcPr>
            <w:tcW w:w="1155" w:type="dxa"/>
          </w:tcPr>
          <w:p w14:paraId="3D7489C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 xml:space="preserve">2019-2020 </w:t>
            </w:r>
          </w:p>
        </w:tc>
        <w:tc>
          <w:tcPr>
            <w:tcW w:w="1154" w:type="dxa"/>
          </w:tcPr>
          <w:p w14:paraId="3AD56C9B"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2020-2021</w:t>
            </w:r>
          </w:p>
        </w:tc>
        <w:tc>
          <w:tcPr>
            <w:tcW w:w="1155" w:type="dxa"/>
          </w:tcPr>
          <w:p w14:paraId="28B458B1"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2021-2022</w:t>
            </w:r>
          </w:p>
        </w:tc>
      </w:tr>
      <w:tr w:rsidR="00F856B5" w:rsidRPr="00560F62" w14:paraId="61894D91"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1048B040"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 xml:space="preserve">Total </w:t>
            </w:r>
          </w:p>
        </w:tc>
        <w:tc>
          <w:tcPr>
            <w:tcW w:w="1155" w:type="dxa"/>
          </w:tcPr>
          <w:p w14:paraId="4F9E337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16,423</w:t>
            </w:r>
          </w:p>
        </w:tc>
        <w:tc>
          <w:tcPr>
            <w:tcW w:w="1154" w:type="dxa"/>
          </w:tcPr>
          <w:p w14:paraId="0328EFC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16,209</w:t>
            </w:r>
          </w:p>
        </w:tc>
        <w:tc>
          <w:tcPr>
            <w:tcW w:w="1155" w:type="dxa"/>
          </w:tcPr>
          <w:p w14:paraId="5483DB8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16,095</w:t>
            </w:r>
          </w:p>
        </w:tc>
      </w:tr>
      <w:tr w:rsidR="00F856B5" w:rsidRPr="00560F62" w14:paraId="2A76B72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6B7192C2" w14:textId="77777777" w:rsidR="00F856B5" w:rsidRPr="00560F62" w:rsidRDefault="00F856B5">
            <w:pPr>
              <w:rPr>
                <w:rFonts w:ascii="Times New Roman" w:hAnsi="Times New Roman" w:cs="Times New Roman"/>
                <w:sz w:val="20"/>
                <w:szCs w:val="20"/>
              </w:rPr>
            </w:pPr>
          </w:p>
        </w:tc>
        <w:tc>
          <w:tcPr>
            <w:tcW w:w="1155" w:type="dxa"/>
          </w:tcPr>
          <w:p w14:paraId="7F18099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c>
          <w:tcPr>
            <w:tcW w:w="1154" w:type="dxa"/>
          </w:tcPr>
          <w:p w14:paraId="583411D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c>
          <w:tcPr>
            <w:tcW w:w="1155" w:type="dxa"/>
          </w:tcPr>
          <w:p w14:paraId="609E0D7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r>
      <w:tr w:rsidR="00F856B5" w:rsidRPr="00560F62" w14:paraId="7571778F"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275D9D8D"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Public</w:t>
            </w:r>
          </w:p>
        </w:tc>
        <w:tc>
          <w:tcPr>
            <w:tcW w:w="1155" w:type="dxa"/>
          </w:tcPr>
          <w:p w14:paraId="4D71F527"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12,385</w:t>
            </w:r>
          </w:p>
        </w:tc>
        <w:tc>
          <w:tcPr>
            <w:tcW w:w="1154" w:type="dxa"/>
          </w:tcPr>
          <w:p w14:paraId="27D6A53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12,383</w:t>
            </w:r>
          </w:p>
        </w:tc>
        <w:tc>
          <w:tcPr>
            <w:tcW w:w="1155" w:type="dxa"/>
          </w:tcPr>
          <w:p w14:paraId="708D3D31"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12,367</w:t>
            </w:r>
          </w:p>
        </w:tc>
      </w:tr>
      <w:tr w:rsidR="00F856B5" w:rsidRPr="00560F62" w14:paraId="4973585E"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1D04A568" w14:textId="77777777" w:rsidR="00F856B5" w:rsidRPr="00560F62" w:rsidRDefault="00F856B5">
            <w:pPr>
              <w:rPr>
                <w:rFonts w:ascii="Times New Roman" w:hAnsi="Times New Roman" w:cs="Times New Roman"/>
                <w:sz w:val="20"/>
                <w:szCs w:val="20"/>
              </w:rPr>
            </w:pPr>
          </w:p>
        </w:tc>
        <w:tc>
          <w:tcPr>
            <w:tcW w:w="1155" w:type="dxa"/>
          </w:tcPr>
          <w:p w14:paraId="564A5561"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75.41%</w:t>
            </w:r>
          </w:p>
        </w:tc>
        <w:tc>
          <w:tcPr>
            <w:tcW w:w="1154" w:type="dxa"/>
          </w:tcPr>
          <w:p w14:paraId="7CBA58D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76.40%</w:t>
            </w:r>
          </w:p>
        </w:tc>
        <w:tc>
          <w:tcPr>
            <w:tcW w:w="1155" w:type="dxa"/>
          </w:tcPr>
          <w:p w14:paraId="13EEC11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76.84%</w:t>
            </w:r>
          </w:p>
        </w:tc>
      </w:tr>
      <w:tr w:rsidR="00F856B5" w:rsidRPr="00560F62" w14:paraId="4E964DA7"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6911D807"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Fiscomisional</w:t>
            </w:r>
          </w:p>
        </w:tc>
        <w:tc>
          <w:tcPr>
            <w:tcW w:w="1155" w:type="dxa"/>
          </w:tcPr>
          <w:p w14:paraId="6C99622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669</w:t>
            </w:r>
          </w:p>
        </w:tc>
        <w:tc>
          <w:tcPr>
            <w:tcW w:w="1154" w:type="dxa"/>
          </w:tcPr>
          <w:p w14:paraId="535660C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652</w:t>
            </w:r>
          </w:p>
        </w:tc>
        <w:tc>
          <w:tcPr>
            <w:tcW w:w="1155" w:type="dxa"/>
          </w:tcPr>
          <w:p w14:paraId="33CCB05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645</w:t>
            </w:r>
          </w:p>
        </w:tc>
      </w:tr>
      <w:tr w:rsidR="00F856B5" w:rsidRPr="00560F62" w14:paraId="1258B1F4"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772DDB27" w14:textId="77777777" w:rsidR="00F856B5" w:rsidRPr="00560F62" w:rsidRDefault="00F856B5">
            <w:pPr>
              <w:rPr>
                <w:rFonts w:ascii="Times New Roman" w:hAnsi="Times New Roman" w:cs="Times New Roman"/>
                <w:sz w:val="20"/>
                <w:szCs w:val="20"/>
              </w:rPr>
            </w:pPr>
          </w:p>
        </w:tc>
        <w:tc>
          <w:tcPr>
            <w:tcW w:w="1155" w:type="dxa"/>
          </w:tcPr>
          <w:p w14:paraId="353D5F0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4.07%</w:t>
            </w:r>
          </w:p>
        </w:tc>
        <w:tc>
          <w:tcPr>
            <w:tcW w:w="1154" w:type="dxa"/>
          </w:tcPr>
          <w:p w14:paraId="0E74678B"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4.02%</w:t>
            </w:r>
          </w:p>
        </w:tc>
        <w:tc>
          <w:tcPr>
            <w:tcW w:w="1155" w:type="dxa"/>
          </w:tcPr>
          <w:p w14:paraId="22B4EF9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4.01%</w:t>
            </w:r>
          </w:p>
        </w:tc>
      </w:tr>
      <w:tr w:rsidR="00F856B5" w:rsidRPr="00560F62" w14:paraId="07E6B581"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6FAF8A4C"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Municipal</w:t>
            </w:r>
          </w:p>
        </w:tc>
        <w:tc>
          <w:tcPr>
            <w:tcW w:w="1155" w:type="dxa"/>
          </w:tcPr>
          <w:p w14:paraId="3C596957"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113</w:t>
            </w:r>
          </w:p>
        </w:tc>
        <w:tc>
          <w:tcPr>
            <w:tcW w:w="1154" w:type="dxa"/>
          </w:tcPr>
          <w:p w14:paraId="4D2AFF7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109</w:t>
            </w:r>
          </w:p>
        </w:tc>
        <w:tc>
          <w:tcPr>
            <w:tcW w:w="1155" w:type="dxa"/>
          </w:tcPr>
          <w:p w14:paraId="0596DE9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108</w:t>
            </w:r>
          </w:p>
        </w:tc>
      </w:tr>
      <w:tr w:rsidR="00F856B5" w:rsidRPr="00560F62" w14:paraId="41B9FDF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38CDDD7F" w14:textId="77777777" w:rsidR="00F856B5" w:rsidRPr="00560F62" w:rsidRDefault="00F856B5">
            <w:pPr>
              <w:rPr>
                <w:rFonts w:ascii="Times New Roman" w:hAnsi="Times New Roman" w:cs="Times New Roman"/>
                <w:sz w:val="20"/>
                <w:szCs w:val="20"/>
              </w:rPr>
            </w:pPr>
          </w:p>
        </w:tc>
        <w:tc>
          <w:tcPr>
            <w:tcW w:w="1155" w:type="dxa"/>
          </w:tcPr>
          <w:p w14:paraId="4CB71D7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0.69%</w:t>
            </w:r>
          </w:p>
        </w:tc>
        <w:tc>
          <w:tcPr>
            <w:tcW w:w="1154" w:type="dxa"/>
          </w:tcPr>
          <w:p w14:paraId="27F321C6"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0.67%</w:t>
            </w:r>
          </w:p>
        </w:tc>
        <w:tc>
          <w:tcPr>
            <w:tcW w:w="1155" w:type="dxa"/>
          </w:tcPr>
          <w:p w14:paraId="356368D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0.67%</w:t>
            </w:r>
          </w:p>
        </w:tc>
      </w:tr>
      <w:tr w:rsidR="00F856B5" w:rsidRPr="00560F62" w14:paraId="4F18280B"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17518C62"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Private</w:t>
            </w:r>
          </w:p>
        </w:tc>
        <w:tc>
          <w:tcPr>
            <w:tcW w:w="1155" w:type="dxa"/>
          </w:tcPr>
          <w:p w14:paraId="2E834B4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3,256</w:t>
            </w:r>
          </w:p>
        </w:tc>
        <w:tc>
          <w:tcPr>
            <w:tcW w:w="1154" w:type="dxa"/>
          </w:tcPr>
          <w:p w14:paraId="7DEC3ED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3,065</w:t>
            </w:r>
          </w:p>
        </w:tc>
        <w:tc>
          <w:tcPr>
            <w:tcW w:w="1155" w:type="dxa"/>
          </w:tcPr>
          <w:p w14:paraId="6B3443C1"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2,975</w:t>
            </w:r>
          </w:p>
        </w:tc>
      </w:tr>
      <w:tr w:rsidR="00F856B5" w:rsidRPr="00560F62" w14:paraId="2C164C33"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6CC4FB3F" w14:textId="77777777" w:rsidR="00F856B5" w:rsidRPr="00560F62" w:rsidRDefault="00F856B5">
            <w:pPr>
              <w:rPr>
                <w:rFonts w:ascii="Times New Roman" w:hAnsi="Times New Roman" w:cs="Times New Roman"/>
                <w:sz w:val="20"/>
                <w:szCs w:val="20"/>
              </w:rPr>
            </w:pPr>
          </w:p>
        </w:tc>
        <w:tc>
          <w:tcPr>
            <w:tcW w:w="1155" w:type="dxa"/>
          </w:tcPr>
          <w:p w14:paraId="5BE7842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19.83%</w:t>
            </w:r>
          </w:p>
        </w:tc>
        <w:tc>
          <w:tcPr>
            <w:tcW w:w="1154" w:type="dxa"/>
          </w:tcPr>
          <w:p w14:paraId="5BC5346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18.91%</w:t>
            </w:r>
          </w:p>
        </w:tc>
        <w:tc>
          <w:tcPr>
            <w:tcW w:w="1155" w:type="dxa"/>
          </w:tcPr>
          <w:p w14:paraId="3778B07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18.48%</w:t>
            </w:r>
          </w:p>
        </w:tc>
      </w:tr>
    </w:tbl>
    <w:p w14:paraId="6E76163E" w14:textId="77777777" w:rsidR="00F856B5" w:rsidRPr="00CE35AA" w:rsidRDefault="009F7ECA" w:rsidP="00CE35AA">
      <w:pPr>
        <w:keepLines/>
        <w:spacing w:before="120" w:after="120" w:line="480" w:lineRule="auto"/>
        <w:rPr>
          <w:rFonts w:ascii="Times New Roman" w:eastAsia="Times New Roman" w:hAnsi="Times New Roman" w:cs="Times New Roman"/>
          <w:sz w:val="24"/>
          <w:szCs w:val="24"/>
        </w:rPr>
      </w:pPr>
      <w:r w:rsidRPr="00CE35AA">
        <w:rPr>
          <w:rFonts w:ascii="Times New Roman" w:hAnsi="Times New Roman" w:cs="Times New Roman"/>
          <w:sz w:val="24"/>
          <w:szCs w:val="24"/>
        </w:rPr>
        <w:t xml:space="preserve">Source: </w:t>
      </w:r>
      <w:hyperlink r:id="rId13">
        <w:r w:rsidRPr="00CE35AA">
          <w:rPr>
            <w:rStyle w:val="Hyperlink"/>
            <w:rFonts w:ascii="Times New Roman" w:hAnsi="Times New Roman" w:cs="Times New Roman"/>
            <w:color w:val="auto"/>
            <w:sz w:val="24"/>
            <w:szCs w:val="24"/>
          </w:rPr>
          <w:t>Ministry of Education (MINEDUC)</w:t>
        </w:r>
      </w:hyperlink>
      <w:r w:rsidRPr="00CE35AA">
        <w:rPr>
          <w:rStyle w:val="Hyperlink"/>
          <w:rFonts w:ascii="Times New Roman" w:hAnsi="Times New Roman" w:cs="Times New Roman"/>
          <w:color w:val="auto"/>
          <w:sz w:val="24"/>
          <w:szCs w:val="24"/>
        </w:rPr>
        <w:t xml:space="preserve"> 2022</w:t>
      </w:r>
    </w:p>
    <w:p w14:paraId="434040EF" w14:textId="0E667AA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cs="Times New Roman"/>
          <w:sz w:val="24"/>
          <w:szCs w:val="24"/>
        </w:rPr>
        <w:lastRenderedPageBreak/>
        <w:t>Approximately 70% of the educational institutions in the country are public or state schools, followed by 20% which are private schools. 4% are fiscomisional schools (equivalent to state-subsidized), and only 0.7% are municipally-funded institutions.</w:t>
      </w:r>
    </w:p>
    <w:p w14:paraId="1307E6C5"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cs="Times New Roman"/>
          <w:sz w:val="24"/>
          <w:szCs w:val="24"/>
        </w:rPr>
        <w:t>As a result, the majority of teachers receive public funding (over 70%), followed by private funding (over 20%), with the remaining amount divided between fiscomisional (6%) and municipal (less than 1%).</w:t>
      </w:r>
    </w:p>
    <w:p w14:paraId="312CD428" w14:textId="77777777" w:rsidR="00F856B5" w:rsidRPr="00CE35AA" w:rsidRDefault="009F7ECA" w:rsidP="00CE35AA">
      <w:pPr>
        <w:keepLines/>
        <w:spacing w:after="200" w:line="480" w:lineRule="auto"/>
        <w:rPr>
          <w:rFonts w:ascii="Times New Roman" w:eastAsia="Times New Roman" w:hAnsi="Times New Roman" w:cs="Times New Roman"/>
          <w:b/>
          <w:bCs/>
          <w:sz w:val="24"/>
          <w:szCs w:val="24"/>
        </w:rPr>
      </w:pPr>
      <w:r w:rsidRPr="00CE35AA">
        <w:rPr>
          <w:rFonts w:ascii="Times New Roman" w:hAnsi="Times New Roman" w:cs="Times New Roman"/>
          <w:b/>
          <w:sz w:val="24"/>
          <w:szCs w:val="24"/>
        </w:rPr>
        <w:t>Table 6</w:t>
      </w:r>
    </w:p>
    <w:p w14:paraId="1FD3CC0A" w14:textId="77777777" w:rsidR="00F856B5" w:rsidRPr="00CE35AA" w:rsidRDefault="009F7ECA" w:rsidP="00CE35AA">
      <w:pPr>
        <w:keepLines/>
        <w:spacing w:after="200" w:line="480" w:lineRule="auto"/>
        <w:rPr>
          <w:rFonts w:ascii="Times New Roman" w:eastAsia="Times New Roman" w:hAnsi="Times New Roman" w:cs="Times New Roman"/>
          <w:i/>
          <w:iCs/>
          <w:sz w:val="24"/>
          <w:szCs w:val="24"/>
        </w:rPr>
      </w:pPr>
      <w:r w:rsidRPr="00CE35AA">
        <w:rPr>
          <w:rFonts w:ascii="Times New Roman" w:hAnsi="Times New Roman" w:cs="Times New Roman"/>
          <w:i/>
          <w:sz w:val="24"/>
          <w:szCs w:val="24"/>
        </w:rPr>
        <w:t>Distribution of teachers in Ecuador by institution type</w:t>
      </w:r>
    </w:p>
    <w:tbl>
      <w:tblPr>
        <w:tblStyle w:val="PlainTable2"/>
        <w:tblW w:w="5040" w:type="dxa"/>
        <w:tblLayout w:type="fixed"/>
        <w:tblLook w:val="04A0" w:firstRow="1" w:lastRow="0" w:firstColumn="1" w:lastColumn="0" w:noHBand="0" w:noVBand="1"/>
      </w:tblPr>
      <w:tblGrid>
        <w:gridCol w:w="1576"/>
        <w:gridCol w:w="1155"/>
        <w:gridCol w:w="1154"/>
        <w:gridCol w:w="1155"/>
      </w:tblGrid>
      <w:tr w:rsidR="00F856B5" w:rsidRPr="00560F62" w14:paraId="1AC98A4D" w14:textId="77777777" w:rsidTr="00560F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39" w:type="dxa"/>
            <w:gridSpan w:val="4"/>
          </w:tcPr>
          <w:p w14:paraId="1B475661"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Teachers by funding type</w:t>
            </w:r>
          </w:p>
        </w:tc>
      </w:tr>
      <w:tr w:rsidR="00F856B5" w:rsidRPr="00560F62" w14:paraId="527950F6"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Pr>
          <w:p w14:paraId="40CB7541"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Funding</w:t>
            </w:r>
          </w:p>
        </w:tc>
        <w:tc>
          <w:tcPr>
            <w:tcW w:w="1155" w:type="dxa"/>
          </w:tcPr>
          <w:p w14:paraId="585E0AD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2019-2020</w:t>
            </w:r>
          </w:p>
        </w:tc>
        <w:tc>
          <w:tcPr>
            <w:tcW w:w="1154" w:type="dxa"/>
          </w:tcPr>
          <w:p w14:paraId="2AD1C35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2020-2021</w:t>
            </w:r>
          </w:p>
        </w:tc>
        <w:tc>
          <w:tcPr>
            <w:tcW w:w="1155" w:type="dxa"/>
          </w:tcPr>
          <w:p w14:paraId="4C401BDA"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2021-2022</w:t>
            </w:r>
          </w:p>
        </w:tc>
      </w:tr>
      <w:tr w:rsidR="00F856B5" w:rsidRPr="00560F62" w14:paraId="2022A62D"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1323D43F"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 xml:space="preserve">Total </w:t>
            </w:r>
          </w:p>
        </w:tc>
        <w:tc>
          <w:tcPr>
            <w:tcW w:w="1155" w:type="dxa"/>
          </w:tcPr>
          <w:p w14:paraId="6092376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219,995</w:t>
            </w:r>
          </w:p>
        </w:tc>
        <w:tc>
          <w:tcPr>
            <w:tcW w:w="1154" w:type="dxa"/>
          </w:tcPr>
          <w:p w14:paraId="64650F7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206,875</w:t>
            </w:r>
          </w:p>
        </w:tc>
        <w:tc>
          <w:tcPr>
            <w:tcW w:w="1155" w:type="dxa"/>
          </w:tcPr>
          <w:p w14:paraId="140F0AE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203,595</w:t>
            </w:r>
          </w:p>
        </w:tc>
      </w:tr>
      <w:tr w:rsidR="00F856B5" w:rsidRPr="00560F62" w14:paraId="56935609"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6C4DC6CA" w14:textId="77777777" w:rsidR="00F856B5" w:rsidRPr="00560F62" w:rsidRDefault="00F856B5">
            <w:pPr>
              <w:rPr>
                <w:rFonts w:ascii="Times New Roman" w:hAnsi="Times New Roman" w:cs="Times New Roman"/>
                <w:sz w:val="20"/>
                <w:szCs w:val="20"/>
              </w:rPr>
            </w:pPr>
          </w:p>
        </w:tc>
        <w:tc>
          <w:tcPr>
            <w:tcW w:w="1155" w:type="dxa"/>
          </w:tcPr>
          <w:p w14:paraId="7ED0274B"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c>
          <w:tcPr>
            <w:tcW w:w="1154" w:type="dxa"/>
          </w:tcPr>
          <w:p w14:paraId="1280687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c>
          <w:tcPr>
            <w:tcW w:w="1155" w:type="dxa"/>
          </w:tcPr>
          <w:p w14:paraId="6333D586"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100.00%</w:t>
            </w:r>
          </w:p>
        </w:tc>
      </w:tr>
      <w:tr w:rsidR="00F856B5" w:rsidRPr="00560F62" w14:paraId="1E4BDBDF"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6D5887BC"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Public</w:t>
            </w:r>
          </w:p>
        </w:tc>
        <w:tc>
          <w:tcPr>
            <w:tcW w:w="1155" w:type="dxa"/>
          </w:tcPr>
          <w:p w14:paraId="785C29C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152,149</w:t>
            </w:r>
          </w:p>
        </w:tc>
        <w:tc>
          <w:tcPr>
            <w:tcW w:w="1154" w:type="dxa"/>
          </w:tcPr>
          <w:p w14:paraId="02BBF2D8"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148,156</w:t>
            </w:r>
          </w:p>
        </w:tc>
        <w:tc>
          <w:tcPr>
            <w:tcW w:w="1155" w:type="dxa"/>
          </w:tcPr>
          <w:p w14:paraId="7F5FEE7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144,625</w:t>
            </w:r>
          </w:p>
        </w:tc>
      </w:tr>
      <w:tr w:rsidR="00F856B5" w:rsidRPr="00560F62" w14:paraId="448D5BBB"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5F3EAAA3" w14:textId="77777777" w:rsidR="00F856B5" w:rsidRPr="00560F62" w:rsidRDefault="00F856B5">
            <w:pPr>
              <w:rPr>
                <w:rFonts w:ascii="Times New Roman" w:hAnsi="Times New Roman" w:cs="Times New Roman"/>
                <w:sz w:val="20"/>
                <w:szCs w:val="20"/>
              </w:rPr>
            </w:pPr>
          </w:p>
        </w:tc>
        <w:tc>
          <w:tcPr>
            <w:tcW w:w="1155" w:type="dxa"/>
          </w:tcPr>
          <w:p w14:paraId="02252B0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69.16%</w:t>
            </w:r>
          </w:p>
        </w:tc>
        <w:tc>
          <w:tcPr>
            <w:tcW w:w="1154" w:type="dxa"/>
          </w:tcPr>
          <w:p w14:paraId="66EF552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71.62%</w:t>
            </w:r>
          </w:p>
        </w:tc>
        <w:tc>
          <w:tcPr>
            <w:tcW w:w="1155" w:type="dxa"/>
          </w:tcPr>
          <w:p w14:paraId="06A35F5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71.04%</w:t>
            </w:r>
          </w:p>
        </w:tc>
      </w:tr>
      <w:tr w:rsidR="00F856B5" w:rsidRPr="00560F62" w14:paraId="2A68F8B5"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7E04E793"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Fiscomisional</w:t>
            </w:r>
          </w:p>
        </w:tc>
        <w:tc>
          <w:tcPr>
            <w:tcW w:w="1155" w:type="dxa"/>
          </w:tcPr>
          <w:p w14:paraId="1D35000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14,009</w:t>
            </w:r>
          </w:p>
        </w:tc>
        <w:tc>
          <w:tcPr>
            <w:tcW w:w="1154" w:type="dxa"/>
          </w:tcPr>
          <w:p w14:paraId="154E7EF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13,365</w:t>
            </w:r>
          </w:p>
        </w:tc>
        <w:tc>
          <w:tcPr>
            <w:tcW w:w="1155" w:type="dxa"/>
          </w:tcPr>
          <w:p w14:paraId="7F6A41B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13,074</w:t>
            </w:r>
          </w:p>
        </w:tc>
      </w:tr>
      <w:tr w:rsidR="00F856B5" w:rsidRPr="00560F62" w14:paraId="3BA1FEEF"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1819F3C6" w14:textId="77777777" w:rsidR="00F856B5" w:rsidRPr="00560F62" w:rsidRDefault="00F856B5">
            <w:pPr>
              <w:rPr>
                <w:rFonts w:ascii="Times New Roman" w:hAnsi="Times New Roman" w:cs="Times New Roman"/>
                <w:sz w:val="20"/>
                <w:szCs w:val="20"/>
              </w:rPr>
            </w:pPr>
          </w:p>
        </w:tc>
        <w:tc>
          <w:tcPr>
            <w:tcW w:w="1155" w:type="dxa"/>
          </w:tcPr>
          <w:p w14:paraId="36A9B95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6.37%</w:t>
            </w:r>
          </w:p>
        </w:tc>
        <w:tc>
          <w:tcPr>
            <w:tcW w:w="1154" w:type="dxa"/>
          </w:tcPr>
          <w:p w14:paraId="2838F4B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6.46%</w:t>
            </w:r>
          </w:p>
        </w:tc>
        <w:tc>
          <w:tcPr>
            <w:tcW w:w="1155" w:type="dxa"/>
          </w:tcPr>
          <w:p w14:paraId="2C11A2D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6.42%</w:t>
            </w:r>
          </w:p>
        </w:tc>
      </w:tr>
      <w:tr w:rsidR="00F856B5" w:rsidRPr="00560F62" w14:paraId="791B46AE"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50BDD9F6"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Municipal</w:t>
            </w:r>
          </w:p>
        </w:tc>
        <w:tc>
          <w:tcPr>
            <w:tcW w:w="1155" w:type="dxa"/>
          </w:tcPr>
          <w:p w14:paraId="1E5F829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1,812</w:t>
            </w:r>
          </w:p>
        </w:tc>
        <w:tc>
          <w:tcPr>
            <w:tcW w:w="1154" w:type="dxa"/>
          </w:tcPr>
          <w:p w14:paraId="5122AF7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1,803</w:t>
            </w:r>
          </w:p>
        </w:tc>
        <w:tc>
          <w:tcPr>
            <w:tcW w:w="1155" w:type="dxa"/>
          </w:tcPr>
          <w:p w14:paraId="3AB2D17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1,816</w:t>
            </w:r>
          </w:p>
        </w:tc>
      </w:tr>
      <w:tr w:rsidR="00F856B5" w:rsidRPr="00560F62" w14:paraId="24B513D7"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267369BD" w14:textId="77777777" w:rsidR="00F856B5" w:rsidRPr="00560F62" w:rsidRDefault="00F856B5">
            <w:pPr>
              <w:rPr>
                <w:rFonts w:ascii="Times New Roman" w:hAnsi="Times New Roman" w:cs="Times New Roman"/>
                <w:sz w:val="20"/>
                <w:szCs w:val="20"/>
              </w:rPr>
            </w:pPr>
          </w:p>
        </w:tc>
        <w:tc>
          <w:tcPr>
            <w:tcW w:w="1155" w:type="dxa"/>
          </w:tcPr>
          <w:p w14:paraId="34AC3A1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0.82%</w:t>
            </w:r>
          </w:p>
        </w:tc>
        <w:tc>
          <w:tcPr>
            <w:tcW w:w="1154" w:type="dxa"/>
          </w:tcPr>
          <w:p w14:paraId="4E3E958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0.87%</w:t>
            </w:r>
          </w:p>
        </w:tc>
        <w:tc>
          <w:tcPr>
            <w:tcW w:w="1155" w:type="dxa"/>
          </w:tcPr>
          <w:p w14:paraId="51FAFC7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xml:space="preserve">0.89% </w:t>
            </w:r>
          </w:p>
        </w:tc>
      </w:tr>
      <w:tr w:rsidR="00F856B5" w:rsidRPr="00560F62" w14:paraId="1775F501"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tcPr>
          <w:p w14:paraId="51C6DD12"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Private</w:t>
            </w:r>
          </w:p>
        </w:tc>
        <w:tc>
          <w:tcPr>
            <w:tcW w:w="1155" w:type="dxa"/>
          </w:tcPr>
          <w:p w14:paraId="551BDDB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52,025</w:t>
            </w:r>
          </w:p>
        </w:tc>
        <w:tc>
          <w:tcPr>
            <w:tcW w:w="1154" w:type="dxa"/>
          </w:tcPr>
          <w:p w14:paraId="2914CD8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43,551</w:t>
            </w:r>
          </w:p>
        </w:tc>
        <w:tc>
          <w:tcPr>
            <w:tcW w:w="1155" w:type="dxa"/>
          </w:tcPr>
          <w:p w14:paraId="1E1E9CE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44,080</w:t>
            </w:r>
          </w:p>
        </w:tc>
      </w:tr>
      <w:tr w:rsidR="00F856B5" w:rsidRPr="00560F62" w14:paraId="6E9671F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tcPr>
          <w:p w14:paraId="2344EBDA" w14:textId="77777777" w:rsidR="00F856B5" w:rsidRPr="00560F62" w:rsidRDefault="00F856B5">
            <w:pPr>
              <w:rPr>
                <w:rFonts w:ascii="Times New Roman" w:hAnsi="Times New Roman" w:cs="Times New Roman"/>
                <w:sz w:val="20"/>
                <w:szCs w:val="20"/>
              </w:rPr>
            </w:pPr>
          </w:p>
        </w:tc>
        <w:tc>
          <w:tcPr>
            <w:tcW w:w="1155" w:type="dxa"/>
          </w:tcPr>
          <w:p w14:paraId="2618BE6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23.65%</w:t>
            </w:r>
          </w:p>
        </w:tc>
        <w:tc>
          <w:tcPr>
            <w:tcW w:w="1154" w:type="dxa"/>
          </w:tcPr>
          <w:p w14:paraId="1E4DFFD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21.05%</w:t>
            </w:r>
          </w:p>
        </w:tc>
        <w:tc>
          <w:tcPr>
            <w:tcW w:w="1155" w:type="dxa"/>
          </w:tcPr>
          <w:p w14:paraId="315D97D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21.65%</w:t>
            </w:r>
          </w:p>
        </w:tc>
      </w:tr>
    </w:tbl>
    <w:p w14:paraId="1C9FC5D0" w14:textId="77777777" w:rsidR="00F856B5" w:rsidRDefault="009F7ECA">
      <w:pPr>
        <w:keepLines/>
        <w:spacing w:before="120" w:after="120"/>
        <w:jc w:val="both"/>
        <w:rPr>
          <w:rFonts w:ascii="Times New Roman" w:eastAsia="Times New Roman" w:hAnsi="Times New Roman" w:cs="Times New Roman"/>
          <w:sz w:val="18"/>
          <w:szCs w:val="18"/>
        </w:rPr>
      </w:pPr>
      <w:r>
        <w:rPr>
          <w:rFonts w:ascii="Times New Roman" w:hAnsi="Times New Roman"/>
          <w:sz w:val="18"/>
        </w:rPr>
        <w:t xml:space="preserve">Source: </w:t>
      </w:r>
      <w:hyperlink r:id="rId14">
        <w:r>
          <w:rPr>
            <w:rStyle w:val="Hyperlink"/>
            <w:rFonts w:ascii="Times New Roman" w:hAnsi="Times New Roman"/>
            <w:color w:val="auto"/>
            <w:sz w:val="18"/>
          </w:rPr>
          <w:t>Ministry of Education (MINEDUC)</w:t>
        </w:r>
      </w:hyperlink>
      <w:r>
        <w:rPr>
          <w:rStyle w:val="Hyperlink"/>
          <w:rFonts w:ascii="Times New Roman" w:hAnsi="Times New Roman"/>
          <w:color w:val="auto"/>
          <w:sz w:val="18"/>
        </w:rPr>
        <w:t xml:space="preserve"> 2022</w:t>
      </w:r>
    </w:p>
    <w:p w14:paraId="38747A61" w14:textId="77777777" w:rsidR="00F856B5" w:rsidRDefault="00F856B5">
      <w:pPr>
        <w:keepLines/>
        <w:spacing w:before="120" w:after="120"/>
        <w:jc w:val="both"/>
        <w:rPr>
          <w:rFonts w:ascii="Times New Roman" w:eastAsia="Times New Roman" w:hAnsi="Times New Roman" w:cs="Times New Roman"/>
          <w:sz w:val="24"/>
          <w:szCs w:val="24"/>
        </w:rPr>
      </w:pPr>
    </w:p>
    <w:p w14:paraId="0208BCF5" w14:textId="77777777" w:rsidR="002E47A6" w:rsidRDefault="009F7ECA" w:rsidP="002E47A6">
      <w:pPr>
        <w:keepLines/>
        <w:spacing w:before="120" w:after="120" w:line="480" w:lineRule="auto"/>
        <w:rPr>
          <w:rFonts w:ascii="Times New Roman" w:eastAsia="Times New Roman" w:hAnsi="Times New Roman" w:cs="Times New Roman"/>
          <w:b/>
          <w:bCs/>
          <w:i/>
          <w:iCs/>
          <w:sz w:val="24"/>
          <w:szCs w:val="24"/>
        </w:rPr>
      </w:pPr>
      <w:r w:rsidRPr="00AB1102">
        <w:rPr>
          <w:rFonts w:ascii="Times New Roman" w:hAnsi="Times New Roman"/>
          <w:b/>
          <w:bCs/>
          <w:i/>
          <w:iCs/>
          <w:sz w:val="24"/>
          <w:szCs w:val="24"/>
        </w:rPr>
        <w:t>Learning Communities</w:t>
      </w:r>
    </w:p>
    <w:p w14:paraId="5B62FBA3" w14:textId="1BF0DADB" w:rsidR="00F856B5" w:rsidRDefault="009F7ECA" w:rsidP="002E47A6">
      <w:pPr>
        <w:keepLines/>
        <w:spacing w:before="120" w:after="120" w:line="480" w:lineRule="auto"/>
        <w:ind w:firstLine="567"/>
        <w:rPr>
          <w:rFonts w:ascii="Times New Roman" w:hAnsi="Times New Roman"/>
          <w:sz w:val="24"/>
          <w:szCs w:val="24"/>
        </w:rPr>
      </w:pPr>
      <w:r w:rsidRPr="7E8E7E1E">
        <w:rPr>
          <w:rFonts w:ascii="Times New Roman" w:hAnsi="Times New Roman"/>
          <w:sz w:val="24"/>
          <w:szCs w:val="24"/>
        </w:rPr>
        <w:lastRenderedPageBreak/>
        <w:t xml:space="preserve">In addition, a ProFuturo learning community has been created for teachers. The target population for this initiative includes teachers and the leaders of educational </w:t>
      </w:r>
      <w:r w:rsidR="0D464A59" w:rsidRPr="7E8E7E1E">
        <w:rPr>
          <w:rFonts w:ascii="Times New Roman" w:hAnsi="Times New Roman"/>
          <w:sz w:val="24"/>
          <w:szCs w:val="24"/>
        </w:rPr>
        <w:t>institutions</w:t>
      </w:r>
      <w:r w:rsidRPr="7E8E7E1E">
        <w:rPr>
          <w:rFonts w:ascii="Times New Roman" w:hAnsi="Times New Roman"/>
          <w:sz w:val="24"/>
          <w:szCs w:val="24"/>
        </w:rPr>
        <w:t xml:space="preserve"> </w:t>
      </w:r>
      <w:r w:rsidR="70087945" w:rsidRPr="7E8E7E1E">
        <w:rPr>
          <w:rFonts w:ascii="Times New Roman" w:hAnsi="Times New Roman"/>
          <w:sz w:val="24"/>
          <w:szCs w:val="24"/>
        </w:rPr>
        <w:t xml:space="preserve">looking for continuous training </w:t>
      </w:r>
      <w:r w:rsidRPr="7E8E7E1E">
        <w:rPr>
          <w:rFonts w:ascii="Times New Roman" w:hAnsi="Times New Roman"/>
          <w:sz w:val="24"/>
          <w:szCs w:val="24"/>
        </w:rPr>
        <w:t>in Ecuador, as well as wanting to share ideas, knowledge, resources and good pedagogical practises. It is hosted in a Facebook group, created on the 6th of August 2020, to improve interaction with teachers and share learning guides and micro-content about the use of technology and digital education. In 2022, it reached 18,000 members, who share</w:t>
      </w:r>
      <w:r w:rsidR="006D29D5" w:rsidRPr="7E8E7E1E">
        <w:rPr>
          <w:rFonts w:ascii="Times New Roman" w:hAnsi="Times New Roman"/>
          <w:sz w:val="24"/>
          <w:szCs w:val="24"/>
        </w:rPr>
        <w:t>d</w:t>
      </w:r>
      <w:r w:rsidRPr="7E8E7E1E">
        <w:rPr>
          <w:rFonts w:ascii="Times New Roman" w:hAnsi="Times New Roman"/>
          <w:sz w:val="24"/>
          <w:szCs w:val="24"/>
        </w:rPr>
        <w:t xml:space="preserve"> their knowledge and experiences. It has an average of 20 weekly publications, a reach of over 12,000 teachers, and an average of 200 weekly interactions. </w:t>
      </w:r>
    </w:p>
    <w:p w14:paraId="7F5C77C6" w14:textId="19E2F2D7" w:rsidR="00F856B5" w:rsidRPr="0050067C" w:rsidRDefault="009F7ECA" w:rsidP="002E47A6">
      <w:pPr>
        <w:spacing w:before="240" w:line="480" w:lineRule="auto"/>
        <w:rPr>
          <w:rFonts w:ascii="Times New Roman" w:eastAsia="Times New Roman" w:hAnsi="Times New Roman" w:cs="Times New Roman"/>
          <w:b/>
          <w:bCs/>
          <w:iCs/>
          <w:sz w:val="24"/>
          <w:szCs w:val="24"/>
        </w:rPr>
      </w:pPr>
      <w:r w:rsidRPr="0050067C">
        <w:rPr>
          <w:rFonts w:ascii="Times New Roman" w:hAnsi="Times New Roman"/>
          <w:b/>
          <w:bCs/>
          <w:iCs/>
          <w:sz w:val="24"/>
          <w:szCs w:val="24"/>
        </w:rPr>
        <w:t xml:space="preserve">Participants and Procedure </w:t>
      </w:r>
    </w:p>
    <w:p w14:paraId="196BE5C9" w14:textId="6BA29FDD"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commentRangeStart w:id="12"/>
      <w:r w:rsidRPr="00CE35AA">
        <w:rPr>
          <w:rFonts w:ascii="Times New Roman" w:hAnsi="Times New Roman"/>
          <w:sz w:val="24"/>
          <w:szCs w:val="24"/>
        </w:rPr>
        <w:t xml:space="preserve">1. In the digital survey for teachers trained using the </w:t>
      </w:r>
      <w:r w:rsidR="00001048" w:rsidRPr="00CE35AA">
        <w:rPr>
          <w:rFonts w:ascii="Times New Roman" w:hAnsi="Times New Roman"/>
          <w:sz w:val="24"/>
          <w:szCs w:val="24"/>
        </w:rPr>
        <w:t>O</w:t>
      </w:r>
      <w:r w:rsidRPr="00CE35AA">
        <w:rPr>
          <w:rFonts w:ascii="Times New Roman" w:hAnsi="Times New Roman"/>
          <w:sz w:val="24"/>
          <w:szCs w:val="24"/>
        </w:rPr>
        <w:t xml:space="preserve">pen </w:t>
      </w:r>
      <w:r w:rsidR="00001048" w:rsidRPr="00CE35AA">
        <w:rPr>
          <w:rFonts w:ascii="Times New Roman" w:hAnsi="Times New Roman"/>
          <w:sz w:val="24"/>
          <w:szCs w:val="24"/>
        </w:rPr>
        <w:t>M</w:t>
      </w:r>
      <w:r w:rsidRPr="00CE35AA">
        <w:rPr>
          <w:rFonts w:ascii="Times New Roman" w:hAnsi="Times New Roman"/>
          <w:sz w:val="24"/>
          <w:szCs w:val="24"/>
        </w:rPr>
        <w:t xml:space="preserve">odel in Ecuador between 2020 and 2022, we obtained a sample of 3,565 responses, which constitutes 4.42% of the whole, composed of teachers who completed at least one course. In terms of statistical representation, this resulted in a sampling error of ± 1,6%, a confidence level of 95%, and a </w:t>
      </w:r>
      <w:r w:rsidR="0098019C" w:rsidRPr="00CE35AA">
        <w:rPr>
          <w:rFonts w:ascii="Times New Roman" w:hAnsi="Times New Roman"/>
          <w:sz w:val="24"/>
          <w:szCs w:val="24"/>
        </w:rPr>
        <w:t>worst-case</w:t>
      </w:r>
      <w:r w:rsidRPr="00CE35AA">
        <w:rPr>
          <w:rFonts w:ascii="Times New Roman" w:hAnsi="Times New Roman"/>
          <w:sz w:val="24"/>
          <w:szCs w:val="24"/>
        </w:rPr>
        <w:t xml:space="preserve"> scenario for sampling variability of: p=q=0.5 (Hai-Jew, 2020).  </w:t>
      </w:r>
    </w:p>
    <w:p w14:paraId="5B5B176D" w14:textId="77777777"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The sample was characterized as follows:</w:t>
      </w:r>
    </w:p>
    <w:p w14:paraId="509E8E68" w14:textId="77777777" w:rsidR="00F856B5" w:rsidRPr="00CE35AA" w:rsidRDefault="009F7ECA" w:rsidP="00CE35AA">
      <w:pPr>
        <w:pStyle w:val="ListParagraph"/>
        <w:keepLines/>
        <w:numPr>
          <w:ilvl w:val="0"/>
          <w:numId w:val="1"/>
        </w:numPr>
        <w:spacing w:before="120" w:after="120" w:line="480" w:lineRule="auto"/>
        <w:rPr>
          <w:rFonts w:ascii="Times New Roman" w:eastAsia="Times New Roman" w:hAnsi="Times New Roman" w:cs="Times New Roman"/>
          <w:sz w:val="24"/>
          <w:szCs w:val="24"/>
        </w:rPr>
      </w:pPr>
      <w:r w:rsidRPr="00CE35AA">
        <w:rPr>
          <w:rFonts w:ascii="Times New Roman" w:hAnsi="Times New Roman"/>
          <w:sz w:val="24"/>
          <w:szCs w:val="24"/>
        </w:rPr>
        <w:t>According to the number of training hours completed (Under 50 hours, 50-100 hours, 100-150 hours, 150-250 hours, Over 250 hours).</w:t>
      </w:r>
    </w:p>
    <w:p w14:paraId="6DCA1581" w14:textId="77777777" w:rsidR="00F856B5" w:rsidRPr="00CE35AA" w:rsidRDefault="009F7ECA" w:rsidP="00CE35AA">
      <w:pPr>
        <w:pStyle w:val="ListParagraph"/>
        <w:keepLines/>
        <w:numPr>
          <w:ilvl w:val="0"/>
          <w:numId w:val="1"/>
        </w:numPr>
        <w:spacing w:before="120" w:after="120" w:line="480" w:lineRule="auto"/>
        <w:rPr>
          <w:rFonts w:ascii="Times New Roman" w:eastAsia="Times New Roman" w:hAnsi="Times New Roman" w:cs="Times New Roman"/>
          <w:sz w:val="24"/>
          <w:szCs w:val="24"/>
        </w:rPr>
      </w:pPr>
      <w:r w:rsidRPr="00CE35AA">
        <w:rPr>
          <w:rFonts w:ascii="Times New Roman" w:hAnsi="Times New Roman"/>
          <w:sz w:val="24"/>
          <w:szCs w:val="24"/>
        </w:rPr>
        <w:t>Sex (Male, Female).</w:t>
      </w:r>
    </w:p>
    <w:p w14:paraId="7CA7DB03" w14:textId="77777777" w:rsidR="00F856B5" w:rsidRPr="00CE35AA" w:rsidRDefault="009F7ECA" w:rsidP="00CE35AA">
      <w:pPr>
        <w:pStyle w:val="ListParagraph"/>
        <w:keepLines/>
        <w:numPr>
          <w:ilvl w:val="0"/>
          <w:numId w:val="1"/>
        </w:numPr>
        <w:spacing w:before="120" w:after="120" w:line="480" w:lineRule="auto"/>
        <w:rPr>
          <w:rFonts w:ascii="Times New Roman" w:eastAsia="Times New Roman" w:hAnsi="Times New Roman" w:cs="Times New Roman"/>
          <w:sz w:val="24"/>
          <w:szCs w:val="24"/>
        </w:rPr>
      </w:pPr>
      <w:r w:rsidRPr="00CE35AA">
        <w:rPr>
          <w:rFonts w:ascii="Times New Roman" w:hAnsi="Times New Roman"/>
          <w:sz w:val="24"/>
          <w:szCs w:val="24"/>
        </w:rPr>
        <w:t>Age Range (Under 30 years old, 30-39 years old, 40-49 years old, Over 50 years old).</w:t>
      </w:r>
    </w:p>
    <w:p w14:paraId="4E8A0AAF" w14:textId="77777777" w:rsidR="00F856B5" w:rsidRPr="00CE35AA" w:rsidRDefault="009F7ECA" w:rsidP="00CE35AA">
      <w:pPr>
        <w:pStyle w:val="ListParagraph"/>
        <w:keepLines/>
        <w:numPr>
          <w:ilvl w:val="0"/>
          <w:numId w:val="1"/>
        </w:numPr>
        <w:spacing w:before="120" w:after="120" w:line="480" w:lineRule="auto"/>
        <w:rPr>
          <w:rFonts w:ascii="Times New Roman" w:eastAsia="Times New Roman" w:hAnsi="Times New Roman" w:cs="Times New Roman"/>
          <w:sz w:val="24"/>
          <w:szCs w:val="24"/>
        </w:rPr>
      </w:pPr>
      <w:r w:rsidRPr="00CE35AA">
        <w:rPr>
          <w:rFonts w:ascii="Times New Roman" w:hAnsi="Times New Roman"/>
          <w:sz w:val="24"/>
          <w:szCs w:val="24"/>
        </w:rPr>
        <w:t>Educational Stage: Preschool, General Basic Education (EGB) (Grades 1-6), General Basic Education (EGB) (Grades 7-10), High School, and Higher Education</w:t>
      </w:r>
    </w:p>
    <w:p w14:paraId="20C8BA83" w14:textId="77777777" w:rsidR="00F856B5" w:rsidRPr="00CE35AA" w:rsidRDefault="009F7ECA" w:rsidP="00CE35AA">
      <w:pPr>
        <w:pStyle w:val="ListParagraph"/>
        <w:keepLines/>
        <w:numPr>
          <w:ilvl w:val="0"/>
          <w:numId w:val="1"/>
        </w:numPr>
        <w:spacing w:before="120" w:after="120" w:line="480" w:lineRule="auto"/>
        <w:rPr>
          <w:rFonts w:ascii="Times New Roman" w:eastAsia="Times New Roman" w:hAnsi="Times New Roman" w:cs="Times New Roman"/>
          <w:sz w:val="24"/>
          <w:szCs w:val="24"/>
        </w:rPr>
      </w:pPr>
      <w:r w:rsidRPr="00CE35AA">
        <w:rPr>
          <w:rFonts w:ascii="Times New Roman" w:hAnsi="Times New Roman"/>
          <w:sz w:val="24"/>
          <w:szCs w:val="24"/>
        </w:rPr>
        <w:t>Funding: Public School, Fiscomisional School, Private School, Other</w:t>
      </w:r>
    </w:p>
    <w:p w14:paraId="4FA7EC63" w14:textId="7D5B22F6" w:rsidR="00F856B5" w:rsidRPr="00CE35AA" w:rsidRDefault="009F7ECA" w:rsidP="00AB1102">
      <w:pPr>
        <w:keepLines/>
        <w:spacing w:before="120" w:after="120" w:line="480" w:lineRule="auto"/>
        <w:ind w:firstLine="567"/>
        <w:rPr>
          <w:rFonts w:ascii="Times New Roman" w:hAnsi="Times New Roman"/>
          <w:sz w:val="24"/>
          <w:szCs w:val="24"/>
        </w:rPr>
      </w:pPr>
      <w:r w:rsidRPr="7E8E7E1E">
        <w:rPr>
          <w:rFonts w:ascii="Times New Roman" w:hAnsi="Times New Roman"/>
          <w:sz w:val="24"/>
          <w:szCs w:val="24"/>
        </w:rPr>
        <w:lastRenderedPageBreak/>
        <w:t xml:space="preserve">2. </w:t>
      </w:r>
      <w:r w:rsidR="134167A7" w:rsidRPr="7E8E7E1E">
        <w:rPr>
          <w:rFonts w:ascii="Times New Roman" w:hAnsi="Times New Roman"/>
          <w:sz w:val="24"/>
          <w:szCs w:val="24"/>
        </w:rPr>
        <w:t>With regards to the results of ProFuturo’s Self-assessment Test for Digital Competence in Teachers, we analyzed the results of the 7,257 teachers who used the self-assessment tool, of which 3,162 teachers had completed at least one ProFuturo course before completing the test</w:t>
      </w:r>
      <w:r w:rsidRPr="7E8E7E1E">
        <w:rPr>
          <w:rFonts w:ascii="Times New Roman" w:hAnsi="Times New Roman"/>
          <w:sz w:val="24"/>
          <w:szCs w:val="24"/>
        </w:rPr>
        <w:t>.</w:t>
      </w:r>
      <w:commentRangeEnd w:id="12"/>
      <w:r w:rsidR="00186741">
        <w:rPr>
          <w:rStyle w:val="CommentReference"/>
        </w:rPr>
        <w:commentReference w:id="12"/>
      </w:r>
    </w:p>
    <w:p w14:paraId="2676E476" w14:textId="328AE0E6" w:rsidR="00F856B5" w:rsidRPr="00CE35AA" w:rsidRDefault="009F7ECA" w:rsidP="0050067C">
      <w:pPr>
        <w:spacing w:line="480" w:lineRule="auto"/>
        <w:jc w:val="center"/>
        <w:rPr>
          <w:rFonts w:ascii="Times New Roman" w:eastAsia="Times New Roman" w:hAnsi="Times New Roman" w:cs="Times New Roman"/>
          <w:b/>
          <w:bCs/>
          <w:sz w:val="24"/>
          <w:szCs w:val="24"/>
        </w:rPr>
      </w:pPr>
      <w:r w:rsidRPr="00CE35AA">
        <w:rPr>
          <w:rFonts w:ascii="Times New Roman" w:hAnsi="Times New Roman"/>
          <w:b/>
          <w:sz w:val="24"/>
          <w:szCs w:val="24"/>
        </w:rPr>
        <w:t xml:space="preserve">Results </w:t>
      </w:r>
    </w:p>
    <w:p w14:paraId="3A274554" w14:textId="7700B1B8" w:rsidR="00F856B5" w:rsidRPr="00CE35AA" w:rsidRDefault="009F7ECA" w:rsidP="00AB1102">
      <w:pPr>
        <w:keepLines/>
        <w:spacing w:before="120" w:after="120" w:line="480" w:lineRule="auto"/>
        <w:ind w:firstLine="567"/>
        <w:rPr>
          <w:rFonts w:ascii="Times New Roman" w:eastAsia="Times New Roman" w:hAnsi="Times New Roman" w:cs="Times New Roman"/>
          <w:sz w:val="24"/>
          <w:szCs w:val="24"/>
        </w:rPr>
      </w:pPr>
      <w:r w:rsidRPr="7E8E7E1E">
        <w:rPr>
          <w:rFonts w:ascii="Times New Roman" w:hAnsi="Times New Roman"/>
          <w:sz w:val="24"/>
          <w:szCs w:val="24"/>
        </w:rPr>
        <w:t xml:space="preserve">Firstly, we present the results obtained from the digital survey for teachers trained </w:t>
      </w:r>
      <w:r w:rsidR="1B4446B6" w:rsidRPr="7E8E7E1E">
        <w:rPr>
          <w:rFonts w:ascii="Times New Roman" w:hAnsi="Times New Roman"/>
          <w:sz w:val="24"/>
          <w:szCs w:val="24"/>
        </w:rPr>
        <w:t xml:space="preserve">with </w:t>
      </w:r>
      <w:r w:rsidRPr="7E8E7E1E">
        <w:rPr>
          <w:rFonts w:ascii="Times New Roman" w:hAnsi="Times New Roman"/>
          <w:sz w:val="24"/>
          <w:szCs w:val="24"/>
        </w:rPr>
        <w:t xml:space="preserve">the </w:t>
      </w:r>
      <w:r w:rsidR="0072424A" w:rsidRPr="7E8E7E1E">
        <w:rPr>
          <w:rFonts w:ascii="Times New Roman" w:hAnsi="Times New Roman"/>
          <w:sz w:val="24"/>
          <w:szCs w:val="24"/>
        </w:rPr>
        <w:t>O</w:t>
      </w:r>
      <w:r w:rsidRPr="7E8E7E1E">
        <w:rPr>
          <w:rFonts w:ascii="Times New Roman" w:hAnsi="Times New Roman"/>
          <w:sz w:val="24"/>
          <w:szCs w:val="24"/>
        </w:rPr>
        <w:t xml:space="preserve">pen </w:t>
      </w:r>
      <w:r w:rsidR="0072424A" w:rsidRPr="7E8E7E1E">
        <w:rPr>
          <w:rFonts w:ascii="Times New Roman" w:hAnsi="Times New Roman"/>
          <w:sz w:val="24"/>
          <w:szCs w:val="24"/>
        </w:rPr>
        <w:t>M</w:t>
      </w:r>
      <w:r w:rsidRPr="7E8E7E1E">
        <w:rPr>
          <w:rFonts w:ascii="Times New Roman" w:hAnsi="Times New Roman"/>
          <w:sz w:val="24"/>
          <w:szCs w:val="24"/>
        </w:rPr>
        <w:t xml:space="preserve">odel in Ecuador between 2020 and 2022, </w:t>
      </w:r>
      <w:r w:rsidR="00FF4251" w:rsidRPr="7E8E7E1E">
        <w:rPr>
          <w:rFonts w:ascii="Times New Roman" w:hAnsi="Times New Roman"/>
          <w:sz w:val="24"/>
          <w:szCs w:val="24"/>
        </w:rPr>
        <w:t>presented in tables 7, 8, and 9, which demonstrate</w:t>
      </w:r>
      <w:r w:rsidRPr="7E8E7E1E">
        <w:rPr>
          <w:rFonts w:ascii="Times New Roman" w:hAnsi="Times New Roman"/>
          <w:sz w:val="24"/>
          <w:szCs w:val="24"/>
        </w:rPr>
        <w:t xml:space="preserve">, respectively, the </w:t>
      </w:r>
      <w:bookmarkStart w:id="13" w:name="_Hlk154569875"/>
      <w:r w:rsidRPr="7E8E7E1E">
        <w:rPr>
          <w:rFonts w:ascii="Times New Roman" w:hAnsi="Times New Roman"/>
          <w:sz w:val="24"/>
          <w:szCs w:val="24"/>
        </w:rPr>
        <w:t xml:space="preserve">“Level of utility perceived by teachers in improving learning for their students by hours of training, sex, age, educational stage, and school funding", the "Frequency of modification of educational activities after participating in the courses by number of training hours, </w:t>
      </w:r>
      <w:r w:rsidR="41D30448" w:rsidRPr="7E8E7E1E">
        <w:rPr>
          <w:rFonts w:ascii="Times New Roman" w:hAnsi="Times New Roman"/>
          <w:sz w:val="24"/>
          <w:szCs w:val="24"/>
        </w:rPr>
        <w:t>gender</w:t>
      </w:r>
      <w:r w:rsidRPr="7E8E7E1E">
        <w:rPr>
          <w:rFonts w:ascii="Times New Roman" w:hAnsi="Times New Roman"/>
          <w:sz w:val="24"/>
          <w:szCs w:val="24"/>
        </w:rPr>
        <w:t>, age, educational stage, and school funding.", and the "Level of transference to educational practi</w:t>
      </w:r>
      <w:r w:rsidR="1BC2C618" w:rsidRPr="7E8E7E1E">
        <w:rPr>
          <w:rFonts w:ascii="Times New Roman" w:hAnsi="Times New Roman"/>
          <w:sz w:val="24"/>
          <w:szCs w:val="24"/>
        </w:rPr>
        <w:t>c</w:t>
      </w:r>
      <w:r w:rsidRPr="7E8E7E1E">
        <w:rPr>
          <w:rFonts w:ascii="Times New Roman" w:hAnsi="Times New Roman"/>
          <w:sz w:val="24"/>
          <w:szCs w:val="24"/>
        </w:rPr>
        <w:t>e".</w:t>
      </w:r>
      <w:bookmarkEnd w:id="13"/>
    </w:p>
    <w:p w14:paraId="0F9B85C7" w14:textId="77777777" w:rsidR="00F856B5" w:rsidRPr="00CE35AA" w:rsidRDefault="009F7ECA" w:rsidP="00CE35AA">
      <w:pPr>
        <w:keepLines/>
        <w:spacing w:after="200" w:line="480" w:lineRule="auto"/>
        <w:rPr>
          <w:rFonts w:ascii="Times New Roman" w:eastAsia="Times New Roman" w:hAnsi="Times New Roman" w:cs="Times New Roman"/>
          <w:b/>
          <w:bCs/>
          <w:sz w:val="24"/>
          <w:szCs w:val="24"/>
        </w:rPr>
      </w:pPr>
      <w:r w:rsidRPr="00CE35AA">
        <w:rPr>
          <w:rFonts w:ascii="Times New Roman" w:hAnsi="Times New Roman"/>
          <w:b/>
          <w:sz w:val="24"/>
          <w:szCs w:val="24"/>
        </w:rPr>
        <w:t>Table 7</w:t>
      </w:r>
    </w:p>
    <w:p w14:paraId="5C67EA19" w14:textId="1C515350" w:rsidR="00F856B5" w:rsidRPr="00CE35AA" w:rsidRDefault="009F7ECA" w:rsidP="00CE35AA">
      <w:pPr>
        <w:keepLines/>
        <w:spacing w:after="200" w:line="480" w:lineRule="auto"/>
        <w:rPr>
          <w:rFonts w:ascii="Times New Roman" w:eastAsia="Times New Roman" w:hAnsi="Times New Roman" w:cs="Times New Roman"/>
          <w:sz w:val="24"/>
          <w:szCs w:val="24"/>
        </w:rPr>
      </w:pPr>
      <w:r w:rsidRPr="00CE35AA">
        <w:rPr>
          <w:rFonts w:ascii="Times New Roman" w:hAnsi="Times New Roman"/>
          <w:i/>
          <w:sz w:val="24"/>
          <w:szCs w:val="24"/>
        </w:rPr>
        <w:t xml:space="preserve">Level of utility perceived by teachers in improving learning for their students by hours of training, sex, age, educational stage, and school </w:t>
      </w:r>
      <w:r w:rsidR="00AB1102" w:rsidRPr="00CE35AA">
        <w:rPr>
          <w:rFonts w:ascii="Times New Roman" w:hAnsi="Times New Roman"/>
          <w:i/>
          <w:sz w:val="24"/>
          <w:szCs w:val="24"/>
        </w:rPr>
        <w:t>funding.</w:t>
      </w:r>
    </w:p>
    <w:tbl>
      <w:tblPr>
        <w:tblStyle w:val="PlainTable2"/>
        <w:tblW w:w="9015" w:type="dxa"/>
        <w:tblLayout w:type="fixed"/>
        <w:tblLook w:val="04A0" w:firstRow="1" w:lastRow="0" w:firstColumn="1" w:lastColumn="0" w:noHBand="0" w:noVBand="1"/>
      </w:tblPr>
      <w:tblGrid>
        <w:gridCol w:w="1464"/>
        <w:gridCol w:w="2556"/>
        <w:gridCol w:w="1108"/>
        <w:gridCol w:w="1139"/>
        <w:gridCol w:w="1079"/>
        <w:gridCol w:w="1669"/>
      </w:tblGrid>
      <w:tr w:rsidR="00560F62" w:rsidRPr="00560F62" w14:paraId="2BB9B956" w14:textId="77777777" w:rsidTr="00560F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19" w:type="dxa"/>
            <w:gridSpan w:val="2"/>
          </w:tcPr>
          <w:p w14:paraId="198CB3E0"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cs="Times New Roman"/>
                <w:sz w:val="20"/>
              </w:rPr>
              <w:t>How would you rate the usefulness of technology and digital resources in the classroom for improving the learning of your students?</w:t>
            </w:r>
          </w:p>
        </w:tc>
        <w:tc>
          <w:tcPr>
            <w:tcW w:w="1108" w:type="dxa"/>
          </w:tcPr>
          <w:p w14:paraId="45DD5657"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Very useful</w:t>
            </w:r>
          </w:p>
        </w:tc>
        <w:tc>
          <w:tcPr>
            <w:tcW w:w="1139" w:type="dxa"/>
          </w:tcPr>
          <w:p w14:paraId="574629C3"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Quite useful</w:t>
            </w:r>
          </w:p>
        </w:tc>
        <w:tc>
          <w:tcPr>
            <w:tcW w:w="1079" w:type="dxa"/>
          </w:tcPr>
          <w:p w14:paraId="39BCF5BB"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Not very useful</w:t>
            </w:r>
          </w:p>
        </w:tc>
        <w:tc>
          <w:tcPr>
            <w:tcW w:w="1669" w:type="dxa"/>
          </w:tcPr>
          <w:p w14:paraId="212BE33F"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 xml:space="preserve">% Not at all </w:t>
            </w:r>
            <w:r w:rsidRPr="00560F62">
              <w:rPr>
                <w:rFonts w:ascii="Times New Roman" w:eastAsia="Times New Roman" w:hAnsi="Times New Roman" w:cs="Times New Roman"/>
                <w:sz w:val="20"/>
                <w:szCs w:val="20"/>
              </w:rPr>
              <w:t>useful</w:t>
            </w:r>
          </w:p>
        </w:tc>
      </w:tr>
      <w:tr w:rsidR="00F856B5" w:rsidRPr="00560F62" w14:paraId="62EC021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19" w:type="dxa"/>
            <w:gridSpan w:val="2"/>
          </w:tcPr>
          <w:p w14:paraId="0F07DCBB"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Average</w:t>
            </w:r>
          </w:p>
        </w:tc>
        <w:tc>
          <w:tcPr>
            <w:tcW w:w="1108" w:type="dxa"/>
          </w:tcPr>
          <w:p w14:paraId="3BABA629"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71.00%</w:t>
            </w:r>
          </w:p>
        </w:tc>
        <w:tc>
          <w:tcPr>
            <w:tcW w:w="1139" w:type="dxa"/>
          </w:tcPr>
          <w:p w14:paraId="43123D86"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27.80%</w:t>
            </w:r>
          </w:p>
        </w:tc>
        <w:tc>
          <w:tcPr>
            <w:tcW w:w="1079" w:type="dxa"/>
          </w:tcPr>
          <w:p w14:paraId="2DCF1439"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0.80%</w:t>
            </w:r>
          </w:p>
        </w:tc>
        <w:tc>
          <w:tcPr>
            <w:tcW w:w="1669" w:type="dxa"/>
          </w:tcPr>
          <w:p w14:paraId="7C47A0A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0.30%</w:t>
            </w:r>
          </w:p>
        </w:tc>
      </w:tr>
      <w:tr w:rsidR="00F856B5" w:rsidRPr="00560F62" w14:paraId="16FB43BA"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val="restart"/>
          </w:tcPr>
          <w:p w14:paraId="1319D05B"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Hours of Training Completed</w:t>
            </w:r>
          </w:p>
        </w:tc>
        <w:tc>
          <w:tcPr>
            <w:tcW w:w="2556" w:type="dxa"/>
          </w:tcPr>
          <w:p w14:paraId="605AE0EA"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Under 50 hours</w:t>
            </w:r>
          </w:p>
        </w:tc>
        <w:tc>
          <w:tcPr>
            <w:tcW w:w="1108" w:type="dxa"/>
          </w:tcPr>
          <w:p w14:paraId="1973512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73.03%</w:t>
            </w:r>
          </w:p>
        </w:tc>
        <w:tc>
          <w:tcPr>
            <w:tcW w:w="1139" w:type="dxa"/>
          </w:tcPr>
          <w:p w14:paraId="77FCADA3"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25.84%</w:t>
            </w:r>
          </w:p>
        </w:tc>
        <w:tc>
          <w:tcPr>
            <w:tcW w:w="1079" w:type="dxa"/>
          </w:tcPr>
          <w:p w14:paraId="339E451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1.12%</w:t>
            </w:r>
          </w:p>
        </w:tc>
        <w:tc>
          <w:tcPr>
            <w:tcW w:w="1669" w:type="dxa"/>
          </w:tcPr>
          <w:p w14:paraId="59CC8AF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18F7C451"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4061F9EE" w14:textId="77777777" w:rsidR="00F856B5" w:rsidRPr="00560F62" w:rsidRDefault="00F856B5">
            <w:pPr>
              <w:rPr>
                <w:rFonts w:ascii="Times New Roman" w:hAnsi="Times New Roman" w:cs="Times New Roman"/>
              </w:rPr>
            </w:pPr>
          </w:p>
        </w:tc>
        <w:tc>
          <w:tcPr>
            <w:tcW w:w="2556" w:type="dxa"/>
          </w:tcPr>
          <w:p w14:paraId="09BE049E"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50-100 hours</w:t>
            </w:r>
          </w:p>
        </w:tc>
        <w:tc>
          <w:tcPr>
            <w:tcW w:w="1108" w:type="dxa"/>
          </w:tcPr>
          <w:p w14:paraId="59C3DD1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67.71%</w:t>
            </w:r>
          </w:p>
        </w:tc>
        <w:tc>
          <w:tcPr>
            <w:tcW w:w="1139" w:type="dxa"/>
          </w:tcPr>
          <w:p w14:paraId="4A0698D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31.25%</w:t>
            </w:r>
          </w:p>
        </w:tc>
        <w:tc>
          <w:tcPr>
            <w:tcW w:w="1079" w:type="dxa"/>
          </w:tcPr>
          <w:p w14:paraId="7A2190B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1.04%</w:t>
            </w:r>
          </w:p>
        </w:tc>
        <w:tc>
          <w:tcPr>
            <w:tcW w:w="1669" w:type="dxa"/>
          </w:tcPr>
          <w:p w14:paraId="74B9DA4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0DB1715E"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743307E7" w14:textId="77777777" w:rsidR="00F856B5" w:rsidRPr="00560F62" w:rsidRDefault="00F856B5">
            <w:pPr>
              <w:rPr>
                <w:rFonts w:ascii="Times New Roman" w:hAnsi="Times New Roman" w:cs="Times New Roman"/>
              </w:rPr>
            </w:pPr>
          </w:p>
        </w:tc>
        <w:tc>
          <w:tcPr>
            <w:tcW w:w="2556" w:type="dxa"/>
          </w:tcPr>
          <w:p w14:paraId="64C316C3"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100-150 hours</w:t>
            </w:r>
          </w:p>
        </w:tc>
        <w:tc>
          <w:tcPr>
            <w:tcW w:w="1108" w:type="dxa"/>
          </w:tcPr>
          <w:p w14:paraId="2B4D1BC5"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72.33%</w:t>
            </w:r>
          </w:p>
        </w:tc>
        <w:tc>
          <w:tcPr>
            <w:tcW w:w="1139" w:type="dxa"/>
          </w:tcPr>
          <w:p w14:paraId="482F21B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27.04%</w:t>
            </w:r>
          </w:p>
        </w:tc>
        <w:tc>
          <w:tcPr>
            <w:tcW w:w="1079" w:type="dxa"/>
          </w:tcPr>
          <w:p w14:paraId="532E534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0.63%</w:t>
            </w:r>
          </w:p>
        </w:tc>
        <w:tc>
          <w:tcPr>
            <w:tcW w:w="1669" w:type="dxa"/>
          </w:tcPr>
          <w:p w14:paraId="333EDD0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4FD17107"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6B56DC3E" w14:textId="77777777" w:rsidR="00F856B5" w:rsidRPr="00560F62" w:rsidRDefault="00F856B5">
            <w:pPr>
              <w:rPr>
                <w:rFonts w:ascii="Times New Roman" w:hAnsi="Times New Roman" w:cs="Times New Roman"/>
              </w:rPr>
            </w:pPr>
          </w:p>
        </w:tc>
        <w:tc>
          <w:tcPr>
            <w:tcW w:w="2556" w:type="dxa"/>
          </w:tcPr>
          <w:p w14:paraId="7E4C2018"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150-250 hours</w:t>
            </w:r>
          </w:p>
        </w:tc>
        <w:tc>
          <w:tcPr>
            <w:tcW w:w="1108" w:type="dxa"/>
          </w:tcPr>
          <w:p w14:paraId="4978366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70.43%</w:t>
            </w:r>
          </w:p>
        </w:tc>
        <w:tc>
          <w:tcPr>
            <w:tcW w:w="1139" w:type="dxa"/>
          </w:tcPr>
          <w:p w14:paraId="23CACBE1"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28.40%</w:t>
            </w:r>
          </w:p>
        </w:tc>
        <w:tc>
          <w:tcPr>
            <w:tcW w:w="1079" w:type="dxa"/>
          </w:tcPr>
          <w:p w14:paraId="35FC49C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0.78%</w:t>
            </w:r>
          </w:p>
        </w:tc>
        <w:tc>
          <w:tcPr>
            <w:tcW w:w="1669" w:type="dxa"/>
          </w:tcPr>
          <w:p w14:paraId="2AA67B3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0.39%</w:t>
            </w:r>
          </w:p>
        </w:tc>
      </w:tr>
      <w:tr w:rsidR="00F856B5" w:rsidRPr="00560F62" w14:paraId="7466BD9F"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30E9EC0A" w14:textId="77777777" w:rsidR="00F856B5" w:rsidRPr="00560F62" w:rsidRDefault="00F856B5">
            <w:pPr>
              <w:rPr>
                <w:rFonts w:ascii="Times New Roman" w:hAnsi="Times New Roman" w:cs="Times New Roman"/>
              </w:rPr>
            </w:pPr>
          </w:p>
        </w:tc>
        <w:tc>
          <w:tcPr>
            <w:tcW w:w="2556" w:type="dxa"/>
          </w:tcPr>
          <w:p w14:paraId="191114F3"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Over 250 hours</w:t>
            </w:r>
          </w:p>
        </w:tc>
        <w:tc>
          <w:tcPr>
            <w:tcW w:w="1108" w:type="dxa"/>
          </w:tcPr>
          <w:p w14:paraId="3F5D758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71.53%</w:t>
            </w:r>
          </w:p>
        </w:tc>
        <w:tc>
          <w:tcPr>
            <w:tcW w:w="1139" w:type="dxa"/>
          </w:tcPr>
          <w:p w14:paraId="7F72D8A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27.01%</w:t>
            </w:r>
          </w:p>
        </w:tc>
        <w:tc>
          <w:tcPr>
            <w:tcW w:w="1079" w:type="dxa"/>
          </w:tcPr>
          <w:p w14:paraId="73EDFD8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0.73%</w:t>
            </w:r>
          </w:p>
        </w:tc>
        <w:tc>
          <w:tcPr>
            <w:tcW w:w="1669" w:type="dxa"/>
          </w:tcPr>
          <w:p w14:paraId="0C24A1FA"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0.73%</w:t>
            </w:r>
          </w:p>
        </w:tc>
      </w:tr>
      <w:tr w:rsidR="00F856B5" w:rsidRPr="00560F62" w14:paraId="463BA5B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val="restart"/>
          </w:tcPr>
          <w:p w14:paraId="248579BE"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Sex</w:t>
            </w:r>
          </w:p>
        </w:tc>
        <w:tc>
          <w:tcPr>
            <w:tcW w:w="2556" w:type="dxa"/>
          </w:tcPr>
          <w:p w14:paraId="2F9C46F7"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Male</w:t>
            </w:r>
          </w:p>
        </w:tc>
        <w:tc>
          <w:tcPr>
            <w:tcW w:w="1108" w:type="dxa"/>
          </w:tcPr>
          <w:p w14:paraId="195B3C8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74.10%</w:t>
            </w:r>
          </w:p>
        </w:tc>
        <w:tc>
          <w:tcPr>
            <w:tcW w:w="1139" w:type="dxa"/>
          </w:tcPr>
          <w:p w14:paraId="5C2D2BB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25.00%</w:t>
            </w:r>
          </w:p>
        </w:tc>
        <w:tc>
          <w:tcPr>
            <w:tcW w:w="1079" w:type="dxa"/>
          </w:tcPr>
          <w:p w14:paraId="4BF2887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0.20%</w:t>
            </w:r>
          </w:p>
        </w:tc>
        <w:tc>
          <w:tcPr>
            <w:tcW w:w="1669" w:type="dxa"/>
          </w:tcPr>
          <w:p w14:paraId="326ACCB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0.70%</w:t>
            </w:r>
          </w:p>
        </w:tc>
      </w:tr>
      <w:tr w:rsidR="00F856B5" w:rsidRPr="00560F62" w14:paraId="091C5CAF"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79519AF9" w14:textId="77777777" w:rsidR="00F856B5" w:rsidRPr="00560F62" w:rsidRDefault="00F856B5">
            <w:pPr>
              <w:rPr>
                <w:rFonts w:ascii="Times New Roman" w:hAnsi="Times New Roman" w:cs="Times New Roman"/>
              </w:rPr>
            </w:pPr>
          </w:p>
        </w:tc>
        <w:tc>
          <w:tcPr>
            <w:tcW w:w="2556" w:type="dxa"/>
          </w:tcPr>
          <w:p w14:paraId="4AB32A75"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Female</w:t>
            </w:r>
          </w:p>
        </w:tc>
        <w:tc>
          <w:tcPr>
            <w:tcW w:w="1108" w:type="dxa"/>
          </w:tcPr>
          <w:p w14:paraId="5670A8D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69.30%</w:t>
            </w:r>
          </w:p>
        </w:tc>
        <w:tc>
          <w:tcPr>
            <w:tcW w:w="1139" w:type="dxa"/>
          </w:tcPr>
          <w:p w14:paraId="3B0A0DE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29.40%</w:t>
            </w:r>
          </w:p>
        </w:tc>
        <w:tc>
          <w:tcPr>
            <w:tcW w:w="1079" w:type="dxa"/>
          </w:tcPr>
          <w:p w14:paraId="0BC35F6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1.20%</w:t>
            </w:r>
          </w:p>
        </w:tc>
        <w:tc>
          <w:tcPr>
            <w:tcW w:w="1669" w:type="dxa"/>
          </w:tcPr>
          <w:p w14:paraId="612FFD7C"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0.10%</w:t>
            </w:r>
          </w:p>
        </w:tc>
      </w:tr>
      <w:tr w:rsidR="00F856B5" w:rsidRPr="00560F62" w14:paraId="68CDAB1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val="restart"/>
          </w:tcPr>
          <w:p w14:paraId="201C68DD"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Age range</w:t>
            </w:r>
          </w:p>
        </w:tc>
        <w:tc>
          <w:tcPr>
            <w:tcW w:w="2556" w:type="dxa"/>
          </w:tcPr>
          <w:p w14:paraId="7CEF9E1A"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Under 30 years old</w:t>
            </w:r>
          </w:p>
        </w:tc>
        <w:tc>
          <w:tcPr>
            <w:tcW w:w="1108" w:type="dxa"/>
          </w:tcPr>
          <w:p w14:paraId="0F91580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78.26%</w:t>
            </w:r>
          </w:p>
        </w:tc>
        <w:tc>
          <w:tcPr>
            <w:tcW w:w="1139" w:type="dxa"/>
          </w:tcPr>
          <w:p w14:paraId="55EA3BA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19.54%</w:t>
            </w:r>
          </w:p>
        </w:tc>
        <w:tc>
          <w:tcPr>
            <w:tcW w:w="1079" w:type="dxa"/>
          </w:tcPr>
          <w:p w14:paraId="15FEC02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2.20%</w:t>
            </w:r>
          </w:p>
        </w:tc>
        <w:tc>
          <w:tcPr>
            <w:tcW w:w="1669" w:type="dxa"/>
          </w:tcPr>
          <w:p w14:paraId="691F174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0B9B3D91"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352A053F" w14:textId="77777777" w:rsidR="00F856B5" w:rsidRPr="00560F62" w:rsidRDefault="00F856B5">
            <w:pPr>
              <w:rPr>
                <w:rFonts w:ascii="Times New Roman" w:hAnsi="Times New Roman" w:cs="Times New Roman"/>
              </w:rPr>
            </w:pPr>
          </w:p>
        </w:tc>
        <w:tc>
          <w:tcPr>
            <w:tcW w:w="2556" w:type="dxa"/>
          </w:tcPr>
          <w:p w14:paraId="281824F2"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30-39 years old</w:t>
            </w:r>
          </w:p>
        </w:tc>
        <w:tc>
          <w:tcPr>
            <w:tcW w:w="1108" w:type="dxa"/>
          </w:tcPr>
          <w:p w14:paraId="414E105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72.85%</w:t>
            </w:r>
          </w:p>
        </w:tc>
        <w:tc>
          <w:tcPr>
            <w:tcW w:w="1139" w:type="dxa"/>
          </w:tcPr>
          <w:p w14:paraId="6AD58476"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26.32%</w:t>
            </w:r>
          </w:p>
        </w:tc>
        <w:tc>
          <w:tcPr>
            <w:tcW w:w="1079" w:type="dxa"/>
          </w:tcPr>
          <w:p w14:paraId="1C479F2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0.60%</w:t>
            </w:r>
          </w:p>
        </w:tc>
        <w:tc>
          <w:tcPr>
            <w:tcW w:w="1669" w:type="dxa"/>
          </w:tcPr>
          <w:p w14:paraId="02B2420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0.23%</w:t>
            </w:r>
          </w:p>
        </w:tc>
      </w:tr>
      <w:tr w:rsidR="00F856B5" w:rsidRPr="00560F62" w14:paraId="2E0224B2"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5D959A4D" w14:textId="77777777" w:rsidR="00F856B5" w:rsidRPr="00560F62" w:rsidRDefault="00F856B5">
            <w:pPr>
              <w:rPr>
                <w:rFonts w:ascii="Times New Roman" w:hAnsi="Times New Roman" w:cs="Times New Roman"/>
              </w:rPr>
            </w:pPr>
          </w:p>
        </w:tc>
        <w:tc>
          <w:tcPr>
            <w:tcW w:w="2556" w:type="dxa"/>
          </w:tcPr>
          <w:p w14:paraId="4F4D5667"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40-49 years old</w:t>
            </w:r>
          </w:p>
        </w:tc>
        <w:tc>
          <w:tcPr>
            <w:tcW w:w="1108" w:type="dxa"/>
          </w:tcPr>
          <w:p w14:paraId="64F8813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69.77%</w:t>
            </w:r>
          </w:p>
        </w:tc>
        <w:tc>
          <w:tcPr>
            <w:tcW w:w="1139" w:type="dxa"/>
          </w:tcPr>
          <w:p w14:paraId="2C80EB2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28.97%</w:t>
            </w:r>
          </w:p>
        </w:tc>
        <w:tc>
          <w:tcPr>
            <w:tcW w:w="1079" w:type="dxa"/>
          </w:tcPr>
          <w:p w14:paraId="68C8F88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0.50%</w:t>
            </w:r>
          </w:p>
        </w:tc>
        <w:tc>
          <w:tcPr>
            <w:tcW w:w="1669" w:type="dxa"/>
          </w:tcPr>
          <w:p w14:paraId="00F40F78"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0.76%</w:t>
            </w:r>
          </w:p>
        </w:tc>
      </w:tr>
      <w:tr w:rsidR="00F856B5" w:rsidRPr="00560F62" w14:paraId="21BC716F"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234679B0" w14:textId="77777777" w:rsidR="00F856B5" w:rsidRPr="00560F62" w:rsidRDefault="00F856B5">
            <w:pPr>
              <w:rPr>
                <w:rFonts w:ascii="Times New Roman" w:hAnsi="Times New Roman" w:cs="Times New Roman"/>
              </w:rPr>
            </w:pPr>
          </w:p>
        </w:tc>
        <w:tc>
          <w:tcPr>
            <w:tcW w:w="2556" w:type="dxa"/>
          </w:tcPr>
          <w:p w14:paraId="61B71CAE"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Over 50 years old</w:t>
            </w:r>
          </w:p>
        </w:tc>
        <w:tc>
          <w:tcPr>
            <w:tcW w:w="1108" w:type="dxa"/>
          </w:tcPr>
          <w:p w14:paraId="48D42932"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69.70%</w:t>
            </w:r>
          </w:p>
        </w:tc>
        <w:tc>
          <w:tcPr>
            <w:tcW w:w="1139" w:type="dxa"/>
          </w:tcPr>
          <w:p w14:paraId="0E3D4D91"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29.00%</w:t>
            </w:r>
          </w:p>
        </w:tc>
        <w:tc>
          <w:tcPr>
            <w:tcW w:w="1079" w:type="dxa"/>
          </w:tcPr>
          <w:p w14:paraId="60D5647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1.30%</w:t>
            </w:r>
          </w:p>
        </w:tc>
        <w:tc>
          <w:tcPr>
            <w:tcW w:w="1669" w:type="dxa"/>
          </w:tcPr>
          <w:p w14:paraId="757B997E"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7336ADB0"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val="restart"/>
          </w:tcPr>
          <w:p w14:paraId="55587023"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lastRenderedPageBreak/>
              <w:t>Educational Stage</w:t>
            </w:r>
          </w:p>
        </w:tc>
        <w:tc>
          <w:tcPr>
            <w:tcW w:w="2556" w:type="dxa"/>
          </w:tcPr>
          <w:p w14:paraId="3CD2CD20"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Early Education</w:t>
            </w:r>
          </w:p>
        </w:tc>
        <w:tc>
          <w:tcPr>
            <w:tcW w:w="1108" w:type="dxa"/>
          </w:tcPr>
          <w:p w14:paraId="7E14195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74.65%</w:t>
            </w:r>
          </w:p>
        </w:tc>
        <w:tc>
          <w:tcPr>
            <w:tcW w:w="1139" w:type="dxa"/>
          </w:tcPr>
          <w:p w14:paraId="641E15B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23.90%</w:t>
            </w:r>
          </w:p>
        </w:tc>
        <w:tc>
          <w:tcPr>
            <w:tcW w:w="1079" w:type="dxa"/>
          </w:tcPr>
          <w:p w14:paraId="713332E4"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1.40%</w:t>
            </w:r>
          </w:p>
        </w:tc>
        <w:tc>
          <w:tcPr>
            <w:tcW w:w="1669" w:type="dxa"/>
          </w:tcPr>
          <w:p w14:paraId="54343DE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0.05%</w:t>
            </w:r>
          </w:p>
        </w:tc>
      </w:tr>
      <w:tr w:rsidR="00F856B5" w:rsidRPr="00560F62" w14:paraId="51457EA9"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13B227AF" w14:textId="77777777" w:rsidR="00F856B5" w:rsidRPr="00560F62" w:rsidRDefault="00F856B5">
            <w:pPr>
              <w:rPr>
                <w:rFonts w:ascii="Times New Roman" w:hAnsi="Times New Roman" w:cs="Times New Roman"/>
              </w:rPr>
            </w:pPr>
          </w:p>
        </w:tc>
        <w:tc>
          <w:tcPr>
            <w:tcW w:w="2556" w:type="dxa"/>
          </w:tcPr>
          <w:p w14:paraId="34A92A09"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EGB (Grade 1-6)</w:t>
            </w:r>
          </w:p>
        </w:tc>
        <w:tc>
          <w:tcPr>
            <w:tcW w:w="1108" w:type="dxa"/>
          </w:tcPr>
          <w:p w14:paraId="58BE5D5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72.30%</w:t>
            </w:r>
          </w:p>
        </w:tc>
        <w:tc>
          <w:tcPr>
            <w:tcW w:w="1139" w:type="dxa"/>
          </w:tcPr>
          <w:p w14:paraId="1A104DD8"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26.40%</w:t>
            </w:r>
          </w:p>
        </w:tc>
        <w:tc>
          <w:tcPr>
            <w:tcW w:w="1079" w:type="dxa"/>
          </w:tcPr>
          <w:p w14:paraId="7E870C8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1.30%</w:t>
            </w:r>
          </w:p>
        </w:tc>
        <w:tc>
          <w:tcPr>
            <w:tcW w:w="1669" w:type="dxa"/>
          </w:tcPr>
          <w:p w14:paraId="1DF814D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7A9F1F69"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7218F674" w14:textId="77777777" w:rsidR="00F856B5" w:rsidRPr="00560F62" w:rsidRDefault="00F856B5">
            <w:pPr>
              <w:rPr>
                <w:rFonts w:ascii="Times New Roman" w:hAnsi="Times New Roman" w:cs="Times New Roman"/>
              </w:rPr>
            </w:pPr>
          </w:p>
        </w:tc>
        <w:tc>
          <w:tcPr>
            <w:tcW w:w="2556" w:type="dxa"/>
          </w:tcPr>
          <w:p w14:paraId="42B3B0E8"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EGB (Grade 7-10)</w:t>
            </w:r>
          </w:p>
        </w:tc>
        <w:tc>
          <w:tcPr>
            <w:tcW w:w="1108" w:type="dxa"/>
          </w:tcPr>
          <w:p w14:paraId="02969C5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71.04%</w:t>
            </w:r>
          </w:p>
        </w:tc>
        <w:tc>
          <w:tcPr>
            <w:tcW w:w="1139" w:type="dxa"/>
          </w:tcPr>
          <w:p w14:paraId="66F9345C"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28.20%</w:t>
            </w:r>
          </w:p>
        </w:tc>
        <w:tc>
          <w:tcPr>
            <w:tcW w:w="1079" w:type="dxa"/>
          </w:tcPr>
          <w:p w14:paraId="015A9D7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0.40%</w:t>
            </w:r>
          </w:p>
        </w:tc>
        <w:tc>
          <w:tcPr>
            <w:tcW w:w="1669" w:type="dxa"/>
          </w:tcPr>
          <w:p w14:paraId="0C56D7B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0.36%</w:t>
            </w:r>
          </w:p>
        </w:tc>
      </w:tr>
      <w:tr w:rsidR="00F856B5" w:rsidRPr="00560F62" w14:paraId="2BD9C51E"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4584FBDD" w14:textId="77777777" w:rsidR="00F856B5" w:rsidRPr="00560F62" w:rsidRDefault="00F856B5">
            <w:pPr>
              <w:rPr>
                <w:rFonts w:ascii="Times New Roman" w:hAnsi="Times New Roman" w:cs="Times New Roman"/>
              </w:rPr>
            </w:pPr>
          </w:p>
        </w:tc>
        <w:tc>
          <w:tcPr>
            <w:tcW w:w="2556" w:type="dxa"/>
          </w:tcPr>
          <w:p w14:paraId="19BF2122"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High School</w:t>
            </w:r>
          </w:p>
        </w:tc>
        <w:tc>
          <w:tcPr>
            <w:tcW w:w="1108" w:type="dxa"/>
          </w:tcPr>
          <w:p w14:paraId="5466D2A4"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69.79%</w:t>
            </w:r>
          </w:p>
        </w:tc>
        <w:tc>
          <w:tcPr>
            <w:tcW w:w="1139" w:type="dxa"/>
          </w:tcPr>
          <w:p w14:paraId="07ABCDC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29.40%</w:t>
            </w:r>
          </w:p>
        </w:tc>
        <w:tc>
          <w:tcPr>
            <w:tcW w:w="1079" w:type="dxa"/>
          </w:tcPr>
          <w:p w14:paraId="6500EF0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0.40%</w:t>
            </w:r>
          </w:p>
        </w:tc>
        <w:tc>
          <w:tcPr>
            <w:tcW w:w="1669" w:type="dxa"/>
          </w:tcPr>
          <w:p w14:paraId="6FDDD24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0.41%</w:t>
            </w:r>
          </w:p>
        </w:tc>
      </w:tr>
      <w:tr w:rsidR="00F856B5" w:rsidRPr="00560F62" w14:paraId="7DA332D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5C6BCE2A" w14:textId="77777777" w:rsidR="00F856B5" w:rsidRPr="00560F62" w:rsidRDefault="00F856B5">
            <w:pPr>
              <w:rPr>
                <w:rFonts w:ascii="Times New Roman" w:hAnsi="Times New Roman" w:cs="Times New Roman"/>
              </w:rPr>
            </w:pPr>
          </w:p>
        </w:tc>
        <w:tc>
          <w:tcPr>
            <w:tcW w:w="2556" w:type="dxa"/>
          </w:tcPr>
          <w:p w14:paraId="2ED0F8ED"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Higher Education</w:t>
            </w:r>
          </w:p>
        </w:tc>
        <w:tc>
          <w:tcPr>
            <w:tcW w:w="1108" w:type="dxa"/>
          </w:tcPr>
          <w:p w14:paraId="21EA6382"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69.62%</w:t>
            </w:r>
          </w:p>
        </w:tc>
        <w:tc>
          <w:tcPr>
            <w:tcW w:w="1139" w:type="dxa"/>
          </w:tcPr>
          <w:p w14:paraId="37F829AD"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26.60%</w:t>
            </w:r>
          </w:p>
        </w:tc>
        <w:tc>
          <w:tcPr>
            <w:tcW w:w="1079" w:type="dxa"/>
          </w:tcPr>
          <w:p w14:paraId="4663953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2.50%</w:t>
            </w:r>
          </w:p>
        </w:tc>
        <w:tc>
          <w:tcPr>
            <w:tcW w:w="1669" w:type="dxa"/>
          </w:tcPr>
          <w:p w14:paraId="755FF767"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1.28%</w:t>
            </w:r>
          </w:p>
        </w:tc>
      </w:tr>
      <w:tr w:rsidR="00F856B5" w:rsidRPr="00560F62" w14:paraId="53D1E592"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val="restart"/>
          </w:tcPr>
          <w:p w14:paraId="78E31948" w14:textId="77777777" w:rsidR="00F856B5" w:rsidRPr="00560F62" w:rsidRDefault="009F7ECA">
            <w:pPr>
              <w:spacing w:after="0" w:line="240" w:lineRule="auto"/>
              <w:rPr>
                <w:rFonts w:ascii="Times New Roman" w:eastAsia="Times New Roman" w:hAnsi="Times New Roman" w:cs="Times New Roman"/>
                <w:sz w:val="20"/>
                <w:szCs w:val="20"/>
              </w:rPr>
            </w:pPr>
            <w:r w:rsidRPr="00560F62">
              <w:rPr>
                <w:rFonts w:ascii="Times New Roman" w:hAnsi="Times New Roman" w:cs="Times New Roman"/>
                <w:sz w:val="20"/>
              </w:rPr>
              <w:t>Funding</w:t>
            </w:r>
          </w:p>
        </w:tc>
        <w:tc>
          <w:tcPr>
            <w:tcW w:w="2556" w:type="dxa"/>
          </w:tcPr>
          <w:p w14:paraId="3B4DC6A2"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Public School</w:t>
            </w:r>
          </w:p>
        </w:tc>
        <w:tc>
          <w:tcPr>
            <w:tcW w:w="1108" w:type="dxa"/>
          </w:tcPr>
          <w:p w14:paraId="31CA08D9"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69.70%</w:t>
            </w:r>
          </w:p>
        </w:tc>
        <w:tc>
          <w:tcPr>
            <w:tcW w:w="1139" w:type="dxa"/>
          </w:tcPr>
          <w:p w14:paraId="2EC23810"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29.10%</w:t>
            </w:r>
          </w:p>
        </w:tc>
        <w:tc>
          <w:tcPr>
            <w:tcW w:w="1079" w:type="dxa"/>
          </w:tcPr>
          <w:p w14:paraId="6BED7F5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0.80%</w:t>
            </w:r>
          </w:p>
        </w:tc>
        <w:tc>
          <w:tcPr>
            <w:tcW w:w="1669" w:type="dxa"/>
          </w:tcPr>
          <w:p w14:paraId="113C5D3F"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0.40%</w:t>
            </w:r>
          </w:p>
        </w:tc>
      </w:tr>
      <w:tr w:rsidR="00F856B5" w:rsidRPr="00560F62" w14:paraId="178A1909"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3660E7E8" w14:textId="77777777" w:rsidR="00F856B5" w:rsidRPr="00560F62" w:rsidRDefault="00F856B5">
            <w:pPr>
              <w:rPr>
                <w:rFonts w:ascii="Times New Roman" w:hAnsi="Times New Roman" w:cs="Times New Roman"/>
              </w:rPr>
            </w:pPr>
          </w:p>
        </w:tc>
        <w:tc>
          <w:tcPr>
            <w:tcW w:w="2556" w:type="dxa"/>
          </w:tcPr>
          <w:p w14:paraId="3EAD8F44"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Fiscomisional School</w:t>
            </w:r>
          </w:p>
        </w:tc>
        <w:tc>
          <w:tcPr>
            <w:tcW w:w="1108" w:type="dxa"/>
          </w:tcPr>
          <w:p w14:paraId="235DF155"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74.80%</w:t>
            </w:r>
          </w:p>
        </w:tc>
        <w:tc>
          <w:tcPr>
            <w:tcW w:w="1139" w:type="dxa"/>
          </w:tcPr>
          <w:p w14:paraId="6600043F"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24.30%</w:t>
            </w:r>
          </w:p>
        </w:tc>
        <w:tc>
          <w:tcPr>
            <w:tcW w:w="1079" w:type="dxa"/>
          </w:tcPr>
          <w:p w14:paraId="29AFD1D6"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0.90%</w:t>
            </w:r>
          </w:p>
        </w:tc>
        <w:tc>
          <w:tcPr>
            <w:tcW w:w="1669" w:type="dxa"/>
          </w:tcPr>
          <w:p w14:paraId="5911B643"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r w:rsidR="00F856B5" w:rsidRPr="00560F62" w14:paraId="419E72AC"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27EF28F1" w14:textId="77777777" w:rsidR="00F856B5" w:rsidRPr="00560F62" w:rsidRDefault="00F856B5">
            <w:pPr>
              <w:rPr>
                <w:rFonts w:ascii="Times New Roman" w:hAnsi="Times New Roman" w:cs="Times New Roman"/>
              </w:rPr>
            </w:pPr>
          </w:p>
        </w:tc>
        <w:tc>
          <w:tcPr>
            <w:tcW w:w="2556" w:type="dxa"/>
          </w:tcPr>
          <w:p w14:paraId="1D0261A5" w14:textId="77777777" w:rsidR="00F856B5" w:rsidRPr="00560F62"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b/>
                <w:sz w:val="20"/>
              </w:rPr>
              <w:t>Private School</w:t>
            </w:r>
          </w:p>
        </w:tc>
        <w:tc>
          <w:tcPr>
            <w:tcW w:w="1108" w:type="dxa"/>
          </w:tcPr>
          <w:p w14:paraId="7F68C457"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84.40%</w:t>
            </w:r>
          </w:p>
        </w:tc>
        <w:tc>
          <w:tcPr>
            <w:tcW w:w="1139" w:type="dxa"/>
          </w:tcPr>
          <w:p w14:paraId="71412FCB"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13.33%</w:t>
            </w:r>
          </w:p>
        </w:tc>
        <w:tc>
          <w:tcPr>
            <w:tcW w:w="1079" w:type="dxa"/>
          </w:tcPr>
          <w:p w14:paraId="6CD3780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2.20%</w:t>
            </w:r>
          </w:p>
        </w:tc>
        <w:tc>
          <w:tcPr>
            <w:tcW w:w="1669" w:type="dxa"/>
          </w:tcPr>
          <w:p w14:paraId="07B18DED" w14:textId="77777777" w:rsidR="00F856B5" w:rsidRPr="00560F62" w:rsidRDefault="009F7E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0.07%</w:t>
            </w:r>
          </w:p>
        </w:tc>
      </w:tr>
      <w:tr w:rsidR="00F856B5" w:rsidRPr="00560F62" w14:paraId="318487AE"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dxa"/>
            <w:vMerge/>
          </w:tcPr>
          <w:p w14:paraId="76A20573" w14:textId="77777777" w:rsidR="00F856B5" w:rsidRPr="00560F62" w:rsidRDefault="00F856B5">
            <w:pPr>
              <w:rPr>
                <w:rFonts w:ascii="Times New Roman" w:hAnsi="Times New Roman" w:cs="Times New Roman"/>
              </w:rPr>
            </w:pPr>
          </w:p>
        </w:tc>
        <w:tc>
          <w:tcPr>
            <w:tcW w:w="2556" w:type="dxa"/>
          </w:tcPr>
          <w:p w14:paraId="40B80C3B" w14:textId="77777777" w:rsidR="00F856B5" w:rsidRPr="00560F62"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Other</w:t>
            </w:r>
          </w:p>
        </w:tc>
        <w:tc>
          <w:tcPr>
            <w:tcW w:w="1108" w:type="dxa"/>
          </w:tcPr>
          <w:p w14:paraId="6FBA0C39"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80.00%</w:t>
            </w:r>
          </w:p>
        </w:tc>
        <w:tc>
          <w:tcPr>
            <w:tcW w:w="1139" w:type="dxa"/>
          </w:tcPr>
          <w:p w14:paraId="4F73C9E9"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20.00%</w:t>
            </w:r>
          </w:p>
        </w:tc>
        <w:tc>
          <w:tcPr>
            <w:tcW w:w="1079" w:type="dxa"/>
          </w:tcPr>
          <w:p w14:paraId="2815DC5E"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c>
          <w:tcPr>
            <w:tcW w:w="1669" w:type="dxa"/>
          </w:tcPr>
          <w:p w14:paraId="69B3CB20" w14:textId="77777777" w:rsidR="00F856B5" w:rsidRPr="00560F62" w:rsidRDefault="009F7E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cs="Times New Roman"/>
                <w:sz w:val="20"/>
              </w:rPr>
              <w:t>0.00%</w:t>
            </w:r>
          </w:p>
        </w:tc>
      </w:tr>
    </w:tbl>
    <w:p w14:paraId="4455FE1F" w14:textId="77777777" w:rsidR="00F856B5" w:rsidRPr="00CE35AA" w:rsidRDefault="00F856B5" w:rsidP="00CE35AA">
      <w:pPr>
        <w:spacing w:line="480" w:lineRule="auto"/>
        <w:rPr>
          <w:rFonts w:ascii="Times New Roman" w:eastAsia="Times New Roman" w:hAnsi="Times New Roman" w:cs="Times New Roman"/>
          <w:sz w:val="24"/>
          <w:szCs w:val="24"/>
        </w:rPr>
      </w:pPr>
    </w:p>
    <w:p w14:paraId="3202B1EC"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Upon analyzing the teachers' perceived utility of both technology and digital resources in the classroom for improving student learning, no significant differences were observed between hours of training, sex, age, and educational stage. However, there was a favourable difference between private schools, with 84.4% of teachers awarding the highest value compared to teachers from public schools, who did this to a lesser extent, with 69.7%.</w:t>
      </w:r>
    </w:p>
    <w:p w14:paraId="2C70693A"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 xml:space="preserve">In the overall assessment, we found that “Very useful” and “Quite useful” were the two most frequent responses, adding up to 98.8% of the assessments, and 71% of teachers considered the use of technology and resources to be “Very useful”, representing a very significant percentage for the group of teachers surveyed. </w:t>
      </w:r>
    </w:p>
    <w:p w14:paraId="6F819C47" w14:textId="77777777" w:rsidR="00F856B5" w:rsidRPr="00CE35AA" w:rsidRDefault="009F7ECA" w:rsidP="00CE35AA">
      <w:pPr>
        <w:spacing w:line="480" w:lineRule="auto"/>
        <w:rPr>
          <w:rFonts w:ascii="Times New Roman" w:eastAsia="Times New Roman" w:hAnsi="Times New Roman" w:cs="Times New Roman"/>
          <w:b/>
          <w:bCs/>
          <w:sz w:val="24"/>
          <w:szCs w:val="24"/>
        </w:rPr>
      </w:pPr>
      <w:r w:rsidRPr="00CE35AA">
        <w:rPr>
          <w:rFonts w:ascii="Times New Roman" w:hAnsi="Times New Roman"/>
          <w:b/>
          <w:sz w:val="24"/>
          <w:szCs w:val="24"/>
        </w:rPr>
        <w:t>Table 8</w:t>
      </w:r>
    </w:p>
    <w:p w14:paraId="5A553133" w14:textId="6A324791" w:rsidR="00F856B5" w:rsidRPr="00CE35AA" w:rsidRDefault="009F7ECA" w:rsidP="00CE35AA">
      <w:pPr>
        <w:spacing w:line="480" w:lineRule="auto"/>
        <w:rPr>
          <w:rFonts w:ascii="Times New Roman" w:eastAsia="Times New Roman" w:hAnsi="Times New Roman" w:cs="Times New Roman"/>
          <w:i/>
          <w:iCs/>
          <w:sz w:val="24"/>
          <w:szCs w:val="24"/>
        </w:rPr>
      </w:pPr>
      <w:r w:rsidRPr="00CE35AA">
        <w:rPr>
          <w:rFonts w:ascii="Times New Roman" w:hAnsi="Times New Roman"/>
          <w:i/>
          <w:sz w:val="24"/>
          <w:szCs w:val="24"/>
        </w:rPr>
        <w:t>Frequency of modification of educational activities after participating in the courses by number of training hours, sex, age, educational stage, and school funding</w:t>
      </w:r>
    </w:p>
    <w:tbl>
      <w:tblPr>
        <w:tblStyle w:val="PlainTable2"/>
        <w:tblW w:w="9016" w:type="dxa"/>
        <w:tblLayout w:type="fixed"/>
        <w:tblLook w:val="04A0" w:firstRow="1" w:lastRow="0" w:firstColumn="1" w:lastColumn="0" w:noHBand="0" w:noVBand="1"/>
      </w:tblPr>
      <w:tblGrid>
        <w:gridCol w:w="1414"/>
        <w:gridCol w:w="2886"/>
        <w:gridCol w:w="1187"/>
        <w:gridCol w:w="1185"/>
        <w:gridCol w:w="1172"/>
        <w:gridCol w:w="1172"/>
      </w:tblGrid>
      <w:tr w:rsidR="00560F62" w:rsidRPr="00560F62" w14:paraId="785188BD" w14:textId="77777777" w:rsidTr="00560F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99" w:type="dxa"/>
            <w:gridSpan w:val="2"/>
          </w:tcPr>
          <w:p w14:paraId="114D5077" w14:textId="77777777" w:rsidR="00F856B5" w:rsidRPr="00560F62" w:rsidRDefault="009F7ECA">
            <w:pPr>
              <w:spacing w:after="0" w:line="240" w:lineRule="auto"/>
              <w:jc w:val="center"/>
              <w:rPr>
                <w:rFonts w:ascii="Times New Roman" w:eastAsia="Times New Roman" w:hAnsi="Times New Roman" w:cs="Times New Roman"/>
                <w:sz w:val="20"/>
                <w:szCs w:val="20"/>
              </w:rPr>
            </w:pPr>
            <w:r w:rsidRPr="00560F62">
              <w:rPr>
                <w:rFonts w:ascii="Times New Roman" w:hAnsi="Times New Roman"/>
                <w:sz w:val="20"/>
              </w:rPr>
              <w:t>How much/how often did you modify educational activities with students after participating in the courses?</w:t>
            </w:r>
          </w:p>
        </w:tc>
        <w:tc>
          <w:tcPr>
            <w:tcW w:w="1187" w:type="dxa"/>
          </w:tcPr>
          <w:p w14:paraId="5E149E06"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sz w:val="20"/>
              </w:rPr>
              <w:t>% Very often</w:t>
            </w:r>
          </w:p>
        </w:tc>
        <w:tc>
          <w:tcPr>
            <w:tcW w:w="1185" w:type="dxa"/>
          </w:tcPr>
          <w:p w14:paraId="57FF403E"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sz w:val="20"/>
              </w:rPr>
              <w:t>% Somewhat often</w:t>
            </w:r>
          </w:p>
        </w:tc>
        <w:tc>
          <w:tcPr>
            <w:tcW w:w="1172" w:type="dxa"/>
          </w:tcPr>
          <w:p w14:paraId="76507239"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sz w:val="20"/>
              </w:rPr>
              <w:t>% Not very often</w:t>
            </w:r>
          </w:p>
        </w:tc>
        <w:tc>
          <w:tcPr>
            <w:tcW w:w="1172" w:type="dxa"/>
          </w:tcPr>
          <w:p w14:paraId="073ADD89" w14:textId="77777777" w:rsidR="00F856B5" w:rsidRPr="00560F62" w:rsidRDefault="009F7E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sz w:val="20"/>
              </w:rPr>
              <w:t>% Never</w:t>
            </w:r>
          </w:p>
        </w:tc>
      </w:tr>
      <w:tr w:rsidR="00F856B5" w14:paraId="79622A9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99" w:type="dxa"/>
            <w:gridSpan w:val="2"/>
          </w:tcPr>
          <w:p w14:paraId="6AF7AECC" w14:textId="77777777" w:rsidR="00F856B5" w:rsidRDefault="009F7ECA">
            <w:pPr>
              <w:spacing w:after="0" w:line="240" w:lineRule="auto"/>
              <w:rPr>
                <w:rFonts w:ascii="Times New Roman" w:eastAsia="Times New Roman" w:hAnsi="Times New Roman" w:cs="Times New Roman"/>
                <w:sz w:val="20"/>
                <w:szCs w:val="20"/>
              </w:rPr>
            </w:pPr>
            <w:r>
              <w:rPr>
                <w:rFonts w:ascii="Times New Roman" w:hAnsi="Times New Roman"/>
                <w:sz w:val="20"/>
              </w:rPr>
              <w:t>Average</w:t>
            </w:r>
          </w:p>
        </w:tc>
        <w:tc>
          <w:tcPr>
            <w:tcW w:w="1187" w:type="dxa"/>
          </w:tcPr>
          <w:p w14:paraId="3AF9B6EE"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24.70%</w:t>
            </w:r>
          </w:p>
        </w:tc>
        <w:tc>
          <w:tcPr>
            <w:tcW w:w="1185" w:type="dxa"/>
          </w:tcPr>
          <w:p w14:paraId="18EB94D1"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53.40%</w:t>
            </w:r>
          </w:p>
        </w:tc>
        <w:tc>
          <w:tcPr>
            <w:tcW w:w="1172" w:type="dxa"/>
          </w:tcPr>
          <w:p w14:paraId="20B8CCED"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20.70%</w:t>
            </w:r>
          </w:p>
        </w:tc>
        <w:tc>
          <w:tcPr>
            <w:tcW w:w="1172" w:type="dxa"/>
          </w:tcPr>
          <w:p w14:paraId="6C9A6002"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1.20%</w:t>
            </w:r>
          </w:p>
        </w:tc>
      </w:tr>
      <w:tr w:rsidR="00F856B5" w14:paraId="67F4419F"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6095C24" w14:textId="77777777" w:rsidR="00F856B5" w:rsidRDefault="009F7ECA">
            <w:pPr>
              <w:spacing w:after="0" w:line="240" w:lineRule="auto"/>
              <w:rPr>
                <w:rFonts w:ascii="Times New Roman" w:eastAsia="Times New Roman" w:hAnsi="Times New Roman" w:cs="Times New Roman"/>
                <w:sz w:val="20"/>
                <w:szCs w:val="20"/>
              </w:rPr>
            </w:pPr>
            <w:r>
              <w:rPr>
                <w:rFonts w:ascii="Times New Roman" w:hAnsi="Times New Roman"/>
                <w:sz w:val="20"/>
              </w:rPr>
              <w:t>Hours of Training Completed</w:t>
            </w:r>
          </w:p>
        </w:tc>
        <w:tc>
          <w:tcPr>
            <w:tcW w:w="2886" w:type="dxa"/>
          </w:tcPr>
          <w:p w14:paraId="7020B734"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Under 50 hours</w:t>
            </w:r>
          </w:p>
        </w:tc>
        <w:tc>
          <w:tcPr>
            <w:tcW w:w="1187" w:type="dxa"/>
          </w:tcPr>
          <w:p w14:paraId="322135D6"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20.5%</w:t>
            </w:r>
          </w:p>
        </w:tc>
        <w:tc>
          <w:tcPr>
            <w:tcW w:w="1185" w:type="dxa"/>
          </w:tcPr>
          <w:p w14:paraId="3F1B149B"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53.0%</w:t>
            </w:r>
          </w:p>
        </w:tc>
        <w:tc>
          <w:tcPr>
            <w:tcW w:w="1172" w:type="dxa"/>
          </w:tcPr>
          <w:p w14:paraId="0CF24B30"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23.8%</w:t>
            </w:r>
          </w:p>
        </w:tc>
        <w:tc>
          <w:tcPr>
            <w:tcW w:w="1172" w:type="dxa"/>
          </w:tcPr>
          <w:p w14:paraId="463B31DA"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2.74%</w:t>
            </w:r>
          </w:p>
        </w:tc>
      </w:tr>
      <w:tr w:rsidR="00F856B5" w14:paraId="0562C0FD"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20867144" w14:textId="77777777" w:rsidR="00F856B5" w:rsidRDefault="00F856B5"/>
        </w:tc>
        <w:tc>
          <w:tcPr>
            <w:tcW w:w="2886" w:type="dxa"/>
          </w:tcPr>
          <w:p w14:paraId="60B404E2"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50-100 hours</w:t>
            </w:r>
          </w:p>
        </w:tc>
        <w:tc>
          <w:tcPr>
            <w:tcW w:w="1187" w:type="dxa"/>
          </w:tcPr>
          <w:p w14:paraId="752C415E"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30.8%</w:t>
            </w:r>
          </w:p>
        </w:tc>
        <w:tc>
          <w:tcPr>
            <w:tcW w:w="1185" w:type="dxa"/>
          </w:tcPr>
          <w:p w14:paraId="3DD4A93C"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47.2%</w:t>
            </w:r>
          </w:p>
        </w:tc>
        <w:tc>
          <w:tcPr>
            <w:tcW w:w="1172" w:type="dxa"/>
          </w:tcPr>
          <w:p w14:paraId="226D46D4"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21.5%</w:t>
            </w:r>
          </w:p>
        </w:tc>
        <w:tc>
          <w:tcPr>
            <w:tcW w:w="1172" w:type="dxa"/>
          </w:tcPr>
          <w:p w14:paraId="5542F94C"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0.48%</w:t>
            </w:r>
          </w:p>
        </w:tc>
      </w:tr>
      <w:tr w:rsidR="00F856B5" w14:paraId="467B58EC"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8925E5C" w14:textId="77777777" w:rsidR="00F856B5" w:rsidRDefault="00F856B5"/>
        </w:tc>
        <w:tc>
          <w:tcPr>
            <w:tcW w:w="2886" w:type="dxa"/>
          </w:tcPr>
          <w:p w14:paraId="623ACEF4"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100-150 hours</w:t>
            </w:r>
          </w:p>
        </w:tc>
        <w:tc>
          <w:tcPr>
            <w:tcW w:w="1187" w:type="dxa"/>
          </w:tcPr>
          <w:p w14:paraId="05225730"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22.0%</w:t>
            </w:r>
          </w:p>
        </w:tc>
        <w:tc>
          <w:tcPr>
            <w:tcW w:w="1185" w:type="dxa"/>
          </w:tcPr>
          <w:p w14:paraId="1177792C"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57.3%</w:t>
            </w:r>
          </w:p>
        </w:tc>
        <w:tc>
          <w:tcPr>
            <w:tcW w:w="1172" w:type="dxa"/>
          </w:tcPr>
          <w:p w14:paraId="2F705152"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20.1%</w:t>
            </w:r>
          </w:p>
        </w:tc>
        <w:tc>
          <w:tcPr>
            <w:tcW w:w="1172" w:type="dxa"/>
          </w:tcPr>
          <w:p w14:paraId="02EC8372"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0.56%</w:t>
            </w:r>
          </w:p>
        </w:tc>
      </w:tr>
      <w:tr w:rsidR="00F856B5" w14:paraId="3896D19D"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50F2B89" w14:textId="77777777" w:rsidR="00F856B5" w:rsidRDefault="00F856B5"/>
        </w:tc>
        <w:tc>
          <w:tcPr>
            <w:tcW w:w="2886" w:type="dxa"/>
          </w:tcPr>
          <w:p w14:paraId="3205CA10"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150-250 hours</w:t>
            </w:r>
          </w:p>
        </w:tc>
        <w:tc>
          <w:tcPr>
            <w:tcW w:w="1187" w:type="dxa"/>
          </w:tcPr>
          <w:p w14:paraId="2325907F"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17.9%</w:t>
            </w:r>
          </w:p>
        </w:tc>
        <w:tc>
          <w:tcPr>
            <w:tcW w:w="1185" w:type="dxa"/>
          </w:tcPr>
          <w:p w14:paraId="732512F4"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56.3%</w:t>
            </w:r>
          </w:p>
        </w:tc>
        <w:tc>
          <w:tcPr>
            <w:tcW w:w="1172" w:type="dxa"/>
          </w:tcPr>
          <w:p w14:paraId="70550B08"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24.0%</w:t>
            </w:r>
          </w:p>
        </w:tc>
        <w:tc>
          <w:tcPr>
            <w:tcW w:w="1172" w:type="dxa"/>
          </w:tcPr>
          <w:p w14:paraId="09951D6F"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1.87%</w:t>
            </w:r>
          </w:p>
        </w:tc>
      </w:tr>
      <w:tr w:rsidR="00F856B5" w14:paraId="2DD09480"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CF446E9" w14:textId="77777777" w:rsidR="00F856B5" w:rsidRDefault="00F856B5"/>
        </w:tc>
        <w:tc>
          <w:tcPr>
            <w:tcW w:w="2886" w:type="dxa"/>
          </w:tcPr>
          <w:p w14:paraId="12510814"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Over 250 hours</w:t>
            </w:r>
          </w:p>
        </w:tc>
        <w:tc>
          <w:tcPr>
            <w:tcW w:w="1187" w:type="dxa"/>
          </w:tcPr>
          <w:p w14:paraId="49AF99EB"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28.9%</w:t>
            </w:r>
          </w:p>
        </w:tc>
        <w:tc>
          <w:tcPr>
            <w:tcW w:w="1185" w:type="dxa"/>
          </w:tcPr>
          <w:p w14:paraId="70B09E1D"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53.1%</w:t>
            </w:r>
          </w:p>
        </w:tc>
        <w:tc>
          <w:tcPr>
            <w:tcW w:w="1172" w:type="dxa"/>
          </w:tcPr>
          <w:p w14:paraId="42AEC542"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17.2%</w:t>
            </w:r>
          </w:p>
        </w:tc>
        <w:tc>
          <w:tcPr>
            <w:tcW w:w="1172" w:type="dxa"/>
          </w:tcPr>
          <w:p w14:paraId="45D23F3B"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0.77%</w:t>
            </w:r>
          </w:p>
        </w:tc>
      </w:tr>
      <w:tr w:rsidR="00F856B5" w14:paraId="33FCF7EB"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35DDB2B7" w14:textId="77777777" w:rsidR="00F856B5" w:rsidRDefault="009F7ECA">
            <w:pPr>
              <w:spacing w:after="0" w:line="240" w:lineRule="auto"/>
              <w:rPr>
                <w:rFonts w:ascii="Times New Roman" w:eastAsia="Times New Roman" w:hAnsi="Times New Roman" w:cs="Times New Roman"/>
                <w:sz w:val="20"/>
                <w:szCs w:val="20"/>
              </w:rPr>
            </w:pPr>
            <w:r>
              <w:rPr>
                <w:rFonts w:ascii="Times New Roman" w:hAnsi="Times New Roman"/>
                <w:sz w:val="20"/>
              </w:rPr>
              <w:t>Sex</w:t>
            </w:r>
          </w:p>
        </w:tc>
        <w:tc>
          <w:tcPr>
            <w:tcW w:w="2886" w:type="dxa"/>
          </w:tcPr>
          <w:p w14:paraId="151DE382"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Male</w:t>
            </w:r>
          </w:p>
        </w:tc>
        <w:tc>
          <w:tcPr>
            <w:tcW w:w="1187" w:type="dxa"/>
          </w:tcPr>
          <w:p w14:paraId="36ADC194"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28.6%</w:t>
            </w:r>
          </w:p>
        </w:tc>
        <w:tc>
          <w:tcPr>
            <w:tcW w:w="1185" w:type="dxa"/>
          </w:tcPr>
          <w:p w14:paraId="42E80BF4"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50.50%</w:t>
            </w:r>
          </w:p>
        </w:tc>
        <w:tc>
          <w:tcPr>
            <w:tcW w:w="1172" w:type="dxa"/>
          </w:tcPr>
          <w:p w14:paraId="5B1F6A87"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19.1%</w:t>
            </w:r>
          </w:p>
        </w:tc>
        <w:tc>
          <w:tcPr>
            <w:tcW w:w="1172" w:type="dxa"/>
          </w:tcPr>
          <w:p w14:paraId="5F46A38B"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1.75%</w:t>
            </w:r>
          </w:p>
        </w:tc>
      </w:tr>
      <w:tr w:rsidR="00F856B5" w14:paraId="50A40C64"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ABFC5D8" w14:textId="77777777" w:rsidR="00F856B5" w:rsidRDefault="00F856B5"/>
        </w:tc>
        <w:tc>
          <w:tcPr>
            <w:tcW w:w="2886" w:type="dxa"/>
          </w:tcPr>
          <w:p w14:paraId="7A15B047"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Female</w:t>
            </w:r>
          </w:p>
        </w:tc>
        <w:tc>
          <w:tcPr>
            <w:tcW w:w="1187" w:type="dxa"/>
          </w:tcPr>
          <w:p w14:paraId="2D189891"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22.4%</w:t>
            </w:r>
          </w:p>
        </w:tc>
        <w:tc>
          <w:tcPr>
            <w:tcW w:w="1185" w:type="dxa"/>
          </w:tcPr>
          <w:p w14:paraId="23A1C76C"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55.10%</w:t>
            </w:r>
          </w:p>
        </w:tc>
        <w:tc>
          <w:tcPr>
            <w:tcW w:w="1172" w:type="dxa"/>
          </w:tcPr>
          <w:p w14:paraId="106C3E6C"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21.6%</w:t>
            </w:r>
          </w:p>
        </w:tc>
        <w:tc>
          <w:tcPr>
            <w:tcW w:w="1172" w:type="dxa"/>
          </w:tcPr>
          <w:p w14:paraId="23A373F4"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0.85%</w:t>
            </w:r>
          </w:p>
        </w:tc>
      </w:tr>
      <w:tr w:rsidR="00F856B5" w14:paraId="732A24D6"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07C2D5F" w14:textId="77777777" w:rsidR="00F856B5" w:rsidRDefault="009F7ECA">
            <w:pPr>
              <w:spacing w:after="0" w:line="240" w:lineRule="auto"/>
              <w:rPr>
                <w:rFonts w:ascii="Times New Roman" w:eastAsia="Times New Roman" w:hAnsi="Times New Roman" w:cs="Times New Roman"/>
                <w:sz w:val="20"/>
                <w:szCs w:val="20"/>
              </w:rPr>
            </w:pPr>
            <w:r>
              <w:rPr>
                <w:rFonts w:ascii="Times New Roman" w:hAnsi="Times New Roman"/>
                <w:sz w:val="20"/>
              </w:rPr>
              <w:t>Age range</w:t>
            </w:r>
          </w:p>
        </w:tc>
        <w:tc>
          <w:tcPr>
            <w:tcW w:w="2886" w:type="dxa"/>
          </w:tcPr>
          <w:p w14:paraId="76E57591"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Under 30 years old</w:t>
            </w:r>
          </w:p>
        </w:tc>
        <w:tc>
          <w:tcPr>
            <w:tcW w:w="1187" w:type="dxa"/>
          </w:tcPr>
          <w:p w14:paraId="5BDC36A2"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21.7%</w:t>
            </w:r>
          </w:p>
        </w:tc>
        <w:tc>
          <w:tcPr>
            <w:tcW w:w="1185" w:type="dxa"/>
          </w:tcPr>
          <w:p w14:paraId="2A28C18A"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47.80%</w:t>
            </w:r>
          </w:p>
        </w:tc>
        <w:tc>
          <w:tcPr>
            <w:tcW w:w="1172" w:type="dxa"/>
          </w:tcPr>
          <w:p w14:paraId="7895990E"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26.1%</w:t>
            </w:r>
          </w:p>
        </w:tc>
        <w:tc>
          <w:tcPr>
            <w:tcW w:w="1172" w:type="dxa"/>
          </w:tcPr>
          <w:p w14:paraId="1E1DAAB2"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4.37%</w:t>
            </w:r>
          </w:p>
        </w:tc>
      </w:tr>
      <w:tr w:rsidR="00F856B5" w14:paraId="41EEED7B"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2D40C18" w14:textId="77777777" w:rsidR="00F856B5" w:rsidRDefault="00F856B5"/>
        </w:tc>
        <w:tc>
          <w:tcPr>
            <w:tcW w:w="2886" w:type="dxa"/>
          </w:tcPr>
          <w:p w14:paraId="0BE0D35B"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30-39 years old</w:t>
            </w:r>
          </w:p>
        </w:tc>
        <w:tc>
          <w:tcPr>
            <w:tcW w:w="1187" w:type="dxa"/>
          </w:tcPr>
          <w:p w14:paraId="4B190D58"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23.2%</w:t>
            </w:r>
          </w:p>
        </w:tc>
        <w:tc>
          <w:tcPr>
            <w:tcW w:w="1185" w:type="dxa"/>
          </w:tcPr>
          <w:p w14:paraId="1B21C728"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54.60%</w:t>
            </w:r>
          </w:p>
        </w:tc>
        <w:tc>
          <w:tcPr>
            <w:tcW w:w="1172" w:type="dxa"/>
          </w:tcPr>
          <w:p w14:paraId="79E2095E"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21.1%</w:t>
            </w:r>
          </w:p>
        </w:tc>
        <w:tc>
          <w:tcPr>
            <w:tcW w:w="1172" w:type="dxa"/>
          </w:tcPr>
          <w:p w14:paraId="6F8E520F"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1.08%</w:t>
            </w:r>
          </w:p>
        </w:tc>
      </w:tr>
      <w:tr w:rsidR="00F856B5" w14:paraId="5515462C"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6194E0C" w14:textId="77777777" w:rsidR="00F856B5" w:rsidRDefault="00F856B5"/>
        </w:tc>
        <w:tc>
          <w:tcPr>
            <w:tcW w:w="2886" w:type="dxa"/>
          </w:tcPr>
          <w:p w14:paraId="13D3C4FB"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40-49 years old</w:t>
            </w:r>
          </w:p>
        </w:tc>
        <w:tc>
          <w:tcPr>
            <w:tcW w:w="1187" w:type="dxa"/>
          </w:tcPr>
          <w:p w14:paraId="3E388183"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27.0%</w:t>
            </w:r>
          </w:p>
        </w:tc>
        <w:tc>
          <w:tcPr>
            <w:tcW w:w="1185" w:type="dxa"/>
          </w:tcPr>
          <w:p w14:paraId="18CD5E80"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50.40%</w:t>
            </w:r>
          </w:p>
        </w:tc>
        <w:tc>
          <w:tcPr>
            <w:tcW w:w="1172" w:type="dxa"/>
          </w:tcPr>
          <w:p w14:paraId="19AF1B29"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21.1%</w:t>
            </w:r>
          </w:p>
        </w:tc>
        <w:tc>
          <w:tcPr>
            <w:tcW w:w="1172" w:type="dxa"/>
          </w:tcPr>
          <w:p w14:paraId="6DB1B262"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1.46%</w:t>
            </w:r>
          </w:p>
        </w:tc>
      </w:tr>
      <w:tr w:rsidR="00F856B5" w14:paraId="7970E39A"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2C31E778" w14:textId="77777777" w:rsidR="00F856B5" w:rsidRDefault="00F856B5"/>
        </w:tc>
        <w:tc>
          <w:tcPr>
            <w:tcW w:w="2886" w:type="dxa"/>
          </w:tcPr>
          <w:p w14:paraId="1189A623"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Over 50 years old</w:t>
            </w:r>
          </w:p>
        </w:tc>
        <w:tc>
          <w:tcPr>
            <w:tcW w:w="1187" w:type="dxa"/>
          </w:tcPr>
          <w:p w14:paraId="68B74163"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23.9%</w:t>
            </w:r>
          </w:p>
        </w:tc>
        <w:tc>
          <w:tcPr>
            <w:tcW w:w="1185" w:type="dxa"/>
          </w:tcPr>
          <w:p w14:paraId="59546767"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55.90%</w:t>
            </w:r>
          </w:p>
        </w:tc>
        <w:tc>
          <w:tcPr>
            <w:tcW w:w="1172" w:type="dxa"/>
          </w:tcPr>
          <w:p w14:paraId="160FBE9A"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19.5%</w:t>
            </w:r>
          </w:p>
        </w:tc>
        <w:tc>
          <w:tcPr>
            <w:tcW w:w="1172" w:type="dxa"/>
          </w:tcPr>
          <w:p w14:paraId="750FC7CC"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0.75%</w:t>
            </w:r>
          </w:p>
        </w:tc>
      </w:tr>
      <w:tr w:rsidR="00F856B5" w14:paraId="07BE9CF1"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7AD88CF1" w14:textId="77777777" w:rsidR="00F856B5" w:rsidRDefault="009F7ECA">
            <w:pPr>
              <w:spacing w:after="0" w:line="240" w:lineRule="auto"/>
              <w:rPr>
                <w:rFonts w:ascii="Times New Roman" w:eastAsia="Times New Roman" w:hAnsi="Times New Roman" w:cs="Times New Roman"/>
                <w:sz w:val="20"/>
                <w:szCs w:val="20"/>
              </w:rPr>
            </w:pPr>
            <w:r>
              <w:rPr>
                <w:rFonts w:ascii="Times New Roman" w:hAnsi="Times New Roman"/>
                <w:sz w:val="20"/>
              </w:rPr>
              <w:t>Educational Stage</w:t>
            </w:r>
          </w:p>
        </w:tc>
        <w:tc>
          <w:tcPr>
            <w:tcW w:w="2886" w:type="dxa"/>
          </w:tcPr>
          <w:p w14:paraId="60A3FF72"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Early Education</w:t>
            </w:r>
          </w:p>
        </w:tc>
        <w:tc>
          <w:tcPr>
            <w:tcW w:w="1187" w:type="dxa"/>
          </w:tcPr>
          <w:p w14:paraId="0E8BA909"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27.4%</w:t>
            </w:r>
          </w:p>
        </w:tc>
        <w:tc>
          <w:tcPr>
            <w:tcW w:w="1185" w:type="dxa"/>
          </w:tcPr>
          <w:p w14:paraId="1EE071F9"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45.2%</w:t>
            </w:r>
          </w:p>
        </w:tc>
        <w:tc>
          <w:tcPr>
            <w:tcW w:w="1172" w:type="dxa"/>
          </w:tcPr>
          <w:p w14:paraId="23811DAC"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24.7%</w:t>
            </w:r>
          </w:p>
        </w:tc>
        <w:tc>
          <w:tcPr>
            <w:tcW w:w="1172" w:type="dxa"/>
          </w:tcPr>
          <w:p w14:paraId="2B5C1C83"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2.74%</w:t>
            </w:r>
          </w:p>
        </w:tc>
      </w:tr>
      <w:tr w:rsidR="00F856B5" w14:paraId="1AB209F0"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6978ABD" w14:textId="77777777" w:rsidR="00F856B5" w:rsidRDefault="00F856B5"/>
        </w:tc>
        <w:tc>
          <w:tcPr>
            <w:tcW w:w="2886" w:type="dxa"/>
          </w:tcPr>
          <w:p w14:paraId="6EB24F8C"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EGB (Grade 1-6)</w:t>
            </w:r>
          </w:p>
        </w:tc>
        <w:tc>
          <w:tcPr>
            <w:tcW w:w="1187" w:type="dxa"/>
          </w:tcPr>
          <w:p w14:paraId="49A2945C"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24.3%</w:t>
            </w:r>
          </w:p>
        </w:tc>
        <w:tc>
          <w:tcPr>
            <w:tcW w:w="1185" w:type="dxa"/>
          </w:tcPr>
          <w:p w14:paraId="7D2279D7"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53.5%</w:t>
            </w:r>
          </w:p>
        </w:tc>
        <w:tc>
          <w:tcPr>
            <w:tcW w:w="1172" w:type="dxa"/>
          </w:tcPr>
          <w:p w14:paraId="2EA926F1"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21.5%</w:t>
            </w:r>
          </w:p>
        </w:tc>
        <w:tc>
          <w:tcPr>
            <w:tcW w:w="1172" w:type="dxa"/>
          </w:tcPr>
          <w:p w14:paraId="2A47AC84"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0.62%</w:t>
            </w:r>
          </w:p>
        </w:tc>
      </w:tr>
      <w:tr w:rsidR="00F856B5" w14:paraId="37044370"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B3408B1" w14:textId="77777777" w:rsidR="00F856B5" w:rsidRDefault="00F856B5"/>
        </w:tc>
        <w:tc>
          <w:tcPr>
            <w:tcW w:w="2886" w:type="dxa"/>
          </w:tcPr>
          <w:p w14:paraId="563E333C"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EGB (Grade 7-10)</w:t>
            </w:r>
          </w:p>
        </w:tc>
        <w:tc>
          <w:tcPr>
            <w:tcW w:w="1187" w:type="dxa"/>
          </w:tcPr>
          <w:p w14:paraId="2B4062D5"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21.3%</w:t>
            </w:r>
          </w:p>
        </w:tc>
        <w:tc>
          <w:tcPr>
            <w:tcW w:w="1185" w:type="dxa"/>
          </w:tcPr>
          <w:p w14:paraId="601C5DA5"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57.7%</w:t>
            </w:r>
          </w:p>
        </w:tc>
        <w:tc>
          <w:tcPr>
            <w:tcW w:w="1172" w:type="dxa"/>
          </w:tcPr>
          <w:p w14:paraId="3B415BBB"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20.6%</w:t>
            </w:r>
          </w:p>
        </w:tc>
        <w:tc>
          <w:tcPr>
            <w:tcW w:w="1172" w:type="dxa"/>
          </w:tcPr>
          <w:p w14:paraId="5568F823"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0.37%</w:t>
            </w:r>
          </w:p>
        </w:tc>
      </w:tr>
      <w:tr w:rsidR="00F856B5" w14:paraId="10B233AE"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99BE8AB" w14:textId="77777777" w:rsidR="00F856B5" w:rsidRDefault="00F856B5"/>
        </w:tc>
        <w:tc>
          <w:tcPr>
            <w:tcW w:w="2886" w:type="dxa"/>
          </w:tcPr>
          <w:p w14:paraId="2D39BED1"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High School</w:t>
            </w:r>
          </w:p>
        </w:tc>
        <w:tc>
          <w:tcPr>
            <w:tcW w:w="1187" w:type="dxa"/>
          </w:tcPr>
          <w:p w14:paraId="1B5A1179"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26.9%</w:t>
            </w:r>
          </w:p>
        </w:tc>
        <w:tc>
          <w:tcPr>
            <w:tcW w:w="1185" w:type="dxa"/>
          </w:tcPr>
          <w:p w14:paraId="695D159D"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52.6%</w:t>
            </w:r>
          </w:p>
        </w:tc>
        <w:tc>
          <w:tcPr>
            <w:tcW w:w="1172" w:type="dxa"/>
          </w:tcPr>
          <w:p w14:paraId="33130CE4"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19.6%</w:t>
            </w:r>
          </w:p>
        </w:tc>
        <w:tc>
          <w:tcPr>
            <w:tcW w:w="1172" w:type="dxa"/>
          </w:tcPr>
          <w:p w14:paraId="7CE24D08"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0.84%</w:t>
            </w:r>
          </w:p>
        </w:tc>
      </w:tr>
      <w:tr w:rsidR="00F856B5" w14:paraId="5EA5F923"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1F7552C9" w14:textId="77777777" w:rsidR="00F856B5" w:rsidRDefault="00F856B5"/>
        </w:tc>
        <w:tc>
          <w:tcPr>
            <w:tcW w:w="2886" w:type="dxa"/>
          </w:tcPr>
          <w:p w14:paraId="72F5A1D0"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Higher Education</w:t>
            </w:r>
          </w:p>
        </w:tc>
        <w:tc>
          <w:tcPr>
            <w:tcW w:w="1187" w:type="dxa"/>
          </w:tcPr>
          <w:p w14:paraId="544D9CA0"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21.0%</w:t>
            </w:r>
          </w:p>
        </w:tc>
        <w:tc>
          <w:tcPr>
            <w:tcW w:w="1185" w:type="dxa"/>
          </w:tcPr>
          <w:p w14:paraId="407E8DE7"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50.6%</w:t>
            </w:r>
          </w:p>
        </w:tc>
        <w:tc>
          <w:tcPr>
            <w:tcW w:w="1172" w:type="dxa"/>
          </w:tcPr>
          <w:p w14:paraId="5216A059"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21.0%</w:t>
            </w:r>
          </w:p>
        </w:tc>
        <w:tc>
          <w:tcPr>
            <w:tcW w:w="1172" w:type="dxa"/>
          </w:tcPr>
          <w:p w14:paraId="49125078"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7.41%</w:t>
            </w:r>
          </w:p>
        </w:tc>
      </w:tr>
      <w:tr w:rsidR="00F856B5" w14:paraId="4780BB12"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053A2FC" w14:textId="77777777" w:rsidR="00F856B5" w:rsidRDefault="009F7ECA">
            <w:pPr>
              <w:spacing w:after="0" w:line="240" w:lineRule="auto"/>
              <w:rPr>
                <w:rFonts w:ascii="Times New Roman" w:eastAsia="Times New Roman" w:hAnsi="Times New Roman" w:cs="Times New Roman"/>
                <w:sz w:val="20"/>
                <w:szCs w:val="20"/>
              </w:rPr>
            </w:pPr>
            <w:r>
              <w:rPr>
                <w:rFonts w:ascii="Times New Roman" w:hAnsi="Times New Roman"/>
                <w:sz w:val="20"/>
              </w:rPr>
              <w:t>Funding</w:t>
            </w:r>
          </w:p>
        </w:tc>
        <w:tc>
          <w:tcPr>
            <w:tcW w:w="2886" w:type="dxa"/>
          </w:tcPr>
          <w:p w14:paraId="43A06D45"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Public School</w:t>
            </w:r>
          </w:p>
        </w:tc>
        <w:tc>
          <w:tcPr>
            <w:tcW w:w="1187" w:type="dxa"/>
          </w:tcPr>
          <w:p w14:paraId="7C8CD418"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23.80%</w:t>
            </w:r>
          </w:p>
        </w:tc>
        <w:tc>
          <w:tcPr>
            <w:tcW w:w="1185" w:type="dxa"/>
          </w:tcPr>
          <w:p w14:paraId="41B1895D"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53.50%</w:t>
            </w:r>
          </w:p>
        </w:tc>
        <w:tc>
          <w:tcPr>
            <w:tcW w:w="1172" w:type="dxa"/>
          </w:tcPr>
          <w:p w14:paraId="52EF9D4F"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21.50%</w:t>
            </w:r>
          </w:p>
        </w:tc>
        <w:tc>
          <w:tcPr>
            <w:tcW w:w="1172" w:type="dxa"/>
          </w:tcPr>
          <w:p w14:paraId="4D72C873"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1.20%</w:t>
            </w:r>
          </w:p>
        </w:tc>
      </w:tr>
      <w:tr w:rsidR="00F856B5" w14:paraId="1D872677"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0956C78" w14:textId="77777777" w:rsidR="00F856B5" w:rsidRDefault="00F856B5"/>
        </w:tc>
        <w:tc>
          <w:tcPr>
            <w:tcW w:w="2886" w:type="dxa"/>
          </w:tcPr>
          <w:p w14:paraId="6F6F03A5"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b/>
                <w:sz w:val="20"/>
              </w:rPr>
              <w:t>Fiscomisional School</w:t>
            </w:r>
          </w:p>
        </w:tc>
        <w:tc>
          <w:tcPr>
            <w:tcW w:w="1187" w:type="dxa"/>
          </w:tcPr>
          <w:p w14:paraId="10EBB8CC"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33.90%</w:t>
            </w:r>
          </w:p>
        </w:tc>
        <w:tc>
          <w:tcPr>
            <w:tcW w:w="1185" w:type="dxa"/>
          </w:tcPr>
          <w:p w14:paraId="3E1D144B"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50.80%</w:t>
            </w:r>
          </w:p>
        </w:tc>
        <w:tc>
          <w:tcPr>
            <w:tcW w:w="1172" w:type="dxa"/>
          </w:tcPr>
          <w:p w14:paraId="7CA06532"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15.30%</w:t>
            </w:r>
          </w:p>
        </w:tc>
        <w:tc>
          <w:tcPr>
            <w:tcW w:w="1172" w:type="dxa"/>
          </w:tcPr>
          <w:p w14:paraId="30573B35"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0.00%</w:t>
            </w:r>
          </w:p>
        </w:tc>
      </w:tr>
      <w:tr w:rsidR="00F856B5" w14:paraId="12EA5F99"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64DB5E46" w14:textId="77777777" w:rsidR="00F856B5" w:rsidRDefault="00F856B5"/>
        </w:tc>
        <w:tc>
          <w:tcPr>
            <w:tcW w:w="2886" w:type="dxa"/>
          </w:tcPr>
          <w:p w14:paraId="4EBC825D" w14:textId="77777777" w:rsidR="00F856B5" w:rsidRDefault="009F7EC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Private School</w:t>
            </w:r>
          </w:p>
        </w:tc>
        <w:tc>
          <w:tcPr>
            <w:tcW w:w="1187" w:type="dxa"/>
          </w:tcPr>
          <w:p w14:paraId="30E208F2"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24.40%</w:t>
            </w:r>
          </w:p>
        </w:tc>
        <w:tc>
          <w:tcPr>
            <w:tcW w:w="1185" w:type="dxa"/>
          </w:tcPr>
          <w:p w14:paraId="6A7DF99D"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60.00%</w:t>
            </w:r>
          </w:p>
        </w:tc>
        <w:tc>
          <w:tcPr>
            <w:tcW w:w="1172" w:type="dxa"/>
          </w:tcPr>
          <w:p w14:paraId="7DDDE3BC"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13.30%</w:t>
            </w:r>
          </w:p>
        </w:tc>
        <w:tc>
          <w:tcPr>
            <w:tcW w:w="1172" w:type="dxa"/>
          </w:tcPr>
          <w:p w14:paraId="44768C1F" w14:textId="77777777" w:rsidR="00F856B5" w:rsidRDefault="009F7E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2.30%</w:t>
            </w:r>
          </w:p>
        </w:tc>
      </w:tr>
      <w:tr w:rsidR="00F856B5" w14:paraId="07F33401"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44623E5C" w14:textId="77777777" w:rsidR="00F856B5" w:rsidRDefault="00F856B5"/>
        </w:tc>
        <w:tc>
          <w:tcPr>
            <w:tcW w:w="2886" w:type="dxa"/>
          </w:tcPr>
          <w:p w14:paraId="07FF17BB" w14:textId="77777777" w:rsidR="00F856B5" w:rsidRDefault="009F7EC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Other</w:t>
            </w:r>
          </w:p>
        </w:tc>
        <w:tc>
          <w:tcPr>
            <w:tcW w:w="1187" w:type="dxa"/>
          </w:tcPr>
          <w:p w14:paraId="603E1F46"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18.20%</w:t>
            </w:r>
          </w:p>
        </w:tc>
        <w:tc>
          <w:tcPr>
            <w:tcW w:w="1185" w:type="dxa"/>
          </w:tcPr>
          <w:p w14:paraId="4A429F10"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48.50%</w:t>
            </w:r>
          </w:p>
        </w:tc>
        <w:tc>
          <w:tcPr>
            <w:tcW w:w="1172" w:type="dxa"/>
          </w:tcPr>
          <w:p w14:paraId="78DD1275"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27.30%</w:t>
            </w:r>
          </w:p>
        </w:tc>
        <w:tc>
          <w:tcPr>
            <w:tcW w:w="1172" w:type="dxa"/>
          </w:tcPr>
          <w:p w14:paraId="541A170D" w14:textId="77777777" w:rsidR="00F856B5" w:rsidRDefault="009F7E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6.00%</w:t>
            </w:r>
          </w:p>
        </w:tc>
      </w:tr>
    </w:tbl>
    <w:p w14:paraId="181EBB85" w14:textId="77777777" w:rsidR="00F856B5" w:rsidRPr="00CE35AA" w:rsidRDefault="009F7ECA" w:rsidP="00AB1102">
      <w:pPr>
        <w:keepLines/>
        <w:spacing w:after="200"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 xml:space="preserve"> </w:t>
      </w:r>
    </w:p>
    <w:p w14:paraId="6E0C96C9"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 xml:space="preserve">With regards to transference resulting from the training, upon analyzing the frequency of modification of educational activities after completing the courses by number of training hours, sex, age, educational stage, and school funding, we can see that there are statistically significant differences in some categories. </w:t>
      </w:r>
    </w:p>
    <w:p w14:paraId="74018312" w14:textId="029A09AE" w:rsidR="00F856B5" w:rsidRPr="00CE35AA" w:rsidRDefault="009F7ECA" w:rsidP="00AB1102">
      <w:pPr>
        <w:spacing w:line="480" w:lineRule="auto"/>
        <w:ind w:firstLine="567"/>
        <w:rPr>
          <w:rFonts w:ascii="Times New Roman" w:hAnsi="Times New Roman"/>
          <w:sz w:val="24"/>
          <w:szCs w:val="24"/>
        </w:rPr>
      </w:pPr>
      <w:bookmarkStart w:id="14" w:name="_Hlk154570732"/>
      <w:r w:rsidRPr="7E8E7E1E">
        <w:rPr>
          <w:rFonts w:ascii="Times New Roman" w:hAnsi="Times New Roman"/>
          <w:sz w:val="24"/>
          <w:szCs w:val="24"/>
        </w:rPr>
        <w:t xml:space="preserve">Firstly, we may observe the relationship between the number of training hours completed and the frequency with which teachers attest to having changed their pedagogical activities.  On the one hand, those who completed between 50 and 100 hours of training and those who completed over 250 hours were those who most modified their means of working with their class and attested to this with 30.8% and 28.9% respectively. On the other hand, only 17.9% of people who </w:t>
      </w:r>
      <w:bookmarkEnd w:id="14"/>
      <w:r w:rsidRPr="7E8E7E1E">
        <w:rPr>
          <w:rFonts w:ascii="Times New Roman" w:hAnsi="Times New Roman"/>
          <w:sz w:val="24"/>
          <w:szCs w:val="24"/>
        </w:rPr>
        <w:t>completed between 150 and 250 hours of training stated that they had very often changed their educational activities, which r</w:t>
      </w:r>
      <w:r w:rsidR="233392B6" w:rsidRPr="7E8E7E1E">
        <w:rPr>
          <w:rFonts w:ascii="Times New Roman" w:hAnsi="Times New Roman"/>
          <w:sz w:val="24"/>
          <w:szCs w:val="24"/>
        </w:rPr>
        <w:t xml:space="preserve">esulted </w:t>
      </w:r>
      <w:r w:rsidRPr="7E8E7E1E">
        <w:rPr>
          <w:rFonts w:ascii="Times New Roman" w:hAnsi="Times New Roman"/>
          <w:sz w:val="24"/>
          <w:szCs w:val="24"/>
        </w:rPr>
        <w:t xml:space="preserve">in a less statistically significant difference. </w:t>
      </w:r>
    </w:p>
    <w:p w14:paraId="790E32A9"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 xml:space="preserve">When we analyze the results by sex, 28.6% of the male teachers “very often” changed their means of working after training, compared to 22.4% of the female teachers, the majority of which (55.9%) stated having done this “somewhat often”. </w:t>
      </w:r>
    </w:p>
    <w:p w14:paraId="30BA779B"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lastRenderedPageBreak/>
        <w:t xml:space="preserve">There were no significant differences by age range or educational stage. </w:t>
      </w:r>
    </w:p>
    <w:p w14:paraId="7C8B32AC" w14:textId="77777777" w:rsidR="00F856B5" w:rsidRPr="00CE35AA" w:rsidRDefault="009F7ECA" w:rsidP="00AB1102">
      <w:pPr>
        <w:spacing w:line="480" w:lineRule="auto"/>
        <w:ind w:firstLine="567"/>
        <w:rPr>
          <w:rFonts w:ascii="Times New Roman" w:eastAsia="Times New Roman" w:hAnsi="Times New Roman" w:cs="Times New Roman"/>
          <w:i/>
          <w:iCs/>
          <w:sz w:val="24"/>
          <w:szCs w:val="24"/>
        </w:rPr>
      </w:pPr>
      <w:r w:rsidRPr="00CE35AA">
        <w:rPr>
          <w:rFonts w:ascii="Times New Roman" w:hAnsi="Times New Roman"/>
          <w:sz w:val="24"/>
          <w:szCs w:val="24"/>
        </w:rPr>
        <w:t>In the overall assessment, the most frequent responses were “Very often” and “Somewhat often”, which had a combined total of 78.1% of all teachers.</w:t>
      </w:r>
      <w:r w:rsidRPr="00CE35AA">
        <w:rPr>
          <w:rFonts w:ascii="Times New Roman" w:hAnsi="Times New Roman"/>
          <w:i/>
          <w:sz w:val="24"/>
          <w:szCs w:val="24"/>
        </w:rPr>
        <w:t xml:space="preserve"> </w:t>
      </w:r>
    </w:p>
    <w:p w14:paraId="0323E7A0" w14:textId="77777777" w:rsidR="00F856B5" w:rsidRPr="00CE35AA" w:rsidRDefault="009F7ECA" w:rsidP="00CE35AA">
      <w:pPr>
        <w:spacing w:line="480" w:lineRule="auto"/>
        <w:rPr>
          <w:rFonts w:ascii="Times New Roman" w:eastAsia="Times New Roman" w:hAnsi="Times New Roman" w:cs="Times New Roman"/>
          <w:b/>
          <w:bCs/>
          <w:sz w:val="24"/>
          <w:szCs w:val="24"/>
        </w:rPr>
      </w:pPr>
      <w:r w:rsidRPr="00CE35AA">
        <w:rPr>
          <w:rFonts w:ascii="Times New Roman" w:hAnsi="Times New Roman"/>
          <w:b/>
          <w:sz w:val="24"/>
          <w:szCs w:val="24"/>
        </w:rPr>
        <w:t>Table 9</w:t>
      </w:r>
    </w:p>
    <w:p w14:paraId="13799169" w14:textId="77777777" w:rsidR="00F856B5" w:rsidRPr="00CE35AA" w:rsidRDefault="009F7ECA" w:rsidP="00CE35AA">
      <w:pPr>
        <w:spacing w:line="480" w:lineRule="auto"/>
        <w:rPr>
          <w:rFonts w:ascii="Times New Roman" w:eastAsia="Times New Roman" w:hAnsi="Times New Roman" w:cs="Times New Roman"/>
          <w:i/>
          <w:iCs/>
          <w:sz w:val="24"/>
          <w:szCs w:val="24"/>
        </w:rPr>
      </w:pPr>
      <w:r w:rsidRPr="00CE35AA">
        <w:rPr>
          <w:rFonts w:ascii="Times New Roman" w:hAnsi="Times New Roman"/>
          <w:i/>
          <w:sz w:val="24"/>
          <w:szCs w:val="24"/>
        </w:rPr>
        <w:t xml:space="preserve"> Level of transference to educational practise </w:t>
      </w:r>
    </w:p>
    <w:tbl>
      <w:tblPr>
        <w:tblStyle w:val="PlainTable2"/>
        <w:tblW w:w="6024" w:type="dxa"/>
        <w:tblLayout w:type="fixed"/>
        <w:tblLook w:val="04A0" w:firstRow="1" w:lastRow="0" w:firstColumn="1" w:lastColumn="0" w:noHBand="0" w:noVBand="1"/>
      </w:tblPr>
      <w:tblGrid>
        <w:gridCol w:w="4788"/>
        <w:gridCol w:w="1236"/>
      </w:tblGrid>
      <w:tr w:rsidR="00560F62" w:rsidRPr="00560F62" w14:paraId="7C87EB70" w14:textId="77777777" w:rsidTr="00560F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7" w:type="dxa"/>
          </w:tcPr>
          <w:p w14:paraId="39CC2A09" w14:textId="77777777" w:rsidR="00F856B5" w:rsidRPr="00560F62" w:rsidRDefault="009F7ECA">
            <w:pPr>
              <w:spacing w:after="0"/>
              <w:jc w:val="center"/>
              <w:rPr>
                <w:rFonts w:ascii="Times New Roman" w:eastAsia="Times New Roman" w:hAnsi="Times New Roman" w:cs="Times New Roman"/>
                <w:sz w:val="20"/>
                <w:szCs w:val="20"/>
              </w:rPr>
            </w:pPr>
            <w:r w:rsidRPr="00560F62">
              <w:rPr>
                <w:rFonts w:ascii="Times New Roman" w:hAnsi="Times New Roman"/>
                <w:sz w:val="20"/>
              </w:rPr>
              <w:t xml:space="preserve">Level of transference to educational practise </w:t>
            </w:r>
          </w:p>
        </w:tc>
        <w:tc>
          <w:tcPr>
            <w:tcW w:w="1236" w:type="dxa"/>
          </w:tcPr>
          <w:p w14:paraId="68757149" w14:textId="77777777" w:rsidR="00F856B5" w:rsidRPr="00560F62" w:rsidRDefault="009F7E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60F62">
              <w:rPr>
                <w:rFonts w:ascii="Times New Roman" w:hAnsi="Times New Roman"/>
                <w:sz w:val="20"/>
              </w:rPr>
              <w:t xml:space="preserve">% </w:t>
            </w:r>
          </w:p>
        </w:tc>
      </w:tr>
      <w:tr w:rsidR="00F856B5" w14:paraId="29D2067B"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7" w:type="dxa"/>
          </w:tcPr>
          <w:p w14:paraId="05601370" w14:textId="77777777" w:rsidR="00F856B5" w:rsidRDefault="009F7ECA">
            <w:pPr>
              <w:spacing w:after="0"/>
              <w:rPr>
                <w:rFonts w:ascii="Times New Roman" w:eastAsia="Times New Roman" w:hAnsi="Times New Roman" w:cs="Times New Roman"/>
                <w:sz w:val="20"/>
                <w:szCs w:val="20"/>
              </w:rPr>
            </w:pPr>
            <w:r>
              <w:rPr>
                <w:rFonts w:ascii="Times New Roman" w:hAnsi="Times New Roman"/>
                <w:sz w:val="20"/>
              </w:rPr>
              <w:t xml:space="preserve">Research activities </w:t>
            </w:r>
          </w:p>
        </w:tc>
        <w:tc>
          <w:tcPr>
            <w:tcW w:w="1236" w:type="dxa"/>
          </w:tcPr>
          <w:p w14:paraId="51D66AF4" w14:textId="77777777" w:rsidR="00F856B5" w:rsidRDefault="009F7EC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 xml:space="preserve">83.50% </w:t>
            </w:r>
          </w:p>
        </w:tc>
      </w:tr>
      <w:tr w:rsidR="00F856B5" w14:paraId="4DD8A85D"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4787" w:type="dxa"/>
          </w:tcPr>
          <w:p w14:paraId="794F6F7A" w14:textId="77777777" w:rsidR="00F856B5" w:rsidRDefault="009F7ECA">
            <w:pPr>
              <w:spacing w:after="0"/>
              <w:rPr>
                <w:rFonts w:ascii="Times New Roman" w:eastAsia="Times New Roman" w:hAnsi="Times New Roman" w:cs="Times New Roman"/>
                <w:sz w:val="20"/>
                <w:szCs w:val="20"/>
              </w:rPr>
            </w:pPr>
            <w:r>
              <w:rPr>
                <w:rFonts w:ascii="Times New Roman" w:hAnsi="Times New Roman"/>
                <w:sz w:val="20"/>
              </w:rPr>
              <w:t xml:space="preserve">Collaborative methodology or group learning </w:t>
            </w:r>
          </w:p>
        </w:tc>
        <w:tc>
          <w:tcPr>
            <w:tcW w:w="1236" w:type="dxa"/>
          </w:tcPr>
          <w:p w14:paraId="77749081" w14:textId="77777777" w:rsidR="00F856B5" w:rsidRDefault="009F7E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 xml:space="preserve">86.20% </w:t>
            </w:r>
          </w:p>
        </w:tc>
      </w:tr>
      <w:tr w:rsidR="00F856B5" w14:paraId="74C4EFBE"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7" w:type="dxa"/>
          </w:tcPr>
          <w:p w14:paraId="0BBFC93C" w14:textId="77777777" w:rsidR="00F856B5" w:rsidRDefault="009F7ECA">
            <w:pPr>
              <w:spacing w:after="0"/>
              <w:rPr>
                <w:rFonts w:ascii="Times New Roman" w:eastAsia="Times New Roman" w:hAnsi="Times New Roman" w:cs="Times New Roman"/>
                <w:sz w:val="20"/>
                <w:szCs w:val="20"/>
              </w:rPr>
            </w:pPr>
            <w:r>
              <w:rPr>
                <w:rFonts w:ascii="Times New Roman" w:hAnsi="Times New Roman"/>
                <w:sz w:val="20"/>
              </w:rPr>
              <w:t xml:space="preserve">Project-based learning methodology </w:t>
            </w:r>
          </w:p>
        </w:tc>
        <w:tc>
          <w:tcPr>
            <w:tcW w:w="1236" w:type="dxa"/>
          </w:tcPr>
          <w:p w14:paraId="5797C748" w14:textId="77777777" w:rsidR="00F856B5" w:rsidRDefault="009F7EC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 xml:space="preserve">80.50% </w:t>
            </w:r>
          </w:p>
        </w:tc>
      </w:tr>
      <w:tr w:rsidR="00F856B5" w14:paraId="09E5409D"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4787" w:type="dxa"/>
          </w:tcPr>
          <w:p w14:paraId="422E3D04" w14:textId="77777777" w:rsidR="00F856B5" w:rsidRDefault="009F7ECA">
            <w:pPr>
              <w:spacing w:after="0"/>
              <w:rPr>
                <w:rFonts w:ascii="Times New Roman" w:eastAsia="Times New Roman" w:hAnsi="Times New Roman" w:cs="Times New Roman"/>
                <w:sz w:val="20"/>
                <w:szCs w:val="20"/>
              </w:rPr>
            </w:pPr>
            <w:r>
              <w:rPr>
                <w:rFonts w:ascii="Times New Roman" w:hAnsi="Times New Roman"/>
                <w:sz w:val="20"/>
              </w:rPr>
              <w:t xml:space="preserve">Activities using existing digital resources and online content </w:t>
            </w:r>
          </w:p>
        </w:tc>
        <w:tc>
          <w:tcPr>
            <w:tcW w:w="1236" w:type="dxa"/>
          </w:tcPr>
          <w:p w14:paraId="02E79900" w14:textId="77777777" w:rsidR="00F856B5" w:rsidRDefault="009F7E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 xml:space="preserve">81.60% </w:t>
            </w:r>
          </w:p>
        </w:tc>
      </w:tr>
      <w:tr w:rsidR="00F856B5" w14:paraId="45FA2CF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7" w:type="dxa"/>
          </w:tcPr>
          <w:p w14:paraId="3AEC6F93" w14:textId="77777777" w:rsidR="00F856B5" w:rsidRDefault="009F7ECA">
            <w:pPr>
              <w:spacing w:after="0"/>
              <w:rPr>
                <w:rFonts w:ascii="Times New Roman" w:eastAsia="Times New Roman" w:hAnsi="Times New Roman" w:cs="Times New Roman"/>
                <w:sz w:val="20"/>
                <w:szCs w:val="20"/>
              </w:rPr>
            </w:pPr>
            <w:r>
              <w:rPr>
                <w:rFonts w:ascii="Times New Roman" w:hAnsi="Times New Roman"/>
                <w:sz w:val="20"/>
              </w:rPr>
              <w:t xml:space="preserve">Activities using self-made digital resources </w:t>
            </w:r>
          </w:p>
        </w:tc>
        <w:tc>
          <w:tcPr>
            <w:tcW w:w="1236" w:type="dxa"/>
          </w:tcPr>
          <w:p w14:paraId="1B812F24" w14:textId="77777777" w:rsidR="00F856B5" w:rsidRDefault="009F7EC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 xml:space="preserve">78.80% </w:t>
            </w:r>
          </w:p>
        </w:tc>
      </w:tr>
      <w:tr w:rsidR="00F856B5" w14:paraId="72CAF939"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4787" w:type="dxa"/>
          </w:tcPr>
          <w:p w14:paraId="299C55CD" w14:textId="77777777" w:rsidR="00F856B5" w:rsidRDefault="009F7ECA">
            <w:pPr>
              <w:spacing w:after="0"/>
              <w:rPr>
                <w:rFonts w:ascii="Times New Roman" w:eastAsia="Times New Roman" w:hAnsi="Times New Roman" w:cs="Times New Roman"/>
                <w:sz w:val="20"/>
                <w:szCs w:val="20"/>
              </w:rPr>
            </w:pPr>
            <w:r>
              <w:rPr>
                <w:rFonts w:ascii="Times New Roman" w:hAnsi="Times New Roman"/>
                <w:sz w:val="20"/>
              </w:rPr>
              <w:t xml:space="preserve">Activities where students create and produce digital resources </w:t>
            </w:r>
          </w:p>
        </w:tc>
        <w:tc>
          <w:tcPr>
            <w:tcW w:w="1236" w:type="dxa"/>
          </w:tcPr>
          <w:p w14:paraId="6D947149" w14:textId="77777777" w:rsidR="00F856B5" w:rsidRDefault="009F7E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sz w:val="20"/>
              </w:rPr>
              <w:t xml:space="preserve">61.30% </w:t>
            </w:r>
          </w:p>
        </w:tc>
      </w:tr>
    </w:tbl>
    <w:p w14:paraId="6FC7FBB6" w14:textId="77777777" w:rsidR="00F856B5" w:rsidRDefault="009F7ECA">
      <w:pPr>
        <w:jc w:val="both"/>
        <w:rPr>
          <w:rFonts w:ascii="Times New Roman" w:eastAsia="Times New Roman" w:hAnsi="Times New Roman" w:cs="Times New Roman"/>
          <w:i/>
          <w:iCs/>
          <w:sz w:val="18"/>
          <w:szCs w:val="18"/>
        </w:rPr>
      </w:pPr>
      <w:r w:rsidRPr="7E8E7E1E">
        <w:rPr>
          <w:rFonts w:ascii="Times New Roman" w:hAnsi="Times New Roman"/>
          <w:i/>
          <w:iCs/>
          <w:sz w:val="18"/>
          <w:szCs w:val="18"/>
        </w:rPr>
        <w:t xml:space="preserve"> </w:t>
      </w:r>
    </w:p>
    <w:p w14:paraId="0A07E7F6" w14:textId="61A83A20" w:rsidR="5A4A21D8" w:rsidRDefault="5A4A21D8" w:rsidP="00AB1102">
      <w:pPr>
        <w:spacing w:line="480" w:lineRule="auto"/>
        <w:ind w:firstLine="567"/>
        <w:rPr>
          <w:rFonts w:ascii="Times New Roman" w:hAnsi="Times New Roman"/>
          <w:sz w:val="24"/>
          <w:szCs w:val="24"/>
        </w:rPr>
      </w:pPr>
      <w:r w:rsidRPr="7E8E7E1E">
        <w:rPr>
          <w:rFonts w:ascii="Times New Roman" w:hAnsi="Times New Roman"/>
          <w:sz w:val="24"/>
          <w:szCs w:val="24"/>
        </w:rPr>
        <w:t>When asked about the level of transference to educational practices, the most used practice, according to 86.2% of teachers was “Collaborative methodology and group learning”. “Research activities” came in second place, according to 83.5% of the teachers surveyed. In general, the degree of transference by activity type was high, with values between 78.8% and 86.2%, except for the lowest value, which corresponded to activities where students create and produce digital resources, with a transference level of 61.3%.</w:t>
      </w:r>
    </w:p>
    <w:p w14:paraId="1E3E35E3"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Below, we present the results obtained through analysis of the teacher self-assessment tool in 2020, 2021, and 2022.</w:t>
      </w:r>
    </w:p>
    <w:p w14:paraId="53A6018E" w14:textId="796A5F45" w:rsidR="00F856B5" w:rsidRPr="00CE35AA" w:rsidRDefault="43E1201D" w:rsidP="00AB1102">
      <w:pPr>
        <w:keepLines/>
        <w:spacing w:after="200" w:line="480" w:lineRule="auto"/>
        <w:ind w:firstLine="567"/>
        <w:rPr>
          <w:rFonts w:ascii="Times New Roman" w:eastAsia="Times New Roman" w:hAnsi="Times New Roman" w:cs="Times New Roman"/>
          <w:sz w:val="24"/>
          <w:szCs w:val="24"/>
        </w:rPr>
      </w:pPr>
      <w:r w:rsidRPr="7E8E7E1E">
        <w:rPr>
          <w:rFonts w:ascii="Times New Roman" w:hAnsi="Times New Roman"/>
          <w:sz w:val="24"/>
          <w:szCs w:val="24"/>
        </w:rPr>
        <w:t>We analyzed the impact of the ProFuturo training on the level of teacher competence, through a non-experimental comparison of the results obtained from teachers without ProFuturo training and those who had received more than 150 hours of training before using the tool</w:t>
      </w:r>
      <w:r w:rsidR="009F7ECA" w:rsidRPr="7E8E7E1E">
        <w:rPr>
          <w:rFonts w:ascii="Times New Roman" w:hAnsi="Times New Roman"/>
          <w:sz w:val="24"/>
          <w:szCs w:val="24"/>
        </w:rPr>
        <w:t>.</w:t>
      </w:r>
    </w:p>
    <w:p w14:paraId="2296985A" w14:textId="77777777" w:rsidR="00F856B5" w:rsidRPr="00CE35AA" w:rsidRDefault="009F7ECA" w:rsidP="00CE35AA">
      <w:pPr>
        <w:keepLines/>
        <w:spacing w:after="200" w:line="480" w:lineRule="auto"/>
        <w:rPr>
          <w:rFonts w:ascii="Times New Roman" w:eastAsia="Times New Roman" w:hAnsi="Times New Roman" w:cs="Times New Roman"/>
          <w:b/>
          <w:bCs/>
          <w:sz w:val="24"/>
          <w:szCs w:val="24"/>
        </w:rPr>
      </w:pPr>
      <w:r w:rsidRPr="00CE35AA">
        <w:rPr>
          <w:rFonts w:ascii="Times New Roman" w:hAnsi="Times New Roman"/>
          <w:b/>
          <w:sz w:val="24"/>
          <w:szCs w:val="24"/>
        </w:rPr>
        <w:t>Table 10</w:t>
      </w:r>
    </w:p>
    <w:p w14:paraId="065F8087" w14:textId="77777777" w:rsidR="00F856B5" w:rsidRPr="00CE35AA" w:rsidRDefault="009F7ECA" w:rsidP="00CE35AA">
      <w:pPr>
        <w:spacing w:line="480" w:lineRule="auto"/>
        <w:rPr>
          <w:rFonts w:ascii="Times New Roman" w:eastAsia="Times New Roman" w:hAnsi="Times New Roman" w:cs="Times New Roman"/>
          <w:sz w:val="24"/>
          <w:szCs w:val="24"/>
        </w:rPr>
      </w:pPr>
      <w:bookmarkStart w:id="15" w:name="_Hlk154570805"/>
      <w:bookmarkStart w:id="16" w:name="_Hlk154569840"/>
      <w:r w:rsidRPr="00CE35AA">
        <w:rPr>
          <w:rFonts w:ascii="Times New Roman" w:hAnsi="Times New Roman"/>
          <w:i/>
          <w:sz w:val="24"/>
          <w:szCs w:val="24"/>
        </w:rPr>
        <w:lastRenderedPageBreak/>
        <w:t>Level of improvement in competency associated with the training received</w:t>
      </w:r>
      <w:r w:rsidRPr="00CE35AA">
        <w:rPr>
          <w:sz w:val="24"/>
          <w:szCs w:val="24"/>
        </w:rPr>
        <w:t xml:space="preserve"> </w:t>
      </w:r>
      <w:bookmarkEnd w:id="15"/>
      <w:r w:rsidRPr="00CE35AA">
        <w:rPr>
          <w:rFonts w:ascii="Times New Roman" w:hAnsi="Times New Roman"/>
          <w:i/>
          <w:sz w:val="24"/>
          <w:szCs w:val="24"/>
        </w:rPr>
        <w:t>Percentage of improvement by no. of training hours, according to the following variables: sex, age, studies undertaken, and specialty</w:t>
      </w:r>
      <w:bookmarkEnd w:id="16"/>
    </w:p>
    <w:p w14:paraId="18D267A1" w14:textId="77777777" w:rsidR="00F856B5" w:rsidRDefault="00F856B5">
      <w:pPr>
        <w:pStyle w:val="caption1"/>
        <w:rPr>
          <w:rFonts w:ascii="Times New Roman" w:hAnsi="Times New Roman" w:cs="Times New Roman"/>
          <w:sz w:val="20"/>
          <w:szCs w:val="20"/>
        </w:rPr>
      </w:pPr>
    </w:p>
    <w:tbl>
      <w:tblPr>
        <w:tblStyle w:val="PlainTable2"/>
        <w:tblW w:w="8796" w:type="dxa"/>
        <w:tblLayout w:type="fixed"/>
        <w:tblLook w:val="04A0" w:firstRow="1" w:lastRow="0" w:firstColumn="1" w:lastColumn="0" w:noHBand="0" w:noVBand="1"/>
      </w:tblPr>
      <w:tblGrid>
        <w:gridCol w:w="3840"/>
        <w:gridCol w:w="1979"/>
        <w:gridCol w:w="1620"/>
        <w:gridCol w:w="1357"/>
      </w:tblGrid>
      <w:tr w:rsidR="00560F62" w:rsidRPr="00560F62" w14:paraId="3FFBE6BE" w14:textId="77777777" w:rsidTr="00560F62">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3840" w:type="dxa"/>
          </w:tcPr>
          <w:p w14:paraId="5ADE41E3" w14:textId="77777777" w:rsidR="00F856B5" w:rsidRPr="00560F62" w:rsidRDefault="009F7ECA">
            <w:pPr>
              <w:spacing w:after="0"/>
              <w:jc w:val="center"/>
              <w:rPr>
                <w:rFonts w:ascii="Times New Roman" w:hAnsi="Times New Roman" w:cs="Times New Roman"/>
                <w:b w:val="0"/>
                <w:bCs w:val="0"/>
                <w:sz w:val="20"/>
                <w:szCs w:val="20"/>
              </w:rPr>
            </w:pPr>
            <w:r w:rsidRPr="00560F62">
              <w:rPr>
                <w:rFonts w:ascii="Times New Roman" w:hAnsi="Times New Roman"/>
                <w:sz w:val="20"/>
              </w:rPr>
              <w:t>Categories of Analysis</w:t>
            </w:r>
          </w:p>
        </w:tc>
        <w:tc>
          <w:tcPr>
            <w:tcW w:w="1979" w:type="dxa"/>
          </w:tcPr>
          <w:p w14:paraId="1B92765C" w14:textId="77777777" w:rsidR="00F856B5" w:rsidRPr="00560F62" w:rsidRDefault="009F7E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60F62">
              <w:rPr>
                <w:rFonts w:ascii="Times New Roman" w:hAnsi="Times New Roman"/>
                <w:sz w:val="20"/>
              </w:rPr>
              <w:t>Overall score with over 150 hours of training</w:t>
            </w:r>
          </w:p>
        </w:tc>
        <w:tc>
          <w:tcPr>
            <w:tcW w:w="1620" w:type="dxa"/>
          </w:tcPr>
          <w:p w14:paraId="5CD3798B" w14:textId="77777777" w:rsidR="00F856B5" w:rsidRPr="00560F62" w:rsidRDefault="009F7E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60F62">
              <w:rPr>
                <w:rFonts w:ascii="Times New Roman" w:hAnsi="Times New Roman"/>
                <w:sz w:val="20"/>
              </w:rPr>
              <w:t>Overall score without training</w:t>
            </w:r>
          </w:p>
        </w:tc>
        <w:tc>
          <w:tcPr>
            <w:tcW w:w="1357" w:type="dxa"/>
          </w:tcPr>
          <w:p w14:paraId="37EAA655" w14:textId="77777777" w:rsidR="00F856B5" w:rsidRPr="00560F62" w:rsidRDefault="009F7E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60F62">
              <w:rPr>
                <w:rFonts w:ascii="Times New Roman" w:hAnsi="Times New Roman"/>
                <w:sz w:val="20"/>
              </w:rPr>
              <w:t>% Improvement</w:t>
            </w:r>
          </w:p>
        </w:tc>
      </w:tr>
      <w:tr w:rsidR="00F856B5" w14:paraId="655EE1D2"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Pr>
          <w:p w14:paraId="3DCFD506" w14:textId="77777777" w:rsidR="00F856B5" w:rsidRDefault="009F7ECA">
            <w:pPr>
              <w:spacing w:after="0"/>
              <w:rPr>
                <w:rFonts w:ascii="Times New Roman" w:hAnsi="Times New Roman" w:cs="Times New Roman"/>
                <w:sz w:val="20"/>
                <w:szCs w:val="20"/>
              </w:rPr>
            </w:pPr>
            <w:r>
              <w:rPr>
                <w:rFonts w:ascii="Times New Roman" w:hAnsi="Times New Roman"/>
                <w:sz w:val="20"/>
              </w:rPr>
              <w:t>Male</w:t>
            </w:r>
          </w:p>
        </w:tc>
        <w:tc>
          <w:tcPr>
            <w:tcW w:w="1979" w:type="dxa"/>
          </w:tcPr>
          <w:p w14:paraId="692C2463"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37.03</w:t>
            </w:r>
          </w:p>
        </w:tc>
        <w:tc>
          <w:tcPr>
            <w:tcW w:w="1620" w:type="dxa"/>
          </w:tcPr>
          <w:p w14:paraId="5D7CE8AB"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34.60</w:t>
            </w:r>
          </w:p>
        </w:tc>
        <w:tc>
          <w:tcPr>
            <w:tcW w:w="1357" w:type="dxa"/>
          </w:tcPr>
          <w:p w14:paraId="1BF6C7E2"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7.03%</w:t>
            </w:r>
          </w:p>
        </w:tc>
      </w:tr>
      <w:tr w:rsidR="00F856B5" w14:paraId="2CB92579"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3840" w:type="dxa"/>
          </w:tcPr>
          <w:p w14:paraId="040A2263" w14:textId="77777777" w:rsidR="00F856B5" w:rsidRDefault="009F7ECA">
            <w:pPr>
              <w:spacing w:after="0"/>
              <w:rPr>
                <w:rFonts w:ascii="Times New Roman" w:hAnsi="Times New Roman" w:cs="Times New Roman"/>
                <w:sz w:val="20"/>
                <w:szCs w:val="20"/>
              </w:rPr>
            </w:pPr>
            <w:r>
              <w:rPr>
                <w:rFonts w:ascii="Times New Roman" w:hAnsi="Times New Roman"/>
                <w:sz w:val="20"/>
              </w:rPr>
              <w:t>Female</w:t>
            </w:r>
          </w:p>
        </w:tc>
        <w:tc>
          <w:tcPr>
            <w:tcW w:w="1979" w:type="dxa"/>
          </w:tcPr>
          <w:p w14:paraId="13D5F56D"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35.11</w:t>
            </w:r>
          </w:p>
        </w:tc>
        <w:tc>
          <w:tcPr>
            <w:tcW w:w="1620" w:type="dxa"/>
          </w:tcPr>
          <w:p w14:paraId="123518B0"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33.18</w:t>
            </w:r>
          </w:p>
        </w:tc>
        <w:tc>
          <w:tcPr>
            <w:tcW w:w="1357" w:type="dxa"/>
          </w:tcPr>
          <w:p w14:paraId="1A00D35C"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5.80%</w:t>
            </w:r>
          </w:p>
        </w:tc>
      </w:tr>
      <w:tr w:rsidR="00F856B5" w14:paraId="77D975E9"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Pr>
          <w:p w14:paraId="55DF5D82" w14:textId="77777777" w:rsidR="00F856B5" w:rsidRDefault="009F7ECA">
            <w:pPr>
              <w:spacing w:after="0"/>
              <w:rPr>
                <w:rFonts w:ascii="Times New Roman" w:hAnsi="Times New Roman" w:cs="Times New Roman"/>
                <w:sz w:val="20"/>
                <w:szCs w:val="20"/>
              </w:rPr>
            </w:pPr>
            <w:r>
              <w:rPr>
                <w:rFonts w:ascii="Times New Roman" w:hAnsi="Times New Roman"/>
                <w:sz w:val="20"/>
              </w:rPr>
              <w:t>Under 30 years old</w:t>
            </w:r>
          </w:p>
        </w:tc>
        <w:tc>
          <w:tcPr>
            <w:tcW w:w="1979" w:type="dxa"/>
          </w:tcPr>
          <w:p w14:paraId="75133A29"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36.34</w:t>
            </w:r>
          </w:p>
        </w:tc>
        <w:tc>
          <w:tcPr>
            <w:tcW w:w="1620" w:type="dxa"/>
          </w:tcPr>
          <w:p w14:paraId="7DAB3359"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36.22</w:t>
            </w:r>
          </w:p>
        </w:tc>
        <w:tc>
          <w:tcPr>
            <w:tcW w:w="1357" w:type="dxa"/>
          </w:tcPr>
          <w:p w14:paraId="2BDDD24C"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0.35%</w:t>
            </w:r>
          </w:p>
        </w:tc>
      </w:tr>
      <w:tr w:rsidR="00F856B5" w14:paraId="152E1042" w14:textId="77777777" w:rsidTr="00560F62">
        <w:trPr>
          <w:trHeight w:val="292"/>
        </w:trPr>
        <w:tc>
          <w:tcPr>
            <w:cnfStyle w:val="001000000000" w:firstRow="0" w:lastRow="0" w:firstColumn="1" w:lastColumn="0" w:oddVBand="0" w:evenVBand="0" w:oddHBand="0" w:evenHBand="0" w:firstRowFirstColumn="0" w:firstRowLastColumn="0" w:lastRowFirstColumn="0" w:lastRowLastColumn="0"/>
            <w:tcW w:w="3840" w:type="dxa"/>
          </w:tcPr>
          <w:p w14:paraId="6C8D76B6" w14:textId="77777777" w:rsidR="00F856B5" w:rsidRDefault="009F7ECA">
            <w:pPr>
              <w:spacing w:after="0"/>
              <w:rPr>
                <w:rFonts w:ascii="Times New Roman" w:hAnsi="Times New Roman" w:cs="Times New Roman"/>
                <w:sz w:val="20"/>
                <w:szCs w:val="20"/>
              </w:rPr>
            </w:pPr>
            <w:r>
              <w:rPr>
                <w:rFonts w:ascii="Times New Roman" w:hAnsi="Times New Roman"/>
                <w:sz w:val="20"/>
              </w:rPr>
              <w:t>30-40 years old</w:t>
            </w:r>
          </w:p>
        </w:tc>
        <w:tc>
          <w:tcPr>
            <w:tcW w:w="1979" w:type="dxa"/>
          </w:tcPr>
          <w:p w14:paraId="0A1002C1"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38.51</w:t>
            </w:r>
          </w:p>
        </w:tc>
        <w:tc>
          <w:tcPr>
            <w:tcW w:w="1620" w:type="dxa"/>
          </w:tcPr>
          <w:p w14:paraId="2346697A"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35.73</w:t>
            </w:r>
          </w:p>
        </w:tc>
        <w:tc>
          <w:tcPr>
            <w:tcW w:w="1357" w:type="dxa"/>
          </w:tcPr>
          <w:p w14:paraId="5F492C1C"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7.78%</w:t>
            </w:r>
          </w:p>
        </w:tc>
      </w:tr>
      <w:tr w:rsidR="00F856B5" w14:paraId="17D6537E" w14:textId="77777777" w:rsidTr="00560F6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840" w:type="dxa"/>
          </w:tcPr>
          <w:p w14:paraId="23325E8A" w14:textId="77777777" w:rsidR="00F856B5" w:rsidRDefault="009F7ECA">
            <w:pPr>
              <w:spacing w:after="0"/>
              <w:rPr>
                <w:rFonts w:ascii="Times New Roman" w:hAnsi="Times New Roman" w:cs="Times New Roman"/>
                <w:sz w:val="20"/>
                <w:szCs w:val="20"/>
              </w:rPr>
            </w:pPr>
            <w:r>
              <w:rPr>
                <w:rFonts w:ascii="Times New Roman" w:hAnsi="Times New Roman"/>
                <w:sz w:val="20"/>
              </w:rPr>
              <w:t>40-50 years old</w:t>
            </w:r>
          </w:p>
        </w:tc>
        <w:tc>
          <w:tcPr>
            <w:tcW w:w="1979" w:type="dxa"/>
          </w:tcPr>
          <w:p w14:paraId="5E618E33"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35.67</w:t>
            </w:r>
          </w:p>
        </w:tc>
        <w:tc>
          <w:tcPr>
            <w:tcW w:w="1620" w:type="dxa"/>
          </w:tcPr>
          <w:p w14:paraId="5F9931F6"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33.24</w:t>
            </w:r>
          </w:p>
        </w:tc>
        <w:tc>
          <w:tcPr>
            <w:tcW w:w="1357" w:type="dxa"/>
          </w:tcPr>
          <w:p w14:paraId="131E98BD"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7.32%</w:t>
            </w:r>
          </w:p>
        </w:tc>
      </w:tr>
      <w:tr w:rsidR="00F856B5" w14:paraId="7CF7ABBD"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3840" w:type="dxa"/>
          </w:tcPr>
          <w:p w14:paraId="144DD188" w14:textId="77777777" w:rsidR="00F856B5" w:rsidRDefault="009F7ECA">
            <w:pPr>
              <w:spacing w:after="0"/>
              <w:rPr>
                <w:rFonts w:ascii="Times New Roman" w:hAnsi="Times New Roman" w:cs="Times New Roman"/>
                <w:sz w:val="20"/>
                <w:szCs w:val="20"/>
              </w:rPr>
            </w:pPr>
            <w:r>
              <w:rPr>
                <w:rFonts w:ascii="Times New Roman" w:hAnsi="Times New Roman"/>
                <w:sz w:val="20"/>
              </w:rPr>
              <w:t>Over 50 years old</w:t>
            </w:r>
          </w:p>
        </w:tc>
        <w:tc>
          <w:tcPr>
            <w:tcW w:w="1979" w:type="dxa"/>
          </w:tcPr>
          <w:p w14:paraId="086C1032"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33.01</w:t>
            </w:r>
          </w:p>
        </w:tc>
        <w:tc>
          <w:tcPr>
            <w:tcW w:w="1620" w:type="dxa"/>
          </w:tcPr>
          <w:p w14:paraId="34B61413"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29.94</w:t>
            </w:r>
          </w:p>
        </w:tc>
        <w:tc>
          <w:tcPr>
            <w:tcW w:w="1357" w:type="dxa"/>
          </w:tcPr>
          <w:p w14:paraId="482CE270"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10.26%</w:t>
            </w:r>
          </w:p>
        </w:tc>
      </w:tr>
      <w:tr w:rsidR="00F856B5" w14:paraId="1508B75A"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Pr>
          <w:p w14:paraId="448475AF" w14:textId="77777777" w:rsidR="00F856B5" w:rsidRDefault="009F7ECA">
            <w:pPr>
              <w:spacing w:after="0"/>
              <w:rPr>
                <w:rFonts w:ascii="Times New Roman" w:hAnsi="Times New Roman" w:cs="Times New Roman"/>
                <w:sz w:val="20"/>
                <w:szCs w:val="20"/>
              </w:rPr>
            </w:pPr>
            <w:r>
              <w:rPr>
                <w:rFonts w:ascii="Times New Roman" w:hAnsi="Times New Roman"/>
                <w:sz w:val="20"/>
              </w:rPr>
              <w:t>Postgraduate University Studies</w:t>
            </w:r>
          </w:p>
        </w:tc>
        <w:tc>
          <w:tcPr>
            <w:tcW w:w="1979" w:type="dxa"/>
          </w:tcPr>
          <w:p w14:paraId="28A39683"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37.43</w:t>
            </w:r>
          </w:p>
        </w:tc>
        <w:tc>
          <w:tcPr>
            <w:tcW w:w="1620" w:type="dxa"/>
          </w:tcPr>
          <w:p w14:paraId="26D1F48F"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35.84</w:t>
            </w:r>
          </w:p>
        </w:tc>
        <w:tc>
          <w:tcPr>
            <w:tcW w:w="1357" w:type="dxa"/>
          </w:tcPr>
          <w:p w14:paraId="5F9FEB0A"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4.44%</w:t>
            </w:r>
          </w:p>
        </w:tc>
      </w:tr>
      <w:tr w:rsidR="00F856B5" w14:paraId="1B27AD6E" w14:textId="77777777" w:rsidTr="00560F62">
        <w:trPr>
          <w:trHeight w:val="575"/>
        </w:trPr>
        <w:tc>
          <w:tcPr>
            <w:cnfStyle w:val="001000000000" w:firstRow="0" w:lastRow="0" w:firstColumn="1" w:lastColumn="0" w:oddVBand="0" w:evenVBand="0" w:oddHBand="0" w:evenHBand="0" w:firstRowFirstColumn="0" w:firstRowLastColumn="0" w:lastRowFirstColumn="0" w:lastRowLastColumn="0"/>
            <w:tcW w:w="3840" w:type="dxa"/>
          </w:tcPr>
          <w:p w14:paraId="0A6EAD93" w14:textId="77777777" w:rsidR="00F856B5" w:rsidRDefault="009F7ECA">
            <w:pPr>
              <w:spacing w:after="0"/>
              <w:rPr>
                <w:rFonts w:ascii="Times New Roman" w:hAnsi="Times New Roman" w:cs="Times New Roman"/>
                <w:sz w:val="20"/>
                <w:szCs w:val="20"/>
              </w:rPr>
            </w:pPr>
            <w:r>
              <w:rPr>
                <w:rFonts w:ascii="Times New Roman" w:hAnsi="Times New Roman"/>
                <w:sz w:val="20"/>
              </w:rPr>
              <w:t>University Graduate (undergraduate degree)</w:t>
            </w:r>
          </w:p>
        </w:tc>
        <w:tc>
          <w:tcPr>
            <w:tcW w:w="1979" w:type="dxa"/>
          </w:tcPr>
          <w:p w14:paraId="53058484"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35.55</w:t>
            </w:r>
          </w:p>
        </w:tc>
        <w:tc>
          <w:tcPr>
            <w:tcW w:w="1620" w:type="dxa"/>
          </w:tcPr>
          <w:p w14:paraId="15B9AAED"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33.44</w:t>
            </w:r>
          </w:p>
        </w:tc>
        <w:tc>
          <w:tcPr>
            <w:tcW w:w="1357" w:type="dxa"/>
          </w:tcPr>
          <w:p w14:paraId="0EDEF9F4"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6.30%</w:t>
            </w:r>
          </w:p>
        </w:tc>
      </w:tr>
      <w:tr w:rsidR="00F856B5" w14:paraId="7F27985F" w14:textId="77777777" w:rsidTr="00560F6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840" w:type="dxa"/>
          </w:tcPr>
          <w:p w14:paraId="5C3519BE" w14:textId="77777777" w:rsidR="00F856B5" w:rsidRDefault="009F7ECA">
            <w:pPr>
              <w:spacing w:after="0"/>
              <w:rPr>
                <w:rFonts w:ascii="Times New Roman" w:hAnsi="Times New Roman" w:cs="Times New Roman"/>
                <w:sz w:val="20"/>
                <w:szCs w:val="20"/>
              </w:rPr>
            </w:pPr>
            <w:r>
              <w:rPr>
                <w:rFonts w:ascii="Times New Roman" w:hAnsi="Times New Roman"/>
                <w:sz w:val="20"/>
              </w:rPr>
              <w:t>Technical Training Graduate</w:t>
            </w:r>
          </w:p>
        </w:tc>
        <w:tc>
          <w:tcPr>
            <w:tcW w:w="1979" w:type="dxa"/>
          </w:tcPr>
          <w:p w14:paraId="7C29847B"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32.16</w:t>
            </w:r>
          </w:p>
        </w:tc>
        <w:tc>
          <w:tcPr>
            <w:tcW w:w="1620" w:type="dxa"/>
          </w:tcPr>
          <w:p w14:paraId="5FCC698E"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32.72</w:t>
            </w:r>
          </w:p>
        </w:tc>
        <w:tc>
          <w:tcPr>
            <w:tcW w:w="1357" w:type="dxa"/>
          </w:tcPr>
          <w:p w14:paraId="3FFA44A1"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-1.71%</w:t>
            </w:r>
          </w:p>
        </w:tc>
      </w:tr>
      <w:tr w:rsidR="00F856B5" w14:paraId="3077C563" w14:textId="77777777" w:rsidTr="00560F62">
        <w:trPr>
          <w:trHeight w:val="331"/>
        </w:trPr>
        <w:tc>
          <w:tcPr>
            <w:cnfStyle w:val="001000000000" w:firstRow="0" w:lastRow="0" w:firstColumn="1" w:lastColumn="0" w:oddVBand="0" w:evenVBand="0" w:oddHBand="0" w:evenHBand="0" w:firstRowFirstColumn="0" w:firstRowLastColumn="0" w:lastRowFirstColumn="0" w:lastRowLastColumn="0"/>
            <w:tcW w:w="3840" w:type="dxa"/>
          </w:tcPr>
          <w:p w14:paraId="2D0D6415" w14:textId="77777777" w:rsidR="00F856B5" w:rsidRDefault="009F7ECA">
            <w:pPr>
              <w:spacing w:after="0"/>
              <w:rPr>
                <w:rFonts w:ascii="Times New Roman" w:hAnsi="Times New Roman" w:cs="Times New Roman"/>
                <w:sz w:val="20"/>
                <w:szCs w:val="20"/>
              </w:rPr>
            </w:pPr>
            <w:r>
              <w:rPr>
                <w:rFonts w:ascii="Times New Roman" w:hAnsi="Times New Roman"/>
                <w:sz w:val="20"/>
              </w:rPr>
              <w:t>Compulsory Education and High School Graduate</w:t>
            </w:r>
          </w:p>
        </w:tc>
        <w:tc>
          <w:tcPr>
            <w:tcW w:w="1979" w:type="dxa"/>
          </w:tcPr>
          <w:p w14:paraId="75C53EEF"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35.11</w:t>
            </w:r>
          </w:p>
        </w:tc>
        <w:tc>
          <w:tcPr>
            <w:tcW w:w="1620" w:type="dxa"/>
          </w:tcPr>
          <w:p w14:paraId="2B0C57B4"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31.46</w:t>
            </w:r>
          </w:p>
        </w:tc>
        <w:tc>
          <w:tcPr>
            <w:tcW w:w="1357" w:type="dxa"/>
          </w:tcPr>
          <w:p w14:paraId="138D580E"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11.58%</w:t>
            </w:r>
          </w:p>
        </w:tc>
      </w:tr>
      <w:tr w:rsidR="00F856B5" w14:paraId="76DB8E49" w14:textId="77777777" w:rsidTr="00560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Pr>
          <w:p w14:paraId="7DDC388F" w14:textId="77777777" w:rsidR="00F856B5" w:rsidRDefault="009F7ECA">
            <w:pPr>
              <w:spacing w:after="0"/>
              <w:rPr>
                <w:rFonts w:ascii="Times New Roman" w:hAnsi="Times New Roman" w:cs="Times New Roman"/>
                <w:sz w:val="20"/>
                <w:szCs w:val="20"/>
              </w:rPr>
            </w:pPr>
            <w:r>
              <w:rPr>
                <w:rFonts w:ascii="Times New Roman" w:hAnsi="Times New Roman"/>
                <w:sz w:val="20"/>
              </w:rPr>
              <w:t>Arts</w:t>
            </w:r>
          </w:p>
        </w:tc>
        <w:tc>
          <w:tcPr>
            <w:tcW w:w="1979" w:type="dxa"/>
          </w:tcPr>
          <w:p w14:paraId="0472BEBD"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35.83</w:t>
            </w:r>
          </w:p>
        </w:tc>
        <w:tc>
          <w:tcPr>
            <w:tcW w:w="1620" w:type="dxa"/>
          </w:tcPr>
          <w:p w14:paraId="410C04A5"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33.65</w:t>
            </w:r>
          </w:p>
        </w:tc>
        <w:tc>
          <w:tcPr>
            <w:tcW w:w="1357" w:type="dxa"/>
          </w:tcPr>
          <w:p w14:paraId="051AF953"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6.47%</w:t>
            </w:r>
          </w:p>
        </w:tc>
      </w:tr>
      <w:tr w:rsidR="00F856B5" w14:paraId="420C6CF7" w14:textId="77777777" w:rsidTr="00560F62">
        <w:trPr>
          <w:trHeight w:val="292"/>
        </w:trPr>
        <w:tc>
          <w:tcPr>
            <w:cnfStyle w:val="001000000000" w:firstRow="0" w:lastRow="0" w:firstColumn="1" w:lastColumn="0" w:oddVBand="0" w:evenVBand="0" w:oddHBand="0" w:evenHBand="0" w:firstRowFirstColumn="0" w:firstRowLastColumn="0" w:lastRowFirstColumn="0" w:lastRowLastColumn="0"/>
            <w:tcW w:w="3840" w:type="dxa"/>
          </w:tcPr>
          <w:p w14:paraId="5FEE7C01" w14:textId="77777777" w:rsidR="00F856B5" w:rsidRDefault="009F7ECA">
            <w:pPr>
              <w:spacing w:after="0"/>
              <w:rPr>
                <w:rFonts w:ascii="Times New Roman" w:hAnsi="Times New Roman" w:cs="Times New Roman"/>
                <w:sz w:val="20"/>
                <w:szCs w:val="20"/>
              </w:rPr>
            </w:pPr>
            <w:r>
              <w:rPr>
                <w:rFonts w:ascii="Times New Roman" w:hAnsi="Times New Roman"/>
                <w:sz w:val="20"/>
              </w:rPr>
              <w:t>Sciences</w:t>
            </w:r>
          </w:p>
        </w:tc>
        <w:tc>
          <w:tcPr>
            <w:tcW w:w="1979" w:type="dxa"/>
          </w:tcPr>
          <w:p w14:paraId="5B182B5F"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36.05</w:t>
            </w:r>
          </w:p>
        </w:tc>
        <w:tc>
          <w:tcPr>
            <w:tcW w:w="1620" w:type="dxa"/>
          </w:tcPr>
          <w:p w14:paraId="4944C2C3"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33.57</w:t>
            </w:r>
          </w:p>
        </w:tc>
        <w:tc>
          <w:tcPr>
            <w:tcW w:w="1357" w:type="dxa"/>
          </w:tcPr>
          <w:p w14:paraId="6DF09837"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7.37%</w:t>
            </w:r>
          </w:p>
        </w:tc>
      </w:tr>
      <w:tr w:rsidR="00F856B5" w14:paraId="000C9C46" w14:textId="77777777" w:rsidTr="00560F6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840" w:type="dxa"/>
          </w:tcPr>
          <w:p w14:paraId="71BD2AA7" w14:textId="77777777" w:rsidR="00F856B5" w:rsidRDefault="009F7ECA">
            <w:pPr>
              <w:spacing w:after="0"/>
              <w:rPr>
                <w:rFonts w:ascii="Times New Roman" w:hAnsi="Times New Roman" w:cs="Times New Roman"/>
                <w:sz w:val="20"/>
                <w:szCs w:val="20"/>
              </w:rPr>
            </w:pPr>
            <w:r>
              <w:rPr>
                <w:rFonts w:ascii="Times New Roman" w:hAnsi="Times New Roman"/>
                <w:sz w:val="20"/>
              </w:rPr>
              <w:t>Citizenship</w:t>
            </w:r>
          </w:p>
        </w:tc>
        <w:tc>
          <w:tcPr>
            <w:tcW w:w="1979" w:type="dxa"/>
          </w:tcPr>
          <w:p w14:paraId="011A2A3B"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36.65</w:t>
            </w:r>
          </w:p>
        </w:tc>
        <w:tc>
          <w:tcPr>
            <w:tcW w:w="1620" w:type="dxa"/>
          </w:tcPr>
          <w:p w14:paraId="63D2B9BA"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33.85</w:t>
            </w:r>
          </w:p>
        </w:tc>
        <w:tc>
          <w:tcPr>
            <w:tcW w:w="1357" w:type="dxa"/>
          </w:tcPr>
          <w:p w14:paraId="262BF96D"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8.25%</w:t>
            </w:r>
          </w:p>
        </w:tc>
      </w:tr>
      <w:tr w:rsidR="00F856B5" w14:paraId="55040FC5" w14:textId="77777777" w:rsidTr="00560F62">
        <w:trPr>
          <w:trHeight w:val="292"/>
        </w:trPr>
        <w:tc>
          <w:tcPr>
            <w:cnfStyle w:val="001000000000" w:firstRow="0" w:lastRow="0" w:firstColumn="1" w:lastColumn="0" w:oddVBand="0" w:evenVBand="0" w:oddHBand="0" w:evenHBand="0" w:firstRowFirstColumn="0" w:firstRowLastColumn="0" w:lastRowFirstColumn="0" w:lastRowLastColumn="0"/>
            <w:tcW w:w="3840" w:type="dxa"/>
          </w:tcPr>
          <w:p w14:paraId="7ED3DC74" w14:textId="77777777" w:rsidR="00F856B5" w:rsidRDefault="009F7ECA">
            <w:pPr>
              <w:spacing w:after="0"/>
              <w:rPr>
                <w:rFonts w:ascii="Times New Roman" w:hAnsi="Times New Roman" w:cs="Times New Roman"/>
                <w:sz w:val="20"/>
                <w:szCs w:val="20"/>
              </w:rPr>
            </w:pPr>
            <w:r>
              <w:rPr>
                <w:rFonts w:ascii="Times New Roman" w:hAnsi="Times New Roman"/>
                <w:sz w:val="20"/>
              </w:rPr>
              <w:t>Physical education</w:t>
            </w:r>
          </w:p>
        </w:tc>
        <w:tc>
          <w:tcPr>
            <w:tcW w:w="1979" w:type="dxa"/>
          </w:tcPr>
          <w:p w14:paraId="20BD42BC"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35.20</w:t>
            </w:r>
          </w:p>
        </w:tc>
        <w:tc>
          <w:tcPr>
            <w:tcW w:w="1620" w:type="dxa"/>
          </w:tcPr>
          <w:p w14:paraId="17B5D97A"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34.09</w:t>
            </w:r>
          </w:p>
        </w:tc>
        <w:tc>
          <w:tcPr>
            <w:tcW w:w="1357" w:type="dxa"/>
          </w:tcPr>
          <w:p w14:paraId="3664D31F"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3.25%</w:t>
            </w:r>
          </w:p>
        </w:tc>
      </w:tr>
      <w:tr w:rsidR="00F856B5" w14:paraId="56D070F4" w14:textId="77777777" w:rsidTr="00560F6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840" w:type="dxa"/>
          </w:tcPr>
          <w:p w14:paraId="17DDEBA9" w14:textId="77777777" w:rsidR="00F856B5" w:rsidRDefault="009F7ECA">
            <w:pPr>
              <w:spacing w:after="0"/>
              <w:rPr>
                <w:rFonts w:ascii="Times New Roman" w:hAnsi="Times New Roman" w:cs="Times New Roman"/>
                <w:sz w:val="20"/>
                <w:szCs w:val="20"/>
              </w:rPr>
            </w:pPr>
            <w:r>
              <w:rPr>
                <w:rFonts w:ascii="Times New Roman" w:hAnsi="Times New Roman"/>
                <w:sz w:val="20"/>
              </w:rPr>
              <w:t>Tutor</w:t>
            </w:r>
          </w:p>
        </w:tc>
        <w:tc>
          <w:tcPr>
            <w:tcW w:w="1979" w:type="dxa"/>
          </w:tcPr>
          <w:p w14:paraId="37A665DF"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32.46</w:t>
            </w:r>
          </w:p>
        </w:tc>
        <w:tc>
          <w:tcPr>
            <w:tcW w:w="1620" w:type="dxa"/>
          </w:tcPr>
          <w:p w14:paraId="059EEDB0"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31.13</w:t>
            </w:r>
          </w:p>
        </w:tc>
        <w:tc>
          <w:tcPr>
            <w:tcW w:w="1357" w:type="dxa"/>
          </w:tcPr>
          <w:p w14:paraId="3D112BF7"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4.27%</w:t>
            </w:r>
          </w:p>
        </w:tc>
      </w:tr>
      <w:tr w:rsidR="00F856B5" w14:paraId="3F2EDD9E" w14:textId="77777777" w:rsidTr="00560F62">
        <w:trPr>
          <w:trHeight w:val="292"/>
        </w:trPr>
        <w:tc>
          <w:tcPr>
            <w:cnfStyle w:val="001000000000" w:firstRow="0" w:lastRow="0" w:firstColumn="1" w:lastColumn="0" w:oddVBand="0" w:evenVBand="0" w:oddHBand="0" w:evenHBand="0" w:firstRowFirstColumn="0" w:firstRowLastColumn="0" w:lastRowFirstColumn="0" w:lastRowLastColumn="0"/>
            <w:tcW w:w="3840" w:type="dxa"/>
          </w:tcPr>
          <w:p w14:paraId="158A32C2" w14:textId="77777777" w:rsidR="00F856B5" w:rsidRDefault="009F7ECA">
            <w:pPr>
              <w:spacing w:after="0"/>
              <w:rPr>
                <w:rFonts w:ascii="Times New Roman" w:hAnsi="Times New Roman" w:cs="Times New Roman"/>
                <w:sz w:val="20"/>
                <w:szCs w:val="20"/>
              </w:rPr>
            </w:pPr>
            <w:r>
              <w:rPr>
                <w:rFonts w:ascii="Times New Roman" w:hAnsi="Times New Roman"/>
                <w:sz w:val="20"/>
              </w:rPr>
              <w:t>Languages</w:t>
            </w:r>
          </w:p>
        </w:tc>
        <w:tc>
          <w:tcPr>
            <w:tcW w:w="1979" w:type="dxa"/>
          </w:tcPr>
          <w:p w14:paraId="71CA0873"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35.36</w:t>
            </w:r>
          </w:p>
        </w:tc>
        <w:tc>
          <w:tcPr>
            <w:tcW w:w="1620" w:type="dxa"/>
          </w:tcPr>
          <w:p w14:paraId="6EB32B05"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33.44</w:t>
            </w:r>
          </w:p>
        </w:tc>
        <w:tc>
          <w:tcPr>
            <w:tcW w:w="1357" w:type="dxa"/>
          </w:tcPr>
          <w:p w14:paraId="6A8659C5"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5.75%</w:t>
            </w:r>
          </w:p>
        </w:tc>
      </w:tr>
      <w:tr w:rsidR="00F856B5" w14:paraId="3A7ED792" w14:textId="77777777" w:rsidTr="00560F6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840" w:type="dxa"/>
          </w:tcPr>
          <w:p w14:paraId="03F8C454" w14:textId="77777777" w:rsidR="00F856B5" w:rsidRDefault="009F7ECA">
            <w:pPr>
              <w:spacing w:after="0"/>
              <w:rPr>
                <w:rFonts w:ascii="Times New Roman" w:hAnsi="Times New Roman" w:cs="Times New Roman"/>
                <w:sz w:val="20"/>
                <w:szCs w:val="20"/>
              </w:rPr>
            </w:pPr>
            <w:r>
              <w:rPr>
                <w:rFonts w:ascii="Times New Roman" w:hAnsi="Times New Roman"/>
                <w:sz w:val="20"/>
              </w:rPr>
              <w:t>Mathematics</w:t>
            </w:r>
          </w:p>
        </w:tc>
        <w:tc>
          <w:tcPr>
            <w:tcW w:w="1979" w:type="dxa"/>
          </w:tcPr>
          <w:p w14:paraId="79907A64"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39.89</w:t>
            </w:r>
          </w:p>
        </w:tc>
        <w:tc>
          <w:tcPr>
            <w:tcW w:w="1620" w:type="dxa"/>
          </w:tcPr>
          <w:p w14:paraId="36B45127"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35.57</w:t>
            </w:r>
          </w:p>
        </w:tc>
        <w:tc>
          <w:tcPr>
            <w:tcW w:w="1357" w:type="dxa"/>
          </w:tcPr>
          <w:p w14:paraId="3E9A24B4" w14:textId="77777777" w:rsidR="00F856B5" w:rsidRDefault="009F7EC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12.13%</w:t>
            </w:r>
          </w:p>
        </w:tc>
      </w:tr>
      <w:tr w:rsidR="00F856B5" w14:paraId="4044BB2E" w14:textId="77777777" w:rsidTr="00560F62">
        <w:trPr>
          <w:trHeight w:val="300"/>
        </w:trPr>
        <w:tc>
          <w:tcPr>
            <w:cnfStyle w:val="001000000000" w:firstRow="0" w:lastRow="0" w:firstColumn="1" w:lastColumn="0" w:oddVBand="0" w:evenVBand="0" w:oddHBand="0" w:evenHBand="0" w:firstRowFirstColumn="0" w:firstRowLastColumn="0" w:lastRowFirstColumn="0" w:lastRowLastColumn="0"/>
            <w:tcW w:w="3840" w:type="dxa"/>
          </w:tcPr>
          <w:p w14:paraId="2F20CF23" w14:textId="77777777" w:rsidR="00F856B5" w:rsidRDefault="009F7ECA">
            <w:pPr>
              <w:spacing w:after="0"/>
              <w:rPr>
                <w:rFonts w:ascii="Times New Roman" w:hAnsi="Times New Roman" w:cs="Times New Roman"/>
                <w:sz w:val="20"/>
                <w:szCs w:val="20"/>
              </w:rPr>
            </w:pPr>
            <w:r>
              <w:rPr>
                <w:rFonts w:ascii="Times New Roman" w:hAnsi="Times New Roman"/>
                <w:sz w:val="20"/>
              </w:rPr>
              <w:t>Technology/IT</w:t>
            </w:r>
          </w:p>
        </w:tc>
        <w:tc>
          <w:tcPr>
            <w:tcW w:w="1979" w:type="dxa"/>
          </w:tcPr>
          <w:p w14:paraId="18B7360D"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37.62</w:t>
            </w:r>
          </w:p>
        </w:tc>
        <w:tc>
          <w:tcPr>
            <w:tcW w:w="1620" w:type="dxa"/>
          </w:tcPr>
          <w:p w14:paraId="47A15D60"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35.91</w:t>
            </w:r>
          </w:p>
        </w:tc>
        <w:tc>
          <w:tcPr>
            <w:tcW w:w="1357" w:type="dxa"/>
          </w:tcPr>
          <w:p w14:paraId="1487FEC0" w14:textId="77777777" w:rsidR="00F856B5" w:rsidRDefault="009F7E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4.77%</w:t>
            </w:r>
          </w:p>
        </w:tc>
      </w:tr>
    </w:tbl>
    <w:p w14:paraId="27CDACBA" w14:textId="77777777" w:rsidR="00F856B5" w:rsidRDefault="00F856B5">
      <w:pPr>
        <w:rPr>
          <w:rFonts w:ascii="Times New Roman" w:hAnsi="Times New Roman" w:cs="Times New Roman"/>
          <w:sz w:val="24"/>
          <w:szCs w:val="24"/>
          <w:lang w:eastAsia="es-ES"/>
        </w:rPr>
      </w:pPr>
    </w:p>
    <w:p w14:paraId="52D8AF2D" w14:textId="13498213" w:rsidR="17C740E7" w:rsidRDefault="17C740E7" w:rsidP="00AB1102">
      <w:pPr>
        <w:spacing w:line="480" w:lineRule="auto"/>
        <w:ind w:firstLine="567"/>
        <w:rPr>
          <w:rFonts w:ascii="Times New Roman" w:hAnsi="Times New Roman" w:cs="Times New Roman"/>
          <w:sz w:val="24"/>
          <w:szCs w:val="24"/>
        </w:rPr>
      </w:pPr>
      <w:r w:rsidRPr="7E8E7E1E">
        <w:rPr>
          <w:rFonts w:ascii="Times New Roman" w:hAnsi="Times New Roman"/>
          <w:sz w:val="24"/>
          <w:szCs w:val="24"/>
        </w:rPr>
        <w:t>When we analyze the results by gender, male teachers demonstrated a higher increase in their overall test score, when comparing those who were untrained with those who had 150 or more training hours, achieving an improvement of 7.03%.</w:t>
      </w:r>
    </w:p>
    <w:p w14:paraId="595CD0DA" w14:textId="0E85DC97" w:rsidR="17C740E7" w:rsidRDefault="17C740E7" w:rsidP="00AB1102">
      <w:pPr>
        <w:spacing w:line="480" w:lineRule="auto"/>
        <w:ind w:firstLine="567"/>
        <w:rPr>
          <w:rFonts w:ascii="Times New Roman" w:hAnsi="Times New Roman" w:cs="Times New Roman"/>
          <w:sz w:val="24"/>
          <w:szCs w:val="24"/>
        </w:rPr>
      </w:pPr>
      <w:r w:rsidRPr="7E8E7E1E">
        <w:rPr>
          <w:rFonts w:ascii="Times New Roman" w:hAnsi="Times New Roman"/>
          <w:sz w:val="24"/>
          <w:szCs w:val="24"/>
        </w:rPr>
        <w:t>In terms of age range, individuals over the age of 50, appeared to benefit most from the training, exhibiting a score increased by 10.26%, using the same comparison. Notably, the group under the age of 30 saw a practically non-existent improvement (0.35%).</w:t>
      </w:r>
    </w:p>
    <w:p w14:paraId="4FB7551F" w14:textId="77777777" w:rsidR="00F856B5" w:rsidRPr="00CE35AA" w:rsidRDefault="009F7ECA" w:rsidP="00AB1102">
      <w:pPr>
        <w:spacing w:line="480" w:lineRule="auto"/>
        <w:ind w:firstLine="567"/>
        <w:rPr>
          <w:rFonts w:ascii="Times New Roman" w:hAnsi="Times New Roman" w:cs="Times New Roman"/>
          <w:sz w:val="24"/>
          <w:szCs w:val="24"/>
        </w:rPr>
      </w:pPr>
      <w:r w:rsidRPr="00CE35AA">
        <w:rPr>
          <w:rFonts w:ascii="Times New Roman" w:hAnsi="Times New Roman"/>
          <w:sz w:val="24"/>
          <w:szCs w:val="24"/>
        </w:rPr>
        <w:lastRenderedPageBreak/>
        <w:t xml:space="preserve">If we look at the improvement in terms of the level of previous education attained by the teachers, the </w:t>
      </w:r>
      <w:r w:rsidRPr="00CE35AA">
        <w:rPr>
          <w:rFonts w:ascii="Times New Roman" w:hAnsi="Times New Roman"/>
          <w:b/>
          <w:bCs/>
          <w:sz w:val="24"/>
          <w:szCs w:val="24"/>
        </w:rPr>
        <w:t>compulsory education and high school</w:t>
      </w:r>
      <w:r w:rsidRPr="00CE35AA">
        <w:rPr>
          <w:rFonts w:ascii="Times New Roman" w:hAnsi="Times New Roman"/>
          <w:sz w:val="24"/>
          <w:szCs w:val="24"/>
        </w:rPr>
        <w:t xml:space="preserve"> </w:t>
      </w:r>
      <w:r w:rsidRPr="00CE35AA">
        <w:rPr>
          <w:rFonts w:ascii="Times New Roman" w:hAnsi="Times New Roman"/>
          <w:b/>
          <w:bCs/>
          <w:sz w:val="24"/>
          <w:szCs w:val="24"/>
        </w:rPr>
        <w:t xml:space="preserve">graduate </w:t>
      </w:r>
      <w:r w:rsidRPr="00CE35AA">
        <w:rPr>
          <w:rFonts w:ascii="Times New Roman" w:hAnsi="Times New Roman"/>
          <w:sz w:val="24"/>
          <w:szCs w:val="24"/>
        </w:rPr>
        <w:t>group showed a greater level of improvement, with 11.58%. The</w:t>
      </w:r>
      <w:r w:rsidRPr="00CE35AA">
        <w:rPr>
          <w:rFonts w:ascii="Times New Roman" w:hAnsi="Times New Roman"/>
          <w:b/>
          <w:bCs/>
          <w:sz w:val="24"/>
          <w:szCs w:val="24"/>
        </w:rPr>
        <w:t xml:space="preserve"> technical training graduate</w:t>
      </w:r>
      <w:r w:rsidRPr="00CE35AA">
        <w:rPr>
          <w:rFonts w:ascii="Times New Roman" w:hAnsi="Times New Roman"/>
          <w:sz w:val="24"/>
          <w:szCs w:val="24"/>
        </w:rPr>
        <w:t xml:space="preserve"> group were noteworthy here, due to showing no improvement (-1.71%).</w:t>
      </w:r>
    </w:p>
    <w:p w14:paraId="474978D4" w14:textId="77777777" w:rsidR="00F856B5" w:rsidRPr="00CE35AA" w:rsidRDefault="009F7ECA" w:rsidP="00AB1102">
      <w:pPr>
        <w:spacing w:line="480" w:lineRule="auto"/>
        <w:ind w:firstLine="567"/>
        <w:rPr>
          <w:rFonts w:ascii="Times New Roman" w:hAnsi="Times New Roman" w:cs="Times New Roman"/>
          <w:sz w:val="24"/>
          <w:szCs w:val="24"/>
        </w:rPr>
      </w:pPr>
      <w:r w:rsidRPr="00CE35AA">
        <w:rPr>
          <w:rFonts w:ascii="Times New Roman" w:hAnsi="Times New Roman"/>
          <w:sz w:val="24"/>
          <w:szCs w:val="24"/>
        </w:rPr>
        <w:t xml:space="preserve">In terms of areas of expertise, the greatest improvements were for those teaching: </w:t>
      </w:r>
      <w:r w:rsidRPr="00CE35AA">
        <w:rPr>
          <w:rFonts w:ascii="Times New Roman" w:hAnsi="Times New Roman"/>
          <w:b/>
          <w:sz w:val="24"/>
          <w:szCs w:val="24"/>
        </w:rPr>
        <w:t>Mathematics</w:t>
      </w:r>
      <w:r w:rsidRPr="00CE35AA">
        <w:rPr>
          <w:rFonts w:ascii="Times New Roman" w:hAnsi="Times New Roman"/>
          <w:sz w:val="24"/>
          <w:szCs w:val="24"/>
        </w:rPr>
        <w:t xml:space="preserve">, with 12.13%, </w:t>
      </w:r>
      <w:r w:rsidRPr="00CE35AA">
        <w:rPr>
          <w:rFonts w:ascii="Times New Roman" w:hAnsi="Times New Roman"/>
          <w:b/>
          <w:bCs/>
          <w:sz w:val="24"/>
          <w:szCs w:val="24"/>
        </w:rPr>
        <w:t>Citizenship</w:t>
      </w:r>
      <w:r w:rsidRPr="00CE35AA">
        <w:rPr>
          <w:rFonts w:ascii="Times New Roman" w:hAnsi="Times New Roman"/>
          <w:sz w:val="24"/>
          <w:szCs w:val="24"/>
        </w:rPr>
        <w:t xml:space="preserve">, with 8.25% and </w:t>
      </w:r>
      <w:r w:rsidRPr="00CE35AA">
        <w:rPr>
          <w:rFonts w:ascii="Times New Roman" w:hAnsi="Times New Roman"/>
          <w:b/>
          <w:sz w:val="24"/>
          <w:szCs w:val="24"/>
        </w:rPr>
        <w:t>Sciences</w:t>
      </w:r>
      <w:r w:rsidRPr="00CE35AA">
        <w:rPr>
          <w:rFonts w:ascii="Times New Roman" w:hAnsi="Times New Roman"/>
          <w:sz w:val="24"/>
          <w:szCs w:val="24"/>
        </w:rPr>
        <w:t>, with 7.37%.</w:t>
      </w:r>
    </w:p>
    <w:p w14:paraId="68AD2C70" w14:textId="77777777" w:rsidR="00F856B5" w:rsidRPr="00CE35AA" w:rsidRDefault="00F856B5" w:rsidP="00CE35AA">
      <w:pPr>
        <w:spacing w:line="480" w:lineRule="auto"/>
        <w:rPr>
          <w:rFonts w:ascii="Times New Roman" w:hAnsi="Times New Roman" w:cs="Times New Roman"/>
          <w:sz w:val="24"/>
          <w:szCs w:val="24"/>
          <w:lang w:eastAsia="es-ES"/>
        </w:rPr>
      </w:pPr>
    </w:p>
    <w:p w14:paraId="568EB335" w14:textId="39D3BC02" w:rsidR="00F856B5" w:rsidRPr="00CE35AA" w:rsidRDefault="00ED66D6" w:rsidP="00560F62">
      <w:pPr>
        <w:keepLines/>
        <w:spacing w:after="200" w:line="480" w:lineRule="auto"/>
        <w:jc w:val="center"/>
        <w:rPr>
          <w:rFonts w:ascii="Times New Roman" w:eastAsia="Times New Roman" w:hAnsi="Times New Roman" w:cs="Times New Roman"/>
          <w:b/>
          <w:bCs/>
          <w:sz w:val="24"/>
          <w:szCs w:val="24"/>
        </w:rPr>
      </w:pPr>
      <w:r w:rsidRPr="00CE35AA">
        <w:rPr>
          <w:rFonts w:ascii="Times New Roman" w:hAnsi="Times New Roman"/>
          <w:b/>
          <w:sz w:val="24"/>
          <w:szCs w:val="24"/>
        </w:rPr>
        <w:t>Conclusions and implications</w:t>
      </w:r>
    </w:p>
    <w:p w14:paraId="3B7DCF05" w14:textId="1BA73853" w:rsidR="00F856B5" w:rsidRPr="00CE35AA" w:rsidRDefault="009F7ECA" w:rsidP="00AB1102">
      <w:pPr>
        <w:spacing w:line="480" w:lineRule="auto"/>
        <w:ind w:firstLine="567"/>
        <w:rPr>
          <w:rFonts w:ascii="Times New Roman" w:eastAsia="Times New Roman" w:hAnsi="Times New Roman" w:cs="Times New Roman"/>
          <w:sz w:val="24"/>
          <w:szCs w:val="24"/>
        </w:rPr>
      </w:pPr>
      <w:commentRangeStart w:id="17"/>
      <w:commentRangeStart w:id="18"/>
      <w:r w:rsidRPr="00CE35AA">
        <w:rPr>
          <w:rFonts w:ascii="Times New Roman" w:hAnsi="Times New Roman"/>
          <w:sz w:val="24"/>
          <w:szCs w:val="24"/>
        </w:rPr>
        <w:t xml:space="preserve">In analyzing the utility perceived by the teachers regarding the use of technology and digital resources in the classroom for improving student learning, we find that up to 98.8% of the assessments indicate the utility of the model implemented by ProFuturo in Ecuador, which uses technology as a tool for improving quality in education. From this, we can infer that the teachers are aware of the utility of digital transformation in the classroom, as a means of improving the learning experience. This demonstrates the necessity for training in order to facilitate digital transition through the competence required. On the other hand, it is important to remember that perceived utility and satisfaction are key factors in explaining users’ intentions to remain in technology-mediated studies (Tiyar </w:t>
      </w:r>
      <w:r w:rsidR="00ED66D6" w:rsidRPr="00CE35AA">
        <w:rPr>
          <w:rFonts w:ascii="Times New Roman" w:hAnsi="Times New Roman"/>
          <w:sz w:val="24"/>
          <w:szCs w:val="24"/>
        </w:rPr>
        <w:t>&amp;</w:t>
      </w:r>
      <w:r w:rsidRPr="00CE35AA">
        <w:rPr>
          <w:rFonts w:ascii="Times New Roman" w:hAnsi="Times New Roman"/>
          <w:sz w:val="24"/>
          <w:szCs w:val="24"/>
        </w:rPr>
        <w:t xml:space="preserve"> Khoshsima, 2015; Zhou, 2017; </w:t>
      </w:r>
      <w:r w:rsidRPr="00CE35AA">
        <w:rPr>
          <w:rStyle w:val="normaltextrun"/>
          <w:rFonts w:ascii="Times New Roman" w:hAnsi="Times New Roman"/>
          <w:color w:val="000000"/>
          <w:sz w:val="24"/>
          <w:szCs w:val="24"/>
          <w:shd w:val="clear" w:color="auto" w:fill="FFFFFF"/>
        </w:rPr>
        <w:t>Yu, 2022</w:t>
      </w:r>
      <w:r w:rsidRPr="00CE35AA">
        <w:rPr>
          <w:rFonts w:ascii="Times New Roman" w:hAnsi="Times New Roman"/>
          <w:sz w:val="24"/>
          <w:szCs w:val="24"/>
        </w:rPr>
        <w:t>).</w:t>
      </w:r>
    </w:p>
    <w:p w14:paraId="15769E66" w14:textId="0A65DE5D" w:rsidR="78F34045" w:rsidRDefault="78F34045" w:rsidP="00AB1102">
      <w:pPr>
        <w:spacing w:line="480" w:lineRule="auto"/>
        <w:ind w:firstLine="567"/>
        <w:rPr>
          <w:rFonts w:ascii="Times New Roman" w:eastAsia="Times New Roman" w:hAnsi="Times New Roman" w:cs="Times New Roman"/>
          <w:sz w:val="24"/>
          <w:szCs w:val="24"/>
        </w:rPr>
      </w:pPr>
      <w:r w:rsidRPr="7E8E7E1E">
        <w:rPr>
          <w:rFonts w:ascii="Times New Roman" w:hAnsi="Times New Roman"/>
          <w:sz w:val="24"/>
          <w:szCs w:val="24"/>
        </w:rPr>
        <w:t xml:space="preserve">With regards to the transference promoted by the training, we find that teachers with more training hours made the most changes, and when asked specifically about the level of transference for specific educational practices, the degree of transference was generally high, with values above 78.8%, except for activities which propose students create and produce digital resources, which had a transference level of 61.3%. These levels of transference to the classroom attest to the teachers’ conviction in the utility of these practices, both for </w:t>
      </w:r>
      <w:r w:rsidRPr="7E8E7E1E">
        <w:rPr>
          <w:rFonts w:ascii="Times New Roman" w:hAnsi="Times New Roman"/>
          <w:sz w:val="24"/>
          <w:szCs w:val="24"/>
        </w:rPr>
        <w:lastRenderedPageBreak/>
        <w:t>improving the digital abilities of students and for improving curriculum skills. In this respect, there are numerous studies regarding the need to invest in training at the same time as making the technological investments required to address educational digitization plans. These studies invite us to learn from the challenges and uncertainties raised by emergency contexts, such as COVID-19 and other similar scenarios (García-Aretio 2021).</w:t>
      </w:r>
    </w:p>
    <w:p w14:paraId="7E5B4432" w14:textId="77777777" w:rsidR="00F856B5" w:rsidRPr="00CE35AA" w:rsidRDefault="009F7ECA" w:rsidP="00AB1102">
      <w:pPr>
        <w:spacing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 xml:space="preserve">With regards to the level of improvement in competence associated with the training received, the results of the self-assessment tool show significant differences in the level of digital competence in teachers who completed over 150 hours of training compared to those who did not participate in the training process, demonstrating the benefits of the program and the pivotal role of teacher training for change and innovation in digital transformation contexts, which in this case resulted from an emergency context, and for strengthening national policies and systems for teacher training. </w:t>
      </w:r>
    </w:p>
    <w:p w14:paraId="0E543DC2" w14:textId="77777777" w:rsidR="00F856B5" w:rsidRPr="00CE35AA" w:rsidRDefault="009F7ECA" w:rsidP="00AB1102">
      <w:pPr>
        <w:spacing w:after="0" w:line="480" w:lineRule="auto"/>
        <w:ind w:firstLine="567"/>
        <w:rPr>
          <w:rStyle w:val="normaltextrun"/>
          <w:rFonts w:ascii="Times New Roman" w:eastAsia="Times New Roman" w:hAnsi="Times New Roman" w:cs="Times New Roman"/>
          <w:sz w:val="24"/>
          <w:szCs w:val="24"/>
        </w:rPr>
      </w:pPr>
      <w:commentRangeStart w:id="19"/>
      <w:r w:rsidRPr="00CE35AA">
        <w:rPr>
          <w:rFonts w:ascii="Times New Roman" w:hAnsi="Times New Roman"/>
          <w:sz w:val="24"/>
          <w:szCs w:val="24"/>
        </w:rPr>
        <w:t xml:space="preserve">A key approach for digital transformation is having </w:t>
      </w:r>
      <w:r w:rsidRPr="00CE35AA">
        <w:rPr>
          <w:rStyle w:val="normaltextrun"/>
          <w:rFonts w:ascii="Times New Roman" w:hAnsi="Times New Roman"/>
          <w:sz w:val="24"/>
          <w:szCs w:val="24"/>
        </w:rPr>
        <w:t>experienced partners to structure plans and providing them with the necessary infrastructure to train students. However, teachers must also be trained to successfully handle the virtualization stage of lessons, and this should be presented not only as an emergency solution, but also as a means of improving skills in the short and medium term, given that such globalizing transformations will involve changes which apply not only in emergency situations, but also to the macro or institutional level, resulting in national and transnational reform of policies (Van Dijck et al., 2018</w:t>
      </w:r>
      <w:commentRangeEnd w:id="19"/>
      <w:r w:rsidR="00186741">
        <w:rPr>
          <w:rStyle w:val="CommentReference"/>
        </w:rPr>
        <w:commentReference w:id="19"/>
      </w:r>
      <w:r w:rsidRPr="00CE35AA">
        <w:rPr>
          <w:rStyle w:val="normaltextrun"/>
          <w:rFonts w:ascii="Times New Roman" w:hAnsi="Times New Roman"/>
          <w:sz w:val="24"/>
          <w:szCs w:val="24"/>
        </w:rPr>
        <w:t>).</w:t>
      </w:r>
    </w:p>
    <w:p w14:paraId="50D1FE3D" w14:textId="77777777" w:rsidR="00F856B5" w:rsidRPr="00CE35AA" w:rsidRDefault="009F7ECA" w:rsidP="00AB1102">
      <w:pPr>
        <w:spacing w:before="120"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In the case analyzed, ProFuturo's intervention in Ecuador brought the necessary experience and infrastructure to address a serious issue that had arisen in the country, which was faced with the weakness of its existing structures for providing training through digital channels on a massive scale in an emergency context, in the same way as other places in the world in this period.</w:t>
      </w:r>
      <w:r w:rsidRPr="00CE35AA">
        <w:rPr>
          <w:rFonts w:ascii="Times New Roman" w:hAnsi="Times New Roman"/>
          <w:color w:val="000000" w:themeColor="text1"/>
          <w:sz w:val="24"/>
          <w:szCs w:val="24"/>
        </w:rPr>
        <w:t xml:space="preserve"> </w:t>
      </w:r>
      <w:r w:rsidRPr="00CE35AA">
        <w:rPr>
          <w:rFonts w:ascii="Times New Roman" w:hAnsi="Times New Roman"/>
          <w:sz w:val="24"/>
          <w:szCs w:val="24"/>
        </w:rPr>
        <w:t xml:space="preserve">Thus, the teacher training proposal incorporated digital training, without </w:t>
      </w:r>
      <w:r w:rsidRPr="00CE35AA">
        <w:rPr>
          <w:rFonts w:ascii="Times New Roman" w:hAnsi="Times New Roman"/>
          <w:sz w:val="24"/>
          <w:szCs w:val="24"/>
        </w:rPr>
        <w:lastRenderedPageBreak/>
        <w:t>disregarding innovation or methodology. The results included in this study suggest that this strategy, in addition to mitigating the risks inherent in the pandemic, served to improve competence and transference to the classroom.</w:t>
      </w:r>
    </w:p>
    <w:p w14:paraId="23133DEF" w14:textId="77777777" w:rsidR="00F856B5" w:rsidRPr="00CE35AA" w:rsidRDefault="009F7ECA" w:rsidP="00AB1102">
      <w:pPr>
        <w:spacing w:after="0" w:line="480" w:lineRule="auto"/>
        <w:ind w:firstLine="567"/>
        <w:rPr>
          <w:rFonts w:ascii="Times New Roman" w:eastAsia="Times New Roman" w:hAnsi="Times New Roman" w:cs="Times New Roman"/>
          <w:sz w:val="24"/>
          <w:szCs w:val="24"/>
        </w:rPr>
      </w:pPr>
      <w:r w:rsidRPr="00CE35AA">
        <w:rPr>
          <w:rStyle w:val="normaltextrun"/>
          <w:rFonts w:ascii="Times New Roman" w:hAnsi="Times New Roman"/>
          <w:sz w:val="24"/>
          <w:szCs w:val="24"/>
        </w:rPr>
        <w:t xml:space="preserve">Therefore, in addition to being aware that the strength of technologies, content, and training systems in a country cannot be improvised, it is also apparent that a good means of addressing this is through collaboration with specialized organizations, not only as a means of responding to the emergent situation, but also to begin the process of institutional learning through collaboration, with the goal of strengthening and training the system, and thereby leaving the country with the necessary capacity and the autonomy to manage this themselves. In an ideal situation, we would learn from this experience and employ pre-crisis planning which leads to the transformation of the educational process </w:t>
      </w:r>
      <w:commentRangeStart w:id="20"/>
      <w:r w:rsidRPr="00CE35AA">
        <w:rPr>
          <w:rStyle w:val="normaltextrun"/>
          <w:rFonts w:ascii="Times New Roman" w:hAnsi="Times New Roman"/>
          <w:sz w:val="24"/>
          <w:szCs w:val="24"/>
        </w:rPr>
        <w:t>(Burns, 2020).</w:t>
      </w:r>
      <w:commentRangeEnd w:id="20"/>
      <w:r w:rsidR="000A3A25">
        <w:rPr>
          <w:rStyle w:val="CommentReference"/>
        </w:rPr>
        <w:commentReference w:id="20"/>
      </w:r>
    </w:p>
    <w:p w14:paraId="343BB026" w14:textId="0CBD6DB1" w:rsidR="00F856B5" w:rsidRPr="00CE35AA" w:rsidRDefault="009534F8" w:rsidP="00AB1102">
      <w:pPr>
        <w:spacing w:before="120" w:line="480" w:lineRule="auto"/>
        <w:ind w:firstLine="567"/>
        <w:rPr>
          <w:rFonts w:ascii="Times New Roman" w:eastAsia="Times New Roman" w:hAnsi="Times New Roman" w:cs="Times New Roman"/>
          <w:sz w:val="24"/>
          <w:szCs w:val="24"/>
        </w:rPr>
      </w:pPr>
      <w:r w:rsidRPr="00CE35AA">
        <w:rPr>
          <w:rFonts w:ascii="Times New Roman" w:hAnsi="Times New Roman"/>
          <w:sz w:val="24"/>
          <w:szCs w:val="24"/>
        </w:rPr>
        <w:t>These processes entail profound structural changes for countries and regions</w:t>
      </w:r>
      <w:r w:rsidR="003B0009" w:rsidRPr="00CE35AA">
        <w:rPr>
          <w:rFonts w:ascii="Times New Roman" w:hAnsi="Times New Roman"/>
          <w:sz w:val="24"/>
          <w:szCs w:val="24"/>
        </w:rPr>
        <w:t>. Such changes</w:t>
      </w:r>
      <w:r w:rsidRPr="00CE35AA">
        <w:rPr>
          <w:rFonts w:ascii="Times New Roman" w:hAnsi="Times New Roman"/>
          <w:sz w:val="24"/>
          <w:szCs w:val="24"/>
        </w:rPr>
        <w:t xml:space="preserve"> are not simple to articulate</w:t>
      </w:r>
      <w:r w:rsidR="003B0009" w:rsidRPr="00CE35AA">
        <w:rPr>
          <w:rFonts w:ascii="Times New Roman" w:hAnsi="Times New Roman"/>
          <w:sz w:val="24"/>
          <w:szCs w:val="24"/>
        </w:rPr>
        <w:t>, since</w:t>
      </w:r>
      <w:r w:rsidRPr="00CE35AA">
        <w:rPr>
          <w:rFonts w:ascii="Times New Roman" w:hAnsi="Times New Roman"/>
          <w:sz w:val="24"/>
          <w:szCs w:val="24"/>
        </w:rPr>
        <w:t xml:space="preserve"> they require the design of complex strategies involving many actors within the system, including ministries of education, public and private institutions, parents, school directors, teachers, and students. In this sense, it is important to remember that unless those responsible for developing educational policies take advantage of the potential benefits of research, development, and innovation, and make the necessary efforts to correctly deploy these projects, the global education gap will continue to grow. </w:t>
      </w:r>
      <w:commentRangeEnd w:id="17"/>
      <w:r w:rsidR="00186741">
        <w:rPr>
          <w:rStyle w:val="CommentReference"/>
        </w:rPr>
        <w:commentReference w:id="17"/>
      </w:r>
      <w:commentRangeEnd w:id="18"/>
      <w:r w:rsidR="000A3A25">
        <w:rPr>
          <w:rStyle w:val="CommentReference"/>
        </w:rPr>
        <w:commentReference w:id="18"/>
      </w:r>
    </w:p>
    <w:p w14:paraId="70E16FBA" w14:textId="77777777" w:rsidR="00F856B5" w:rsidRDefault="00F856B5">
      <w:pPr>
        <w:spacing w:after="0" w:line="240" w:lineRule="auto"/>
        <w:jc w:val="both"/>
        <w:rPr>
          <w:rFonts w:ascii="Times New Roman" w:eastAsia="Times New Roman" w:hAnsi="Times New Roman" w:cs="Times New Roman"/>
          <w:sz w:val="24"/>
          <w:szCs w:val="24"/>
        </w:rPr>
      </w:pPr>
    </w:p>
    <w:p w14:paraId="7CA9B674" w14:textId="77777777" w:rsidR="0030463E" w:rsidRDefault="0030463E">
      <w:pPr>
        <w:spacing w:after="0" w:line="240" w:lineRule="auto"/>
        <w:rPr>
          <w:rFonts w:ascii="Times New Roman" w:hAnsi="Times New Roman"/>
          <w:b/>
          <w:sz w:val="24"/>
        </w:rPr>
      </w:pPr>
      <w:r>
        <w:rPr>
          <w:rFonts w:ascii="Times New Roman" w:hAnsi="Times New Roman"/>
          <w:b/>
          <w:sz w:val="24"/>
        </w:rPr>
        <w:br w:type="page"/>
      </w:r>
    </w:p>
    <w:p w14:paraId="13882F2E" w14:textId="6DF21F5A" w:rsidR="00F856B5" w:rsidRPr="00560F62" w:rsidRDefault="009F7ECA" w:rsidP="00560F62">
      <w:pPr>
        <w:keepLines/>
        <w:spacing w:after="200" w:line="240" w:lineRule="auto"/>
        <w:jc w:val="center"/>
        <w:rPr>
          <w:rFonts w:ascii="Times New Roman" w:eastAsia="Times New Roman" w:hAnsi="Times New Roman" w:cs="Times New Roman"/>
          <w:b/>
          <w:bCs/>
          <w:sz w:val="24"/>
          <w:szCs w:val="24"/>
        </w:rPr>
      </w:pPr>
      <w:r w:rsidRPr="00560F62">
        <w:rPr>
          <w:rFonts w:ascii="Times New Roman" w:hAnsi="Times New Roman"/>
          <w:b/>
          <w:sz w:val="24"/>
        </w:rPr>
        <w:lastRenderedPageBreak/>
        <w:t>References</w:t>
      </w:r>
    </w:p>
    <w:p w14:paraId="6A86ADE2" w14:textId="77777777" w:rsidR="00F856B5" w:rsidRPr="0069131E" w:rsidRDefault="00F856B5" w:rsidP="0069131E">
      <w:pPr>
        <w:spacing w:line="480" w:lineRule="auto"/>
        <w:jc w:val="both"/>
        <w:rPr>
          <w:rFonts w:ascii="Times New Roman" w:eastAsia="Times New Roman" w:hAnsi="Times New Roman" w:cs="Times New Roman"/>
          <w:sz w:val="24"/>
          <w:szCs w:val="24"/>
        </w:rPr>
      </w:pPr>
    </w:p>
    <w:p w14:paraId="4BC99D74" w14:textId="34ECB2F7" w:rsidR="00F856B5" w:rsidRPr="00D75171" w:rsidRDefault="009F7ECA" w:rsidP="009960F2">
      <w:pPr>
        <w:spacing w:line="480" w:lineRule="auto"/>
        <w:ind w:left="567" w:hanging="567"/>
        <w:textAlignment w:val="baseline"/>
        <w:rPr>
          <w:rFonts w:ascii="Times New Roman" w:eastAsia="Times New Roman" w:hAnsi="Times New Roman" w:cs="Times New Roman"/>
          <w:sz w:val="24"/>
          <w:szCs w:val="24"/>
        </w:rPr>
      </w:pPr>
      <w:commentRangeStart w:id="21"/>
      <w:r w:rsidRPr="0069131E">
        <w:rPr>
          <w:rFonts w:ascii="Times New Roman" w:hAnsi="Times New Roman" w:cs="Times New Roman"/>
          <w:sz w:val="24"/>
          <w:szCs w:val="24"/>
        </w:rPr>
        <w:t xml:space="preserve">Brown, M., McCormack, M., Reeves, J. Brooks, C., </w:t>
      </w:r>
      <w:r w:rsidR="005136DB" w:rsidRPr="0069131E">
        <w:rPr>
          <w:rFonts w:ascii="Times New Roman" w:hAnsi="Times New Roman" w:cs="Times New Roman"/>
          <w:sz w:val="24"/>
          <w:szCs w:val="24"/>
        </w:rPr>
        <w:t>&amp;</w:t>
      </w:r>
      <w:r w:rsidRPr="0069131E">
        <w:rPr>
          <w:rFonts w:ascii="Times New Roman" w:hAnsi="Times New Roman" w:cs="Times New Roman"/>
          <w:sz w:val="24"/>
          <w:szCs w:val="24"/>
        </w:rPr>
        <w:t xml:space="preserve"> Grajek, S. (2020). </w:t>
      </w:r>
      <w:r w:rsidRPr="0069131E">
        <w:rPr>
          <w:rFonts w:ascii="Times New Roman" w:hAnsi="Times New Roman" w:cs="Times New Roman"/>
          <w:i/>
          <w:sz w:val="24"/>
          <w:szCs w:val="24"/>
        </w:rPr>
        <w:t>2020 EDUCAUSE Horizon Report, Teaching and Learning Edition</w:t>
      </w:r>
      <w:r w:rsidR="00D75171">
        <w:rPr>
          <w:rFonts w:ascii="Times New Roman" w:hAnsi="Times New Roman" w:cs="Times New Roman"/>
          <w:i/>
          <w:sz w:val="24"/>
          <w:szCs w:val="24"/>
        </w:rPr>
        <w:t xml:space="preserve">. </w:t>
      </w:r>
      <w:r w:rsidRPr="0069131E">
        <w:rPr>
          <w:rFonts w:ascii="Times New Roman" w:hAnsi="Times New Roman" w:cs="Times New Roman"/>
          <w:sz w:val="24"/>
          <w:szCs w:val="24"/>
        </w:rPr>
        <w:t>EDUCAUSE.   </w:t>
      </w:r>
      <w:r w:rsidR="00D75171" w:rsidRPr="00D75171">
        <w:rPr>
          <w:rFonts w:ascii="Times New Roman" w:hAnsi="Times New Roman" w:cs="Times New Roman"/>
          <w:sz w:val="24"/>
          <w:szCs w:val="24"/>
        </w:rPr>
        <w:t>https://eric.ed.gov/?id=ED607329</w:t>
      </w:r>
    </w:p>
    <w:p w14:paraId="10AA49A1" w14:textId="7D782768"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rPr>
        <w:t xml:space="preserve">Burns, M. (2020, April 1). </w:t>
      </w:r>
      <w:r w:rsidRPr="0044247E">
        <w:rPr>
          <w:rFonts w:ascii="Times New Roman" w:hAnsi="Times New Roman" w:cs="Times New Roman"/>
          <w:iCs/>
          <w:sz w:val="24"/>
          <w:szCs w:val="24"/>
        </w:rPr>
        <w:t>School, interrupted: 4 options for distance education to continue teaching during COVID-19</w:t>
      </w:r>
      <w:r w:rsidRPr="0069131E">
        <w:rPr>
          <w:rFonts w:ascii="Times New Roman" w:hAnsi="Times New Roman" w:cs="Times New Roman"/>
          <w:sz w:val="24"/>
          <w:szCs w:val="24"/>
        </w:rPr>
        <w:t xml:space="preserve">. </w:t>
      </w:r>
      <w:r w:rsidRPr="0044247E">
        <w:rPr>
          <w:rFonts w:ascii="Times New Roman" w:hAnsi="Times New Roman" w:cs="Times New Roman"/>
          <w:i/>
          <w:iCs/>
          <w:sz w:val="24"/>
          <w:szCs w:val="24"/>
        </w:rPr>
        <w:t>Global Partnership for Education</w:t>
      </w:r>
      <w:r w:rsidRPr="0069131E">
        <w:rPr>
          <w:rFonts w:ascii="Times New Roman" w:hAnsi="Times New Roman" w:cs="Times New Roman"/>
          <w:sz w:val="24"/>
          <w:szCs w:val="24"/>
        </w:rPr>
        <w:t>. www.globalpartnership.org/blog/school-interrupted-4-options-distance%20education-continue-teaching-during-covid-19</w:t>
      </w:r>
    </w:p>
    <w:p w14:paraId="33C4AA2C" w14:textId="138E0CAE"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lang w:val="en-US"/>
        </w:rPr>
        <w:t xml:space="preserve">Dreesen, T., Akseer, S., Brossard, M., Dewan, P., Giraldo, J. P., Kamei, A., Mizunoya, S., </w:t>
      </w:r>
      <w:r w:rsidR="005136DB" w:rsidRPr="0069131E">
        <w:rPr>
          <w:rFonts w:ascii="Times New Roman" w:hAnsi="Times New Roman" w:cs="Times New Roman"/>
          <w:sz w:val="24"/>
          <w:szCs w:val="24"/>
        </w:rPr>
        <w:t>&amp;</w:t>
      </w:r>
      <w:r w:rsidRPr="0069131E">
        <w:rPr>
          <w:rFonts w:ascii="Times New Roman" w:hAnsi="Times New Roman" w:cs="Times New Roman"/>
          <w:sz w:val="24"/>
          <w:szCs w:val="24"/>
          <w:lang w:val="en-US"/>
        </w:rPr>
        <w:t xml:space="preserve"> Ortiz, S. (2020). </w:t>
      </w:r>
      <w:r w:rsidRPr="0069131E">
        <w:rPr>
          <w:rFonts w:ascii="Times New Roman" w:hAnsi="Times New Roman" w:cs="Times New Roman"/>
          <w:sz w:val="24"/>
          <w:szCs w:val="24"/>
        </w:rPr>
        <w:t xml:space="preserve">Promising practices for equitable remote learning Emerging lessons from COVID-19 education responses in 127 countries. </w:t>
      </w:r>
      <w:r w:rsidRPr="0069131E">
        <w:rPr>
          <w:rFonts w:ascii="Times New Roman" w:hAnsi="Times New Roman" w:cs="Times New Roman"/>
          <w:i/>
          <w:sz w:val="24"/>
          <w:szCs w:val="24"/>
        </w:rPr>
        <w:t>Innocenti Research Brief</w:t>
      </w:r>
      <w:r w:rsidRPr="0069131E">
        <w:rPr>
          <w:rFonts w:ascii="Times New Roman" w:hAnsi="Times New Roman" w:cs="Times New Roman"/>
          <w:sz w:val="24"/>
          <w:szCs w:val="24"/>
        </w:rPr>
        <w:t xml:space="preserve">. UNICEF. </w:t>
      </w:r>
      <w:hyperlink r:id="rId15" w:tgtFrame="_blank">
        <w:r w:rsidRPr="0069131E">
          <w:rPr>
            <w:rFonts w:ascii="Times New Roman" w:hAnsi="Times New Roman" w:cs="Times New Roman"/>
            <w:sz w:val="24"/>
            <w:szCs w:val="24"/>
            <w:u w:val="single"/>
          </w:rPr>
          <w:t>https://cutt.ly/ufffokG</w:t>
        </w:r>
      </w:hyperlink>
      <w:r w:rsidRPr="0069131E">
        <w:rPr>
          <w:rFonts w:ascii="Times New Roman" w:hAnsi="Times New Roman" w:cs="Times New Roman"/>
          <w:sz w:val="24"/>
          <w:szCs w:val="24"/>
        </w:rPr>
        <w:t> </w:t>
      </w:r>
    </w:p>
    <w:p w14:paraId="1AC11927" w14:textId="0620338C"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7151E1D3">
        <w:rPr>
          <w:rFonts w:ascii="Times New Roman" w:hAnsi="Times New Roman" w:cs="Times New Roman"/>
          <w:sz w:val="24"/>
          <w:szCs w:val="24"/>
        </w:rPr>
        <w:t xml:space="preserve">Falode, O. C. (2019). Components and attributes of open and distance learning interactive courseware. In E. J., Ohire (Eds), </w:t>
      </w:r>
      <w:r w:rsidRPr="7151E1D3">
        <w:rPr>
          <w:rFonts w:ascii="Times New Roman" w:hAnsi="Times New Roman" w:cs="Times New Roman"/>
          <w:i/>
          <w:iCs/>
          <w:sz w:val="24"/>
          <w:szCs w:val="24"/>
        </w:rPr>
        <w:t>A Book of Reading in Instructional Pedagogy</w:t>
      </w:r>
      <w:r w:rsidRPr="7151E1D3">
        <w:rPr>
          <w:rFonts w:ascii="Times New Roman" w:hAnsi="Times New Roman" w:cs="Times New Roman"/>
          <w:sz w:val="24"/>
          <w:szCs w:val="24"/>
        </w:rPr>
        <w:t xml:space="preserve"> (37-43). Usmanu Danfodio University Press. </w:t>
      </w:r>
    </w:p>
    <w:p w14:paraId="7CEEA55C" w14:textId="77777777" w:rsidR="00F856B5" w:rsidRPr="005214B5" w:rsidRDefault="009F7ECA" w:rsidP="009960F2">
      <w:pPr>
        <w:spacing w:line="480" w:lineRule="auto"/>
        <w:ind w:left="567" w:hanging="567"/>
        <w:textAlignment w:val="baseline"/>
        <w:rPr>
          <w:rFonts w:ascii="Times New Roman" w:eastAsia="Times New Roman" w:hAnsi="Times New Roman" w:cs="Times New Roman"/>
          <w:sz w:val="24"/>
          <w:szCs w:val="24"/>
        </w:rPr>
      </w:pPr>
      <w:r w:rsidRPr="7151E1D3">
        <w:rPr>
          <w:rFonts w:ascii="Times New Roman" w:hAnsi="Times New Roman" w:cs="Times New Roman"/>
          <w:sz w:val="24"/>
          <w:szCs w:val="24"/>
        </w:rPr>
        <w:t xml:space="preserve">Falode, O. C., &amp; Mohammed, I. A. (2023). Educational Technology Undergraduates’ Performance in a Distance Learning Course Using Three Courseware Formats. </w:t>
      </w:r>
      <w:r w:rsidRPr="7151E1D3">
        <w:rPr>
          <w:rFonts w:ascii="Times New Roman" w:hAnsi="Times New Roman" w:cs="Times New Roman"/>
          <w:i/>
          <w:iCs/>
          <w:sz w:val="24"/>
          <w:szCs w:val="24"/>
        </w:rPr>
        <w:t>The International Review of Research in Open and Distributed Learning</w:t>
      </w:r>
      <w:r w:rsidRPr="7151E1D3">
        <w:rPr>
          <w:rFonts w:ascii="Times New Roman" w:hAnsi="Times New Roman" w:cs="Times New Roman"/>
          <w:sz w:val="24"/>
          <w:szCs w:val="24"/>
        </w:rPr>
        <w:t xml:space="preserve">, </w:t>
      </w:r>
      <w:r w:rsidRPr="7151E1D3">
        <w:rPr>
          <w:rFonts w:ascii="Times New Roman" w:hAnsi="Times New Roman" w:cs="Times New Roman"/>
          <w:i/>
          <w:iCs/>
          <w:sz w:val="24"/>
          <w:szCs w:val="24"/>
        </w:rPr>
        <w:t>24</w:t>
      </w:r>
      <w:r w:rsidRPr="7151E1D3">
        <w:rPr>
          <w:rFonts w:ascii="Times New Roman" w:hAnsi="Times New Roman" w:cs="Times New Roman"/>
          <w:sz w:val="24"/>
          <w:szCs w:val="24"/>
        </w:rPr>
        <w:t xml:space="preserve">(4), 1–19. </w:t>
      </w:r>
      <w:hyperlink r:id="rId16">
        <w:r w:rsidRPr="7151E1D3">
          <w:rPr>
            <w:rStyle w:val="Hyperlink"/>
            <w:rFonts w:ascii="Times New Roman" w:hAnsi="Times New Roman" w:cs="Times New Roman"/>
            <w:sz w:val="24"/>
            <w:szCs w:val="24"/>
          </w:rPr>
          <w:t>https://doi.org/10.19173/irrodl.v24i4.7219 </w:t>
        </w:r>
      </w:hyperlink>
    </w:p>
    <w:p w14:paraId="6A4AC377" w14:textId="346C6130" w:rsidR="00F856B5" w:rsidRPr="002A3B2B" w:rsidRDefault="0044247E" w:rsidP="009960F2">
      <w:pPr>
        <w:spacing w:line="480" w:lineRule="auto"/>
        <w:ind w:left="567" w:hanging="567"/>
        <w:textAlignment w:val="baseline"/>
        <w:rPr>
          <w:rFonts w:ascii="Times New Roman" w:eastAsia="Times New Roman" w:hAnsi="Times New Roman" w:cs="Times New Roman"/>
          <w:sz w:val="24"/>
          <w:szCs w:val="24"/>
          <w:lang w:val="es-ES"/>
        </w:rPr>
      </w:pPr>
      <w:r w:rsidRPr="005214B5">
        <w:rPr>
          <w:rFonts w:ascii="Times New Roman" w:hAnsi="Times New Roman" w:cs="Times New Roman"/>
          <w:sz w:val="24"/>
          <w:szCs w:val="24"/>
        </w:rPr>
        <w:t>García Aretio, L. (2021). COVID-19 and digital distance education: pre-confinement, confinement and post-confinement. </w:t>
      </w:r>
      <w:r w:rsidRPr="005214B5">
        <w:rPr>
          <w:rFonts w:ascii="Times New Roman" w:hAnsi="Times New Roman" w:cs="Times New Roman"/>
          <w:i/>
          <w:iCs/>
          <w:sz w:val="24"/>
          <w:szCs w:val="24"/>
        </w:rPr>
        <w:t xml:space="preserve">RIED. </w:t>
      </w:r>
      <w:r w:rsidRPr="002A3B2B">
        <w:rPr>
          <w:rFonts w:ascii="Times New Roman" w:hAnsi="Times New Roman" w:cs="Times New Roman"/>
          <w:i/>
          <w:iCs/>
          <w:sz w:val="24"/>
          <w:szCs w:val="24"/>
          <w:lang w:val="es-ES"/>
        </w:rPr>
        <w:t>Revista Iberoamericana de Educación a Distancia</w:t>
      </w:r>
      <w:r w:rsidRPr="002A3B2B">
        <w:rPr>
          <w:rFonts w:ascii="Times New Roman" w:hAnsi="Times New Roman" w:cs="Times New Roman"/>
          <w:sz w:val="24"/>
          <w:szCs w:val="24"/>
          <w:lang w:val="es-ES"/>
        </w:rPr>
        <w:t>, </w:t>
      </w:r>
      <w:r w:rsidRPr="002A3B2B">
        <w:rPr>
          <w:rFonts w:ascii="Times New Roman" w:hAnsi="Times New Roman" w:cs="Times New Roman"/>
          <w:i/>
          <w:iCs/>
          <w:sz w:val="24"/>
          <w:szCs w:val="24"/>
          <w:lang w:val="es-ES"/>
        </w:rPr>
        <w:t>24</w:t>
      </w:r>
      <w:r w:rsidRPr="002A3B2B">
        <w:rPr>
          <w:rFonts w:ascii="Times New Roman" w:hAnsi="Times New Roman" w:cs="Times New Roman"/>
          <w:sz w:val="24"/>
          <w:szCs w:val="24"/>
          <w:lang w:val="es-ES"/>
        </w:rPr>
        <w:t>(1), 09–32. https://doi.org/10.5944/ried.24.1.28080 </w:t>
      </w:r>
    </w:p>
    <w:p w14:paraId="51398E9C" w14:textId="44F12270"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2A3B2B">
        <w:rPr>
          <w:rFonts w:ascii="Times New Roman" w:hAnsi="Times New Roman" w:cs="Times New Roman"/>
          <w:sz w:val="24"/>
          <w:szCs w:val="24"/>
          <w:lang w:val="es-ES"/>
        </w:rPr>
        <w:lastRenderedPageBreak/>
        <w:t>González-Sanmamed, M., Estévez, I., Souto-Seijo</w:t>
      </w:r>
      <w:r w:rsidR="005136DB" w:rsidRPr="002A3B2B">
        <w:rPr>
          <w:rFonts w:ascii="Times New Roman" w:hAnsi="Times New Roman" w:cs="Times New Roman"/>
          <w:sz w:val="24"/>
          <w:szCs w:val="24"/>
          <w:lang w:val="es-ES"/>
        </w:rPr>
        <w:t xml:space="preserve"> &amp; </w:t>
      </w:r>
      <w:r w:rsidRPr="002A3B2B">
        <w:rPr>
          <w:rFonts w:ascii="Times New Roman" w:hAnsi="Times New Roman" w:cs="Times New Roman"/>
          <w:sz w:val="24"/>
          <w:szCs w:val="24"/>
          <w:lang w:val="es-ES"/>
        </w:rPr>
        <w:t>A. Muñoz-Carril, P.C. (2020).</w:t>
      </w:r>
      <w:r w:rsidR="0044247E" w:rsidRPr="002A3B2B">
        <w:rPr>
          <w:rFonts w:ascii="Times New Roman" w:hAnsi="Times New Roman" w:cs="Times New Roman"/>
          <w:sz w:val="24"/>
          <w:szCs w:val="24"/>
          <w:lang w:val="es-ES"/>
        </w:rPr>
        <w:t xml:space="preserve"> </w:t>
      </w:r>
      <w:r w:rsidR="0044247E" w:rsidRPr="005214B5">
        <w:rPr>
          <w:rFonts w:ascii="Times New Roman" w:hAnsi="Times New Roman" w:cs="Times New Roman"/>
          <w:sz w:val="24"/>
          <w:szCs w:val="24"/>
        </w:rPr>
        <w:t>D</w:t>
      </w:r>
      <w:r w:rsidRPr="005214B5">
        <w:rPr>
          <w:rFonts w:ascii="Times New Roman" w:hAnsi="Times New Roman" w:cs="Times New Roman"/>
          <w:sz w:val="24"/>
          <w:szCs w:val="24"/>
        </w:rPr>
        <w:t xml:space="preserve">igital learning ecologies and professional development of university professors. </w:t>
      </w:r>
      <w:r w:rsidRPr="005214B5">
        <w:rPr>
          <w:rFonts w:ascii="Times New Roman" w:hAnsi="Times New Roman" w:cs="Times New Roman"/>
          <w:i/>
          <w:iCs/>
          <w:sz w:val="24"/>
          <w:szCs w:val="24"/>
        </w:rPr>
        <w:t>Comunicar</w:t>
      </w:r>
      <w:r w:rsidRPr="005214B5">
        <w:rPr>
          <w:rFonts w:ascii="Times New Roman" w:hAnsi="Times New Roman" w:cs="Times New Roman"/>
          <w:sz w:val="24"/>
          <w:szCs w:val="24"/>
        </w:rPr>
        <w:t xml:space="preserve">, </w:t>
      </w:r>
      <w:r w:rsidRPr="005214B5">
        <w:rPr>
          <w:rFonts w:ascii="Times New Roman" w:hAnsi="Times New Roman" w:cs="Times New Roman"/>
          <w:i/>
          <w:iCs/>
          <w:sz w:val="24"/>
          <w:szCs w:val="24"/>
        </w:rPr>
        <w:t>62</w:t>
      </w:r>
      <w:r w:rsidRPr="005214B5">
        <w:rPr>
          <w:rFonts w:ascii="Times New Roman" w:hAnsi="Times New Roman" w:cs="Times New Roman"/>
          <w:sz w:val="24"/>
          <w:szCs w:val="24"/>
        </w:rPr>
        <w:t xml:space="preserve">, 9-18. </w:t>
      </w:r>
      <w:r w:rsidR="0044247E" w:rsidRPr="005214B5">
        <w:rPr>
          <w:rFonts w:ascii="Times New Roman" w:hAnsi="Times New Roman" w:cs="Times New Roman"/>
          <w:sz w:val="24"/>
          <w:szCs w:val="24"/>
        </w:rPr>
        <w:t>https://doi.org/</w:t>
      </w:r>
      <w:r w:rsidRPr="005214B5">
        <w:rPr>
          <w:rFonts w:ascii="Times New Roman" w:hAnsi="Times New Roman" w:cs="Times New Roman"/>
          <w:sz w:val="24"/>
          <w:szCs w:val="24"/>
        </w:rPr>
        <w:t>10.3916/C62-2020-01</w:t>
      </w:r>
      <w:r w:rsidRPr="0069131E">
        <w:rPr>
          <w:rFonts w:ascii="Times New Roman" w:hAnsi="Times New Roman" w:cs="Times New Roman"/>
          <w:sz w:val="24"/>
          <w:szCs w:val="24"/>
        </w:rPr>
        <w:t>  </w:t>
      </w:r>
    </w:p>
    <w:p w14:paraId="2820E378" w14:textId="51657B72"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rPr>
        <w:t>Grimaldi, E. (2019)</w:t>
      </w:r>
      <w:r w:rsidR="005214B5">
        <w:rPr>
          <w:rFonts w:ascii="Times New Roman" w:hAnsi="Times New Roman" w:cs="Times New Roman"/>
          <w:sz w:val="24"/>
          <w:szCs w:val="24"/>
        </w:rPr>
        <w:t>.</w:t>
      </w:r>
      <w:r w:rsidRPr="0069131E">
        <w:rPr>
          <w:rFonts w:ascii="Times New Roman" w:hAnsi="Times New Roman" w:cs="Times New Roman"/>
          <w:sz w:val="24"/>
          <w:szCs w:val="24"/>
        </w:rPr>
        <w:t xml:space="preserve"> </w:t>
      </w:r>
      <w:r w:rsidRPr="005214B5">
        <w:rPr>
          <w:rFonts w:ascii="Times New Roman" w:hAnsi="Times New Roman" w:cs="Times New Roman"/>
          <w:i/>
          <w:iCs/>
          <w:sz w:val="24"/>
          <w:szCs w:val="24"/>
        </w:rPr>
        <w:t>An Archaeology of Educational Evaluation. Epistemological Spaces and Political Paradoxes</w:t>
      </w:r>
      <w:r w:rsidRPr="0069131E">
        <w:rPr>
          <w:rFonts w:ascii="Times New Roman" w:hAnsi="Times New Roman" w:cs="Times New Roman"/>
          <w:sz w:val="24"/>
          <w:szCs w:val="24"/>
        </w:rPr>
        <w:t>. Routledge. </w:t>
      </w:r>
    </w:p>
    <w:p w14:paraId="10C3428C" w14:textId="77777777"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rPr>
        <w:t xml:space="preserve">Hai-Jew, S. (2020). </w:t>
      </w:r>
      <w:r w:rsidRPr="0069131E">
        <w:rPr>
          <w:rFonts w:ascii="Times New Roman" w:hAnsi="Times New Roman" w:cs="Times New Roman"/>
          <w:i/>
          <w:sz w:val="24"/>
          <w:szCs w:val="24"/>
        </w:rPr>
        <w:t>Online Survey Design and Data Analytics: Emerging Research and Opportunities</w:t>
      </w:r>
      <w:r w:rsidRPr="0069131E">
        <w:rPr>
          <w:rFonts w:ascii="Times New Roman" w:hAnsi="Times New Roman" w:cs="Times New Roman"/>
          <w:sz w:val="24"/>
          <w:szCs w:val="24"/>
        </w:rPr>
        <w:t>. IGI Global. </w:t>
      </w:r>
    </w:p>
    <w:p w14:paraId="2DDCA112" w14:textId="7D7AE350" w:rsidR="00F856B5" w:rsidRPr="0069131E" w:rsidRDefault="00A42376" w:rsidP="009960F2">
      <w:pPr>
        <w:spacing w:line="480" w:lineRule="auto"/>
        <w:ind w:left="567" w:hanging="567"/>
        <w:textAlignment w:val="baseline"/>
        <w:rPr>
          <w:rFonts w:ascii="Times New Roman" w:eastAsia="Times New Roman" w:hAnsi="Times New Roman" w:cs="Times New Roman"/>
          <w:b/>
          <w:bCs/>
          <w:sz w:val="24"/>
          <w:szCs w:val="24"/>
        </w:rPr>
      </w:pPr>
      <w:r w:rsidRPr="0069131E">
        <w:rPr>
          <w:rFonts w:ascii="Times New Roman" w:hAnsi="Times New Roman" w:cs="Times New Roman"/>
          <w:sz w:val="24"/>
          <w:szCs w:val="24"/>
          <w:lang w:val="en-US"/>
        </w:rPr>
        <w:t xml:space="preserve">Author., (2019). </w:t>
      </w:r>
      <w:r w:rsidRPr="0069131E">
        <w:rPr>
          <w:rFonts w:ascii="Times New Roman" w:hAnsi="Times New Roman" w:cs="Times New Roman"/>
          <w:sz w:val="24"/>
          <w:szCs w:val="24"/>
          <w:shd w:val="clear" w:color="auto" w:fill="FFFFFF"/>
        </w:rPr>
        <w:t>Deleted for Peer Review</w:t>
      </w:r>
    </w:p>
    <w:p w14:paraId="041BE976" w14:textId="4AE73475"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5214B5">
        <w:rPr>
          <w:rFonts w:ascii="Times New Roman" w:hAnsi="Times New Roman" w:cs="Times New Roman"/>
          <w:sz w:val="24"/>
          <w:szCs w:val="24"/>
        </w:rPr>
        <w:t xml:space="preserve">Hodges, C., Moore, S., Lockee, B., Trust, T., </w:t>
      </w:r>
      <w:r w:rsidR="005136DB" w:rsidRPr="005214B5">
        <w:rPr>
          <w:rFonts w:ascii="Times New Roman" w:hAnsi="Times New Roman" w:cs="Times New Roman"/>
          <w:sz w:val="24"/>
          <w:szCs w:val="24"/>
        </w:rPr>
        <w:t>&amp;</w:t>
      </w:r>
      <w:r w:rsidRPr="005214B5">
        <w:rPr>
          <w:rFonts w:ascii="Times New Roman" w:hAnsi="Times New Roman" w:cs="Times New Roman"/>
          <w:sz w:val="24"/>
          <w:szCs w:val="24"/>
        </w:rPr>
        <w:t xml:space="preserve"> Bond, A. (2020). </w:t>
      </w:r>
      <w:r w:rsidR="005214B5" w:rsidRPr="002A3B2B">
        <w:rPr>
          <w:rFonts w:ascii="Times New Roman" w:hAnsi="Times New Roman" w:cs="Times New Roman"/>
          <w:sz w:val="24"/>
          <w:szCs w:val="24"/>
          <w:lang w:val="en-US"/>
        </w:rPr>
        <w:t>The Difference Between Emergency Remote Teaching and Online Learning</w:t>
      </w:r>
      <w:r w:rsidRPr="002A3B2B">
        <w:rPr>
          <w:rFonts w:ascii="Times New Roman" w:hAnsi="Times New Roman" w:cs="Times New Roman"/>
          <w:sz w:val="24"/>
          <w:szCs w:val="24"/>
          <w:lang w:val="en-US"/>
        </w:rPr>
        <w:t xml:space="preserve">. </w:t>
      </w:r>
      <w:r w:rsidRPr="005214B5">
        <w:rPr>
          <w:rFonts w:ascii="Times New Roman" w:hAnsi="Times New Roman" w:cs="Times New Roman"/>
          <w:i/>
          <w:sz w:val="24"/>
          <w:szCs w:val="24"/>
        </w:rPr>
        <w:t>Educause Review</w:t>
      </w:r>
      <w:r w:rsidRPr="005214B5">
        <w:rPr>
          <w:rFonts w:ascii="Times New Roman" w:hAnsi="Times New Roman" w:cs="Times New Roman"/>
          <w:sz w:val="24"/>
          <w:szCs w:val="24"/>
        </w:rPr>
        <w:t xml:space="preserve">. </w:t>
      </w:r>
      <w:hyperlink r:id="rId17" w:tgtFrame="_blank">
        <w:r w:rsidRPr="005214B5">
          <w:rPr>
            <w:rFonts w:ascii="Times New Roman" w:hAnsi="Times New Roman" w:cs="Times New Roman"/>
            <w:sz w:val="24"/>
            <w:szCs w:val="24"/>
            <w:u w:val="single"/>
          </w:rPr>
          <w:t>https://er.educause.edu/articles/2020/3/the-difference-between-emergency-remote-teaching-and-online-learning</w:t>
        </w:r>
      </w:hyperlink>
      <w:r w:rsidRPr="0069131E">
        <w:rPr>
          <w:rFonts w:ascii="Times New Roman" w:hAnsi="Times New Roman" w:cs="Times New Roman"/>
          <w:sz w:val="24"/>
          <w:szCs w:val="24"/>
        </w:rPr>
        <w:t> </w:t>
      </w:r>
    </w:p>
    <w:p w14:paraId="3DD81701" w14:textId="611596BD"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lang w:val="fr-BE"/>
        </w:rPr>
        <w:t xml:space="preserve">Maile Cutri, R., </w:t>
      </w:r>
      <w:r w:rsidR="005136DB" w:rsidRPr="0069131E">
        <w:rPr>
          <w:rFonts w:ascii="Times New Roman" w:hAnsi="Times New Roman" w:cs="Times New Roman"/>
          <w:sz w:val="24"/>
          <w:szCs w:val="24"/>
          <w:lang w:val="fr-BE"/>
        </w:rPr>
        <w:t>&amp;</w:t>
      </w:r>
      <w:r w:rsidRPr="0069131E">
        <w:rPr>
          <w:rFonts w:ascii="Times New Roman" w:hAnsi="Times New Roman" w:cs="Times New Roman"/>
          <w:sz w:val="24"/>
          <w:szCs w:val="24"/>
          <w:lang w:val="fr-BE"/>
        </w:rPr>
        <w:t xml:space="preserve"> Mena, J. (2020). </w:t>
      </w:r>
      <w:r w:rsidRPr="0069131E">
        <w:rPr>
          <w:rFonts w:ascii="Times New Roman" w:hAnsi="Times New Roman" w:cs="Times New Roman"/>
          <w:sz w:val="24"/>
          <w:szCs w:val="24"/>
        </w:rPr>
        <w:t xml:space="preserve">A critical reconceptualization of faculty readiness for online teaching. </w:t>
      </w:r>
      <w:r w:rsidRPr="0069131E">
        <w:rPr>
          <w:rFonts w:ascii="Times New Roman" w:hAnsi="Times New Roman" w:cs="Times New Roman"/>
          <w:i/>
          <w:sz w:val="24"/>
          <w:szCs w:val="24"/>
        </w:rPr>
        <w:t>Distance Education, 41</w:t>
      </w:r>
      <w:r w:rsidRPr="0069131E">
        <w:rPr>
          <w:rFonts w:ascii="Times New Roman" w:hAnsi="Times New Roman" w:cs="Times New Roman"/>
          <w:sz w:val="24"/>
          <w:szCs w:val="24"/>
        </w:rPr>
        <w:t xml:space="preserve">(3), 361-380. </w:t>
      </w:r>
      <w:hyperlink r:id="rId18" w:tgtFrame="_blank">
        <w:r w:rsidRPr="0069131E">
          <w:rPr>
            <w:rFonts w:ascii="Times New Roman" w:hAnsi="Times New Roman" w:cs="Times New Roman"/>
            <w:sz w:val="24"/>
            <w:szCs w:val="24"/>
            <w:u w:val="single"/>
          </w:rPr>
          <w:t>https://doi.org/10.1080/01587919.2020.1763167</w:t>
        </w:r>
      </w:hyperlink>
      <w:r w:rsidRPr="0069131E">
        <w:rPr>
          <w:rFonts w:ascii="Times New Roman" w:hAnsi="Times New Roman" w:cs="Times New Roman"/>
          <w:sz w:val="24"/>
          <w:szCs w:val="24"/>
        </w:rPr>
        <w:t> </w:t>
      </w:r>
    </w:p>
    <w:p w14:paraId="25F7519D" w14:textId="230CCA6A"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rPr>
        <w:t xml:space="preserve">Martin, F., Kumar, S., </w:t>
      </w:r>
      <w:r w:rsidR="005136DB" w:rsidRPr="0069131E">
        <w:rPr>
          <w:rFonts w:ascii="Times New Roman" w:hAnsi="Times New Roman" w:cs="Times New Roman"/>
          <w:sz w:val="24"/>
          <w:szCs w:val="24"/>
        </w:rPr>
        <w:t>&amp;</w:t>
      </w:r>
      <w:r w:rsidRPr="0069131E">
        <w:rPr>
          <w:rFonts w:ascii="Times New Roman" w:hAnsi="Times New Roman" w:cs="Times New Roman"/>
          <w:sz w:val="24"/>
          <w:szCs w:val="24"/>
        </w:rPr>
        <w:t xml:space="preserve"> She, L. (2021). Examining higher education instructor perceptions of roles and competencies in online teaching. </w:t>
      </w:r>
      <w:r w:rsidRPr="00B7736C">
        <w:rPr>
          <w:rFonts w:ascii="Times New Roman" w:hAnsi="Times New Roman" w:cs="Times New Roman"/>
          <w:i/>
          <w:iCs/>
          <w:sz w:val="24"/>
          <w:szCs w:val="24"/>
        </w:rPr>
        <w:t>Online Learning</w:t>
      </w:r>
      <w:r w:rsidRPr="0069131E">
        <w:rPr>
          <w:rFonts w:ascii="Times New Roman" w:hAnsi="Times New Roman" w:cs="Times New Roman"/>
          <w:sz w:val="24"/>
          <w:szCs w:val="24"/>
        </w:rPr>
        <w:t xml:space="preserve">, </w:t>
      </w:r>
      <w:r w:rsidRPr="00B7736C">
        <w:rPr>
          <w:rFonts w:ascii="Times New Roman" w:hAnsi="Times New Roman" w:cs="Times New Roman"/>
          <w:i/>
          <w:iCs/>
          <w:sz w:val="24"/>
          <w:szCs w:val="24"/>
        </w:rPr>
        <w:t>25</w:t>
      </w:r>
      <w:r w:rsidRPr="00562024">
        <w:rPr>
          <w:rFonts w:ascii="Times New Roman" w:hAnsi="Times New Roman" w:cs="Times New Roman"/>
          <w:sz w:val="24"/>
          <w:szCs w:val="24"/>
        </w:rPr>
        <w:t>(4),</w:t>
      </w:r>
      <w:r w:rsidRPr="0069131E">
        <w:rPr>
          <w:rFonts w:ascii="Times New Roman" w:hAnsi="Times New Roman" w:cs="Times New Roman"/>
          <w:sz w:val="24"/>
          <w:szCs w:val="24"/>
        </w:rPr>
        <w:t xml:space="preserve"> 187-215. </w:t>
      </w:r>
      <w:hyperlink r:id="rId19" w:tgtFrame="_blank">
        <w:r w:rsidRPr="0069131E">
          <w:rPr>
            <w:rFonts w:ascii="Times New Roman" w:hAnsi="Times New Roman" w:cs="Times New Roman"/>
            <w:sz w:val="24"/>
            <w:szCs w:val="24"/>
          </w:rPr>
          <w:t>https://doi.org/10.24059/olj.v25i4.2570</w:t>
        </w:r>
      </w:hyperlink>
      <w:r w:rsidRPr="0069131E">
        <w:rPr>
          <w:rFonts w:ascii="Times New Roman" w:hAnsi="Times New Roman" w:cs="Times New Roman"/>
          <w:sz w:val="24"/>
          <w:szCs w:val="24"/>
        </w:rPr>
        <w:t> </w:t>
      </w:r>
    </w:p>
    <w:p w14:paraId="1C02BC1E" w14:textId="73C69DD3" w:rsidR="00F856B5" w:rsidRPr="0069131E" w:rsidRDefault="001C0CC9" w:rsidP="009960F2">
      <w:pPr>
        <w:spacing w:line="480" w:lineRule="auto"/>
        <w:ind w:left="567" w:hanging="567"/>
        <w:textAlignment w:val="baseline"/>
        <w:rPr>
          <w:rFonts w:ascii="Times New Roman" w:eastAsia="Times New Roman" w:hAnsi="Times New Roman" w:cs="Times New Roman"/>
          <w:sz w:val="24"/>
          <w:szCs w:val="24"/>
        </w:rPr>
      </w:pPr>
      <w:r>
        <w:rPr>
          <w:rFonts w:ascii="Times New Roman" w:hAnsi="Times New Roman" w:cs="Times New Roman"/>
          <w:sz w:val="24"/>
          <w:szCs w:val="24"/>
          <w:lang w:val="en-US"/>
        </w:rPr>
        <w:t>Deleted for Peer Review</w:t>
      </w:r>
      <w:r w:rsidR="009F7ECA" w:rsidRPr="0069131E">
        <w:rPr>
          <w:rFonts w:ascii="Times New Roman" w:hAnsi="Times New Roman" w:cs="Times New Roman"/>
          <w:sz w:val="24"/>
          <w:szCs w:val="24"/>
        </w:rPr>
        <w:t> </w:t>
      </w:r>
    </w:p>
    <w:p w14:paraId="2FF79AB3" w14:textId="6E3D93B0"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7151E1D3">
        <w:rPr>
          <w:rFonts w:ascii="Times New Roman" w:hAnsi="Times New Roman" w:cs="Times New Roman"/>
          <w:sz w:val="24"/>
          <w:szCs w:val="24"/>
        </w:rPr>
        <w:t xml:space="preserve">Pelletier, K., Brown, M., Brooks, C., McCormack, M., Reeves, J., </w:t>
      </w:r>
      <w:r w:rsidR="005136DB" w:rsidRPr="7151E1D3">
        <w:rPr>
          <w:rFonts w:ascii="Times New Roman" w:hAnsi="Times New Roman" w:cs="Times New Roman"/>
          <w:sz w:val="24"/>
          <w:szCs w:val="24"/>
        </w:rPr>
        <w:t>&amp;</w:t>
      </w:r>
      <w:r w:rsidRPr="7151E1D3">
        <w:rPr>
          <w:rFonts w:ascii="Times New Roman" w:hAnsi="Times New Roman" w:cs="Times New Roman"/>
          <w:sz w:val="24"/>
          <w:szCs w:val="24"/>
        </w:rPr>
        <w:t xml:space="preserve"> Arbino, N. (2021). </w:t>
      </w:r>
      <w:r w:rsidRPr="7151E1D3">
        <w:rPr>
          <w:rFonts w:ascii="Times New Roman" w:hAnsi="Times New Roman" w:cs="Times New Roman"/>
          <w:i/>
          <w:iCs/>
          <w:sz w:val="24"/>
          <w:szCs w:val="24"/>
        </w:rPr>
        <w:t>EDUCAUSE Horizon Report, Teaching and Learning Edition</w:t>
      </w:r>
      <w:r w:rsidR="00B7736C" w:rsidRPr="7151E1D3">
        <w:rPr>
          <w:rFonts w:ascii="Times New Roman" w:hAnsi="Times New Roman" w:cs="Times New Roman"/>
          <w:i/>
          <w:iCs/>
          <w:sz w:val="24"/>
          <w:szCs w:val="24"/>
        </w:rPr>
        <w:t>.</w:t>
      </w:r>
      <w:r w:rsidRPr="7151E1D3">
        <w:rPr>
          <w:rFonts w:ascii="Times New Roman" w:hAnsi="Times New Roman" w:cs="Times New Roman"/>
          <w:sz w:val="24"/>
          <w:szCs w:val="24"/>
        </w:rPr>
        <w:t xml:space="preserve"> EDUCAUSE</w:t>
      </w:r>
      <w:r w:rsidR="7A347991" w:rsidRPr="7151E1D3">
        <w:rPr>
          <w:rFonts w:ascii="Times New Roman" w:hAnsi="Times New Roman" w:cs="Times New Roman"/>
          <w:sz w:val="24"/>
          <w:szCs w:val="24"/>
        </w:rPr>
        <w:t>. https://library.educause.edu/-/media/files/library/2021/4/2021hrteachinglearning.pdf</w:t>
      </w:r>
    </w:p>
    <w:p w14:paraId="48F689A9" w14:textId="020E8173"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7151E1D3">
        <w:rPr>
          <w:rFonts w:ascii="Times New Roman" w:hAnsi="Times New Roman" w:cs="Times New Roman"/>
          <w:sz w:val="24"/>
          <w:szCs w:val="24"/>
          <w:lang w:val="en-US"/>
        </w:rPr>
        <w:lastRenderedPageBreak/>
        <w:t xml:space="preserve">Pelletier, K., McCormack, M., Reeves, J., Robert, J., </w:t>
      </w:r>
      <w:r w:rsidR="005136DB" w:rsidRPr="7151E1D3">
        <w:rPr>
          <w:rFonts w:ascii="Times New Roman" w:hAnsi="Times New Roman" w:cs="Times New Roman"/>
          <w:sz w:val="24"/>
          <w:szCs w:val="24"/>
        </w:rPr>
        <w:t>&amp;</w:t>
      </w:r>
      <w:r w:rsidRPr="7151E1D3">
        <w:rPr>
          <w:rFonts w:ascii="Times New Roman" w:hAnsi="Times New Roman" w:cs="Times New Roman"/>
          <w:sz w:val="24"/>
          <w:szCs w:val="24"/>
          <w:lang w:val="en-US"/>
        </w:rPr>
        <w:t xml:space="preserve"> Arbino, N. (2022). </w:t>
      </w:r>
      <w:r w:rsidRPr="7151E1D3">
        <w:rPr>
          <w:rFonts w:ascii="Times New Roman" w:hAnsi="Times New Roman" w:cs="Times New Roman"/>
          <w:i/>
          <w:iCs/>
          <w:sz w:val="24"/>
          <w:szCs w:val="24"/>
        </w:rPr>
        <w:t>EDUCAUSE Horizon Report, Teaching and Learning Edition</w:t>
      </w:r>
      <w:r w:rsidR="00B7736C" w:rsidRPr="7151E1D3">
        <w:rPr>
          <w:rFonts w:ascii="Times New Roman" w:hAnsi="Times New Roman" w:cs="Times New Roman"/>
          <w:sz w:val="24"/>
          <w:szCs w:val="24"/>
        </w:rPr>
        <w:t>.</w:t>
      </w:r>
      <w:r w:rsidR="00B7736C" w:rsidRPr="7151E1D3">
        <w:rPr>
          <w:rFonts w:ascii="Times New Roman" w:hAnsi="Times New Roman" w:cs="Times New Roman"/>
          <w:i/>
          <w:iCs/>
          <w:sz w:val="24"/>
          <w:szCs w:val="24"/>
        </w:rPr>
        <w:t xml:space="preserve"> </w:t>
      </w:r>
      <w:r w:rsidRPr="7151E1D3">
        <w:rPr>
          <w:rFonts w:ascii="Times New Roman" w:hAnsi="Times New Roman" w:cs="Times New Roman"/>
          <w:i/>
          <w:iCs/>
          <w:sz w:val="24"/>
          <w:szCs w:val="24"/>
        </w:rPr>
        <w:t xml:space="preserve"> </w:t>
      </w:r>
      <w:r w:rsidR="00B7736C" w:rsidRPr="7151E1D3">
        <w:rPr>
          <w:rFonts w:ascii="Times New Roman" w:hAnsi="Times New Roman" w:cs="Times New Roman"/>
          <w:sz w:val="24"/>
          <w:szCs w:val="24"/>
        </w:rPr>
        <w:t>EDUCAUSE</w:t>
      </w:r>
      <w:r w:rsidR="35AD301E" w:rsidRPr="7151E1D3">
        <w:rPr>
          <w:rFonts w:ascii="Times New Roman" w:hAnsi="Times New Roman" w:cs="Times New Roman"/>
          <w:sz w:val="24"/>
          <w:szCs w:val="24"/>
        </w:rPr>
        <w:t>. https://www.learntechlib.org/p/221033</w:t>
      </w:r>
    </w:p>
    <w:p w14:paraId="350C00EC" w14:textId="7B166460"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rPr>
        <w:t xml:space="preserve">Prieto, L. P., Sharma, K., Kidzinski, Ł., </w:t>
      </w:r>
      <w:r w:rsidR="005136DB" w:rsidRPr="0069131E">
        <w:rPr>
          <w:rFonts w:ascii="Times New Roman" w:hAnsi="Times New Roman" w:cs="Times New Roman"/>
          <w:sz w:val="24"/>
          <w:szCs w:val="24"/>
        </w:rPr>
        <w:t>&amp;</w:t>
      </w:r>
      <w:r w:rsidRPr="0069131E">
        <w:rPr>
          <w:rFonts w:ascii="Times New Roman" w:hAnsi="Times New Roman" w:cs="Times New Roman"/>
          <w:sz w:val="24"/>
          <w:szCs w:val="24"/>
        </w:rPr>
        <w:t xml:space="preserve"> Dillenbourg, P. (2018). Orchestration load indicators and patterns: In-the-wild studies using mobile eye-tracking. </w:t>
      </w:r>
      <w:r w:rsidRPr="0069131E">
        <w:rPr>
          <w:rFonts w:ascii="Times New Roman" w:hAnsi="Times New Roman" w:cs="Times New Roman"/>
          <w:i/>
          <w:sz w:val="24"/>
          <w:szCs w:val="24"/>
        </w:rPr>
        <w:t>IEEE Transactions on Learning Technologies</w:t>
      </w:r>
      <w:r w:rsidRPr="0069131E">
        <w:rPr>
          <w:rFonts w:ascii="Times New Roman" w:hAnsi="Times New Roman" w:cs="Times New Roman"/>
          <w:sz w:val="24"/>
          <w:szCs w:val="24"/>
        </w:rPr>
        <w:t xml:space="preserve">, </w:t>
      </w:r>
      <w:r w:rsidRPr="0069131E">
        <w:rPr>
          <w:rFonts w:ascii="Times New Roman" w:hAnsi="Times New Roman" w:cs="Times New Roman"/>
          <w:i/>
          <w:sz w:val="24"/>
          <w:szCs w:val="24"/>
        </w:rPr>
        <w:t>11</w:t>
      </w:r>
      <w:r w:rsidRPr="0069131E">
        <w:rPr>
          <w:rFonts w:ascii="Times New Roman" w:hAnsi="Times New Roman" w:cs="Times New Roman"/>
          <w:sz w:val="24"/>
          <w:szCs w:val="24"/>
        </w:rPr>
        <w:t xml:space="preserve">(2), 216–229. </w:t>
      </w:r>
      <w:hyperlink r:id="rId20" w:tgtFrame="_blank">
        <w:r w:rsidRPr="0069131E">
          <w:rPr>
            <w:rFonts w:ascii="Times New Roman" w:hAnsi="Times New Roman" w:cs="Times New Roman"/>
            <w:sz w:val="24"/>
            <w:szCs w:val="24"/>
          </w:rPr>
          <w:t>https://doi.org/10.1109/TLT.2017.2690687</w:t>
        </w:r>
      </w:hyperlink>
      <w:r w:rsidRPr="0069131E">
        <w:rPr>
          <w:rFonts w:ascii="Times New Roman" w:hAnsi="Times New Roman" w:cs="Times New Roman"/>
          <w:sz w:val="24"/>
          <w:szCs w:val="24"/>
        </w:rPr>
        <w:t>    </w:t>
      </w:r>
    </w:p>
    <w:p w14:paraId="6B5C797D" w14:textId="1863C898" w:rsidR="001D3FBD" w:rsidRPr="001D3FBD" w:rsidRDefault="001D3FBD" w:rsidP="009960F2">
      <w:pPr>
        <w:spacing w:line="480" w:lineRule="auto"/>
        <w:ind w:left="567" w:hanging="567"/>
        <w:textAlignment w:val="baseline"/>
        <w:rPr>
          <w:rFonts w:ascii="Times New Roman" w:eastAsia="Times New Roman" w:hAnsi="Times New Roman" w:cs="Times New Roman"/>
          <w:sz w:val="24"/>
          <w:szCs w:val="24"/>
          <w:lang w:val="en-US"/>
        </w:rPr>
      </w:pPr>
      <w:r w:rsidRPr="001D3FBD">
        <w:rPr>
          <w:rFonts w:ascii="Times New Roman" w:eastAsia="Times New Roman" w:hAnsi="Times New Roman" w:cs="Times New Roman"/>
          <w:sz w:val="24"/>
          <w:szCs w:val="24"/>
        </w:rPr>
        <w:t xml:space="preserve">Redecker, C. </w:t>
      </w:r>
      <w:bookmarkStart w:id="22" w:name="_Hlk160189303"/>
      <w:r>
        <w:rPr>
          <w:rFonts w:ascii="Times New Roman" w:eastAsia="Times New Roman" w:hAnsi="Times New Roman" w:cs="Times New Roman"/>
          <w:sz w:val="24"/>
          <w:szCs w:val="24"/>
        </w:rPr>
        <w:t xml:space="preserve">(2017). </w:t>
      </w:r>
      <w:r w:rsidRPr="001D3FBD">
        <w:rPr>
          <w:rFonts w:ascii="Times New Roman" w:eastAsia="Times New Roman" w:hAnsi="Times New Roman" w:cs="Times New Roman"/>
          <w:i/>
          <w:iCs/>
          <w:sz w:val="24"/>
          <w:szCs w:val="24"/>
        </w:rPr>
        <w:t>European Framework for the Digital Competence of Educators: DigCompEdu</w:t>
      </w:r>
      <w:bookmarkEnd w:id="22"/>
      <w:r>
        <w:rPr>
          <w:rFonts w:ascii="Times New Roman" w:eastAsia="Times New Roman" w:hAnsi="Times New Roman" w:cs="Times New Roman"/>
          <w:sz w:val="24"/>
          <w:szCs w:val="24"/>
        </w:rPr>
        <w:t xml:space="preserve">. </w:t>
      </w:r>
      <w:r w:rsidRPr="001D3FBD">
        <w:rPr>
          <w:rFonts w:ascii="Times New Roman" w:eastAsia="Times New Roman" w:hAnsi="Times New Roman" w:cs="Times New Roman"/>
          <w:sz w:val="24"/>
          <w:szCs w:val="24"/>
        </w:rPr>
        <w:t>Publications Office of the European Union</w:t>
      </w:r>
      <w:r>
        <w:rPr>
          <w:rFonts w:ascii="Times New Roman" w:eastAsia="Times New Roman" w:hAnsi="Times New Roman" w:cs="Times New Roman"/>
          <w:sz w:val="24"/>
          <w:szCs w:val="24"/>
        </w:rPr>
        <w:t xml:space="preserve">. </w:t>
      </w:r>
      <w:r w:rsidRPr="001D3FBD">
        <w:rPr>
          <w:rFonts w:ascii="Times New Roman" w:eastAsia="Times New Roman" w:hAnsi="Times New Roman" w:cs="Times New Roman"/>
          <w:sz w:val="24"/>
          <w:szCs w:val="24"/>
        </w:rPr>
        <w:t>https://doi.org 10.2760/178382</w:t>
      </w:r>
    </w:p>
    <w:p w14:paraId="22B91C8E" w14:textId="7552E5ED"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lang w:val="es-ES"/>
        </w:rPr>
      </w:pPr>
      <w:r w:rsidRPr="002A3B2B">
        <w:rPr>
          <w:rFonts w:ascii="Times New Roman" w:hAnsi="Times New Roman" w:cs="Times New Roman"/>
          <w:sz w:val="24"/>
          <w:szCs w:val="24"/>
          <w:lang w:val="en-US"/>
        </w:rPr>
        <w:t xml:space="preserve">Sangrà, A., Guitert-Catasús, M., y Behar, P. A. (2023). </w:t>
      </w:r>
      <w:r w:rsidR="00562024" w:rsidRPr="00562024">
        <w:rPr>
          <w:rFonts w:ascii="Times New Roman" w:hAnsi="Times New Roman" w:cs="Times New Roman"/>
          <w:sz w:val="24"/>
          <w:szCs w:val="24"/>
          <w:lang w:val="en-US"/>
        </w:rPr>
        <w:t>Innovative Teaching Strategies and Competences for Digital Education</w:t>
      </w:r>
      <w:r w:rsidRPr="00562024">
        <w:rPr>
          <w:rFonts w:ascii="Times New Roman" w:hAnsi="Times New Roman" w:cs="Times New Roman"/>
          <w:sz w:val="24"/>
          <w:szCs w:val="24"/>
          <w:lang w:val="en-US"/>
        </w:rPr>
        <w:t xml:space="preserve">. </w:t>
      </w:r>
      <w:r w:rsidRPr="0069131E">
        <w:rPr>
          <w:rFonts w:ascii="Times New Roman" w:hAnsi="Times New Roman" w:cs="Times New Roman"/>
          <w:i/>
          <w:sz w:val="24"/>
          <w:szCs w:val="24"/>
          <w:lang w:val="es-ES"/>
        </w:rPr>
        <w:t>RIED-Revista Iberoamericana de Educación a Distancia, 26</w:t>
      </w:r>
      <w:r w:rsidRPr="0069131E">
        <w:rPr>
          <w:rFonts w:ascii="Times New Roman" w:hAnsi="Times New Roman" w:cs="Times New Roman"/>
          <w:sz w:val="24"/>
          <w:szCs w:val="24"/>
          <w:lang w:val="es-ES"/>
        </w:rPr>
        <w:t xml:space="preserve">(1), 9-16. </w:t>
      </w:r>
      <w:hyperlink r:id="rId21" w:tgtFrame="_blank">
        <w:r w:rsidRPr="0069131E">
          <w:rPr>
            <w:rFonts w:ascii="Times New Roman" w:hAnsi="Times New Roman" w:cs="Times New Roman"/>
            <w:sz w:val="24"/>
            <w:szCs w:val="24"/>
            <w:u w:val="single"/>
            <w:lang w:val="es-ES"/>
          </w:rPr>
          <w:t>https://doi.org/10.5944/ried.26.1.36081</w:t>
        </w:r>
      </w:hyperlink>
      <w:r w:rsidRPr="0069131E">
        <w:rPr>
          <w:rFonts w:ascii="Times New Roman" w:hAnsi="Times New Roman" w:cs="Times New Roman"/>
          <w:sz w:val="24"/>
          <w:szCs w:val="24"/>
          <w:lang w:val="es-ES"/>
        </w:rPr>
        <w:t> </w:t>
      </w:r>
    </w:p>
    <w:p w14:paraId="54FA5BEE" w14:textId="77777777" w:rsidR="00562024" w:rsidRPr="0069131E" w:rsidRDefault="00562024" w:rsidP="009960F2">
      <w:pPr>
        <w:spacing w:line="480" w:lineRule="auto"/>
        <w:ind w:left="567" w:hanging="567"/>
        <w:textAlignment w:val="baseline"/>
        <w:rPr>
          <w:rFonts w:ascii="Times New Roman" w:eastAsia="Times New Roman" w:hAnsi="Times New Roman" w:cs="Times New Roman"/>
          <w:sz w:val="24"/>
          <w:szCs w:val="24"/>
        </w:rPr>
      </w:pPr>
      <w:r w:rsidRPr="00562024">
        <w:rPr>
          <w:rFonts w:ascii="Times New Roman" w:hAnsi="Times New Roman" w:cs="Times New Roman"/>
          <w:sz w:val="24"/>
          <w:szCs w:val="24"/>
          <w:lang w:val="es-ES"/>
        </w:rPr>
        <w:t xml:space="preserve">Scarlat, C., Stănciulescu G.D. &amp; Panduru D.A. (2022). </w:t>
      </w:r>
      <w:r w:rsidRPr="00D75171">
        <w:rPr>
          <w:rFonts w:ascii="Times New Roman" w:hAnsi="Times New Roman" w:cs="Times New Roman"/>
          <w:i/>
          <w:iCs/>
          <w:sz w:val="24"/>
          <w:szCs w:val="24"/>
        </w:rPr>
        <w:t>COVID-19 Pandemic as Accelerator: Opportunity for Digital Acceleration</w:t>
      </w:r>
      <w:r>
        <w:rPr>
          <w:rFonts w:ascii="Times New Roman" w:hAnsi="Times New Roman" w:cs="Times New Roman"/>
          <w:sz w:val="24"/>
          <w:szCs w:val="24"/>
        </w:rPr>
        <w:t>.</w:t>
      </w:r>
      <w:r w:rsidRPr="0069131E">
        <w:rPr>
          <w:rFonts w:ascii="Times New Roman" w:hAnsi="Times New Roman" w:cs="Times New Roman"/>
          <w:sz w:val="24"/>
          <w:szCs w:val="24"/>
        </w:rPr>
        <w:t xml:space="preserve"> Journal of Internet and e-Business Studies, Vol. 2022 (2022), Article ID 296375</w:t>
      </w:r>
      <w:r>
        <w:rPr>
          <w:rFonts w:ascii="Times New Roman" w:hAnsi="Times New Roman" w:cs="Times New Roman"/>
          <w:sz w:val="24"/>
          <w:szCs w:val="24"/>
        </w:rPr>
        <w:t xml:space="preserve">. </w:t>
      </w:r>
      <w:r w:rsidRPr="0044247E">
        <w:rPr>
          <w:rFonts w:ascii="Times New Roman" w:hAnsi="Times New Roman" w:cs="Times New Roman"/>
          <w:sz w:val="24"/>
          <w:szCs w:val="24"/>
        </w:rPr>
        <w:t>https://doi.org/</w:t>
      </w:r>
      <w:r w:rsidRPr="0069131E">
        <w:rPr>
          <w:rFonts w:ascii="Times New Roman" w:hAnsi="Times New Roman" w:cs="Times New Roman"/>
          <w:sz w:val="24"/>
          <w:szCs w:val="24"/>
        </w:rPr>
        <w:t>10.5171/2022.296375 </w:t>
      </w:r>
    </w:p>
    <w:p w14:paraId="32893E84" w14:textId="4C90726D"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562024">
        <w:rPr>
          <w:rFonts w:ascii="Times New Roman" w:hAnsi="Times New Roman" w:cs="Times New Roman"/>
          <w:sz w:val="24"/>
          <w:szCs w:val="24"/>
        </w:rPr>
        <w:t xml:space="preserve">Tullett, W., Leemans, I., Hsu, H., Weismann, S., Bembibre, C., Kiechle, M. A., Jethro, D., Chen, A., Huang, X., Otero-Pailos, J., </w:t>
      </w:r>
      <w:r w:rsidR="005136DB" w:rsidRPr="00562024">
        <w:rPr>
          <w:rFonts w:ascii="Times New Roman" w:hAnsi="Times New Roman" w:cs="Times New Roman"/>
          <w:sz w:val="24"/>
          <w:szCs w:val="24"/>
        </w:rPr>
        <w:t>&amp;</w:t>
      </w:r>
      <w:r w:rsidRPr="00562024">
        <w:rPr>
          <w:rFonts w:ascii="Times New Roman" w:hAnsi="Times New Roman" w:cs="Times New Roman"/>
          <w:sz w:val="24"/>
          <w:szCs w:val="24"/>
        </w:rPr>
        <w:t xml:space="preserve"> Bradley, M. (2022). </w:t>
      </w:r>
      <w:r w:rsidRPr="0069131E">
        <w:rPr>
          <w:rFonts w:ascii="Times New Roman" w:hAnsi="Times New Roman" w:cs="Times New Roman"/>
          <w:sz w:val="24"/>
          <w:szCs w:val="24"/>
        </w:rPr>
        <w:t xml:space="preserve">Smell, History, and Heritage. </w:t>
      </w:r>
      <w:r w:rsidRPr="0069131E">
        <w:rPr>
          <w:rFonts w:ascii="Times New Roman" w:hAnsi="Times New Roman" w:cs="Times New Roman"/>
          <w:i/>
          <w:sz w:val="24"/>
          <w:szCs w:val="24"/>
        </w:rPr>
        <w:t>The American Historical Review, 127</w:t>
      </w:r>
      <w:r w:rsidRPr="0069131E">
        <w:rPr>
          <w:rFonts w:ascii="Times New Roman" w:hAnsi="Times New Roman" w:cs="Times New Roman"/>
          <w:sz w:val="24"/>
          <w:szCs w:val="24"/>
        </w:rPr>
        <w:t xml:space="preserve">(1), 261-309. </w:t>
      </w:r>
      <w:hyperlink r:id="rId22" w:tgtFrame="_blank">
        <w:r w:rsidRPr="0069131E">
          <w:rPr>
            <w:rFonts w:ascii="Times New Roman" w:hAnsi="Times New Roman" w:cs="Times New Roman"/>
            <w:sz w:val="24"/>
            <w:szCs w:val="24"/>
            <w:u w:val="single"/>
          </w:rPr>
          <w:t>https://doi.org/10.1093/ahr/rhac147</w:t>
        </w:r>
      </w:hyperlink>
      <w:r w:rsidRPr="0069131E">
        <w:rPr>
          <w:rFonts w:ascii="Times New Roman" w:hAnsi="Times New Roman" w:cs="Times New Roman"/>
          <w:sz w:val="24"/>
          <w:szCs w:val="24"/>
        </w:rPr>
        <w:t> </w:t>
      </w:r>
    </w:p>
    <w:p w14:paraId="56301A01" w14:textId="0AB76213"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5214B5">
        <w:rPr>
          <w:rFonts w:ascii="Times New Roman" w:hAnsi="Times New Roman" w:cs="Times New Roman"/>
          <w:sz w:val="24"/>
          <w:szCs w:val="24"/>
        </w:rPr>
        <w:t xml:space="preserve">Tiyar, F.R., &amp; Khoshsima, H. (2015). Understanding students’ satisfaction and continuance intention of e-learning:  Application of expectation–confirmation model. </w:t>
      </w:r>
      <w:r w:rsidRPr="005214B5">
        <w:rPr>
          <w:rFonts w:ascii="Times New Roman" w:hAnsi="Times New Roman" w:cs="Times New Roman"/>
          <w:i/>
          <w:sz w:val="24"/>
          <w:szCs w:val="24"/>
        </w:rPr>
        <w:t>World Journal on Educational Technology</w:t>
      </w:r>
      <w:r w:rsidRPr="005214B5">
        <w:rPr>
          <w:rFonts w:ascii="Times New Roman" w:hAnsi="Times New Roman" w:cs="Times New Roman"/>
          <w:sz w:val="24"/>
          <w:szCs w:val="24"/>
        </w:rPr>
        <w:t xml:space="preserve">, </w:t>
      </w:r>
      <w:r w:rsidRPr="005214B5">
        <w:rPr>
          <w:rFonts w:ascii="Times New Roman" w:hAnsi="Times New Roman" w:cs="Times New Roman"/>
          <w:i/>
          <w:sz w:val="24"/>
          <w:szCs w:val="24"/>
        </w:rPr>
        <w:t>7</w:t>
      </w:r>
      <w:r w:rsidRPr="005214B5">
        <w:rPr>
          <w:rFonts w:ascii="Times New Roman" w:hAnsi="Times New Roman" w:cs="Times New Roman"/>
          <w:sz w:val="24"/>
          <w:szCs w:val="24"/>
        </w:rPr>
        <w:t xml:space="preserve">(3), 157-166. </w:t>
      </w:r>
      <w:hyperlink r:id="rId23" w:history="1">
        <w:r w:rsidR="005214B5" w:rsidRPr="005214B5">
          <w:rPr>
            <w:rStyle w:val="Hyperlink"/>
            <w:rFonts w:ascii="Times New Roman" w:hAnsi="Times New Roman" w:cs="Times New Roman"/>
            <w:sz w:val="24"/>
            <w:szCs w:val="24"/>
          </w:rPr>
          <w:t>http://doi.org/10.18844/wjet.v7i3</w:t>
        </w:r>
      </w:hyperlink>
      <w:r w:rsidRPr="005214B5">
        <w:rPr>
          <w:rFonts w:ascii="Times New Roman" w:hAnsi="Times New Roman" w:cs="Times New Roman"/>
          <w:sz w:val="24"/>
          <w:szCs w:val="24"/>
        </w:rPr>
        <w:t>.</w:t>
      </w:r>
      <w:r w:rsidRPr="0069131E">
        <w:rPr>
          <w:rFonts w:ascii="Times New Roman" w:hAnsi="Times New Roman" w:cs="Times New Roman"/>
          <w:sz w:val="24"/>
          <w:szCs w:val="24"/>
        </w:rPr>
        <w:t> </w:t>
      </w:r>
    </w:p>
    <w:p w14:paraId="0E628038" w14:textId="5851C47E"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7151E1D3">
        <w:rPr>
          <w:rFonts w:ascii="Times New Roman" w:hAnsi="Times New Roman" w:cs="Times New Roman"/>
          <w:sz w:val="24"/>
          <w:szCs w:val="24"/>
        </w:rPr>
        <w:lastRenderedPageBreak/>
        <w:t>UNESCO</w:t>
      </w:r>
      <w:r w:rsidR="00562024" w:rsidRPr="7151E1D3">
        <w:rPr>
          <w:rFonts w:ascii="Times New Roman" w:hAnsi="Times New Roman" w:cs="Times New Roman"/>
          <w:sz w:val="24"/>
          <w:szCs w:val="24"/>
        </w:rPr>
        <w:t xml:space="preserve">. </w:t>
      </w:r>
      <w:r w:rsidRPr="7151E1D3">
        <w:rPr>
          <w:rFonts w:ascii="Times New Roman" w:hAnsi="Times New Roman" w:cs="Times New Roman"/>
          <w:sz w:val="24"/>
          <w:szCs w:val="24"/>
        </w:rPr>
        <w:t>(2020)</w:t>
      </w:r>
      <w:r w:rsidR="00562024" w:rsidRPr="7151E1D3">
        <w:rPr>
          <w:rFonts w:ascii="Times New Roman" w:hAnsi="Times New Roman" w:cs="Times New Roman"/>
          <w:sz w:val="24"/>
          <w:szCs w:val="24"/>
        </w:rPr>
        <w:t>.</w:t>
      </w:r>
      <w:r w:rsidRPr="7151E1D3">
        <w:rPr>
          <w:rFonts w:ascii="Times New Roman" w:hAnsi="Times New Roman" w:cs="Times New Roman"/>
          <w:sz w:val="24"/>
          <w:szCs w:val="24"/>
        </w:rPr>
        <w:t xml:space="preserve"> </w:t>
      </w:r>
      <w:r w:rsidRPr="7151E1D3">
        <w:rPr>
          <w:rFonts w:ascii="Times New Roman" w:hAnsi="Times New Roman" w:cs="Times New Roman"/>
          <w:i/>
          <w:iCs/>
          <w:sz w:val="24"/>
          <w:szCs w:val="24"/>
        </w:rPr>
        <w:t>COVID-19 Educational Disruption and Response</w:t>
      </w:r>
      <w:r w:rsidRPr="7151E1D3">
        <w:rPr>
          <w:rFonts w:ascii="Times New Roman" w:hAnsi="Times New Roman" w:cs="Times New Roman"/>
          <w:sz w:val="24"/>
          <w:szCs w:val="24"/>
        </w:rPr>
        <w:t xml:space="preserve">. United Nations Educational, Scientific, and Cultural Organization – UNESCO, 2020-03-04. </w:t>
      </w:r>
    </w:p>
    <w:p w14:paraId="73DD8E60" w14:textId="621FFD68"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lang w:val="es-ES"/>
        </w:rPr>
        <w:t xml:space="preserve">Van Dijck, J, Poell, T, </w:t>
      </w:r>
      <w:r w:rsidR="005136DB" w:rsidRPr="0069131E">
        <w:rPr>
          <w:rFonts w:ascii="Times New Roman" w:hAnsi="Times New Roman" w:cs="Times New Roman"/>
          <w:sz w:val="24"/>
          <w:szCs w:val="24"/>
          <w:lang w:val="es-ES"/>
        </w:rPr>
        <w:t xml:space="preserve">&amp; </w:t>
      </w:r>
      <w:r w:rsidRPr="0069131E">
        <w:rPr>
          <w:rFonts w:ascii="Times New Roman" w:hAnsi="Times New Roman" w:cs="Times New Roman"/>
          <w:sz w:val="24"/>
          <w:szCs w:val="24"/>
          <w:lang w:val="es-ES"/>
        </w:rPr>
        <w:t xml:space="preserve">De Waal M. (2018). </w:t>
      </w:r>
      <w:r w:rsidRPr="0069131E">
        <w:rPr>
          <w:rFonts w:ascii="Times New Roman" w:hAnsi="Times New Roman" w:cs="Times New Roman"/>
          <w:i/>
          <w:sz w:val="24"/>
          <w:szCs w:val="24"/>
        </w:rPr>
        <w:t>The Platform Society</w:t>
      </w:r>
      <w:r w:rsidRPr="0069131E">
        <w:rPr>
          <w:rFonts w:ascii="Times New Roman" w:hAnsi="Times New Roman" w:cs="Times New Roman"/>
          <w:sz w:val="24"/>
          <w:szCs w:val="24"/>
        </w:rPr>
        <w:t>.</w:t>
      </w:r>
      <w:r w:rsidR="00562024">
        <w:rPr>
          <w:rFonts w:ascii="Times New Roman" w:hAnsi="Times New Roman" w:cs="Times New Roman"/>
          <w:sz w:val="24"/>
          <w:szCs w:val="24"/>
        </w:rPr>
        <w:t xml:space="preserve"> </w:t>
      </w:r>
      <w:r w:rsidRPr="0069131E">
        <w:rPr>
          <w:rFonts w:ascii="Times New Roman" w:hAnsi="Times New Roman" w:cs="Times New Roman"/>
          <w:sz w:val="24"/>
          <w:szCs w:val="24"/>
        </w:rPr>
        <w:t>Oxford University Press. </w:t>
      </w:r>
    </w:p>
    <w:p w14:paraId="15ABF542" w14:textId="77777777" w:rsidR="00F856B5" w:rsidRPr="0069131E" w:rsidRDefault="009F7ECA" w:rsidP="009960F2">
      <w:pPr>
        <w:spacing w:line="480" w:lineRule="auto"/>
        <w:ind w:left="567" w:hanging="567"/>
        <w:textAlignment w:val="baseline"/>
        <w:rPr>
          <w:rStyle w:val="eop"/>
          <w:rFonts w:ascii="Times New Roman" w:hAnsi="Times New Roman" w:cs="Times New Roman"/>
          <w:color w:val="000000"/>
          <w:sz w:val="24"/>
          <w:szCs w:val="24"/>
          <w:shd w:val="clear" w:color="auto" w:fill="FFFFFF"/>
          <w:lang w:val="fr-FR"/>
        </w:rPr>
      </w:pPr>
      <w:r w:rsidRPr="0069131E">
        <w:rPr>
          <w:rStyle w:val="normaltextrun"/>
          <w:rFonts w:ascii="Times New Roman" w:hAnsi="Times New Roman" w:cs="Times New Roman"/>
          <w:color w:val="000000"/>
          <w:sz w:val="24"/>
          <w:szCs w:val="24"/>
          <w:shd w:val="clear" w:color="auto" w:fill="FFFFFF"/>
        </w:rPr>
        <w:t xml:space="preserve">Yu, Q. (2022). Factors influencing online learning satisfaction. </w:t>
      </w:r>
      <w:r w:rsidRPr="0069131E">
        <w:rPr>
          <w:rStyle w:val="normaltextrun"/>
          <w:rFonts w:ascii="Times New Roman" w:hAnsi="Times New Roman" w:cs="Times New Roman"/>
          <w:i/>
          <w:color w:val="000000"/>
          <w:sz w:val="24"/>
          <w:szCs w:val="24"/>
          <w:shd w:val="clear" w:color="auto" w:fill="FFFFFF"/>
          <w:lang w:val="fr-FR"/>
        </w:rPr>
        <w:t>Frontiers in Psychology, 13</w:t>
      </w:r>
      <w:r w:rsidRPr="0069131E">
        <w:rPr>
          <w:rStyle w:val="normaltextrun"/>
          <w:rFonts w:ascii="Times New Roman" w:hAnsi="Times New Roman" w:cs="Times New Roman"/>
          <w:color w:val="000000"/>
          <w:sz w:val="24"/>
          <w:szCs w:val="24"/>
          <w:shd w:val="clear" w:color="auto" w:fill="FFFFFF"/>
          <w:lang w:val="fr-FR"/>
        </w:rPr>
        <w:t xml:space="preserve">, Article 852360. </w:t>
      </w:r>
      <w:hyperlink r:id="rId24" w:tgtFrame="_blank">
        <w:r w:rsidRPr="0069131E">
          <w:rPr>
            <w:rStyle w:val="normaltextrun"/>
            <w:rFonts w:ascii="Times New Roman" w:hAnsi="Times New Roman" w:cs="Times New Roman"/>
            <w:color w:val="0563C1"/>
            <w:sz w:val="24"/>
            <w:szCs w:val="24"/>
            <w:u w:val="single"/>
            <w:shd w:val="clear" w:color="auto" w:fill="FFFFFF"/>
            <w:lang w:val="fr-FR"/>
          </w:rPr>
          <w:t>https://doi.org/10.3389/fpsyg.2022.852360</w:t>
        </w:r>
      </w:hyperlink>
      <w:r w:rsidRPr="0069131E">
        <w:rPr>
          <w:rStyle w:val="eop"/>
          <w:rFonts w:ascii="Times New Roman" w:hAnsi="Times New Roman" w:cs="Times New Roman"/>
          <w:color w:val="000000"/>
          <w:sz w:val="24"/>
          <w:szCs w:val="24"/>
          <w:shd w:val="clear" w:color="auto" w:fill="FFFFFF"/>
          <w:lang w:val="fr-FR"/>
        </w:rPr>
        <w:t> </w:t>
      </w:r>
    </w:p>
    <w:p w14:paraId="00ECAC8A" w14:textId="77777777" w:rsidR="00F856B5" w:rsidRPr="0069131E" w:rsidRDefault="009F7ECA" w:rsidP="009960F2">
      <w:pPr>
        <w:spacing w:line="480" w:lineRule="auto"/>
        <w:ind w:left="567" w:hanging="567"/>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lang w:val="fr-FR"/>
        </w:rPr>
        <w:t xml:space="preserve"> Zhou, J. (2017). </w:t>
      </w:r>
      <w:r w:rsidRPr="0069131E">
        <w:rPr>
          <w:rFonts w:ascii="Times New Roman" w:hAnsi="Times New Roman" w:cs="Times New Roman"/>
          <w:sz w:val="24"/>
          <w:szCs w:val="24"/>
        </w:rPr>
        <w:t xml:space="preserve">Exploring the factors affecting learners’ continuance intention of MOOCs for online collaborative learning: An extended ECM perspective. </w:t>
      </w:r>
      <w:r w:rsidRPr="0069131E">
        <w:rPr>
          <w:rFonts w:ascii="Times New Roman" w:hAnsi="Times New Roman" w:cs="Times New Roman"/>
          <w:i/>
          <w:sz w:val="24"/>
          <w:szCs w:val="24"/>
        </w:rPr>
        <w:t>Australasian Journal of Educational Technology</w:t>
      </w:r>
      <w:r w:rsidRPr="0069131E">
        <w:rPr>
          <w:rFonts w:ascii="Times New Roman" w:hAnsi="Times New Roman" w:cs="Times New Roman"/>
          <w:sz w:val="24"/>
          <w:szCs w:val="24"/>
        </w:rPr>
        <w:t xml:space="preserve">, </w:t>
      </w:r>
      <w:r w:rsidRPr="0069131E">
        <w:rPr>
          <w:rFonts w:ascii="Times New Roman" w:hAnsi="Times New Roman" w:cs="Times New Roman"/>
          <w:i/>
          <w:sz w:val="24"/>
          <w:szCs w:val="24"/>
        </w:rPr>
        <w:t>33</w:t>
      </w:r>
      <w:r w:rsidRPr="0069131E">
        <w:rPr>
          <w:rFonts w:ascii="Times New Roman" w:hAnsi="Times New Roman" w:cs="Times New Roman"/>
          <w:sz w:val="24"/>
          <w:szCs w:val="24"/>
        </w:rPr>
        <w:t xml:space="preserve">(5). </w:t>
      </w:r>
      <w:hyperlink r:id="rId25" w:tgtFrame="_blank">
        <w:r w:rsidRPr="0069131E">
          <w:rPr>
            <w:rStyle w:val="Hyperlink"/>
            <w:rFonts w:ascii="Times New Roman" w:hAnsi="Times New Roman" w:cs="Times New Roman"/>
            <w:sz w:val="24"/>
            <w:szCs w:val="24"/>
          </w:rPr>
          <w:t>https://doi.org/10.14742/ajet.2914</w:t>
        </w:r>
      </w:hyperlink>
    </w:p>
    <w:p w14:paraId="12A3C928" w14:textId="77777777" w:rsidR="00F856B5" w:rsidRPr="0069131E" w:rsidRDefault="009F7ECA" w:rsidP="0069131E">
      <w:pPr>
        <w:spacing w:line="480" w:lineRule="auto"/>
        <w:ind w:left="567" w:hanging="567"/>
        <w:jc w:val="both"/>
        <w:textAlignment w:val="baseline"/>
        <w:rPr>
          <w:rFonts w:ascii="Times New Roman" w:eastAsia="Times New Roman" w:hAnsi="Times New Roman" w:cs="Times New Roman"/>
          <w:sz w:val="24"/>
          <w:szCs w:val="24"/>
        </w:rPr>
      </w:pPr>
      <w:r w:rsidRPr="0069131E">
        <w:rPr>
          <w:rFonts w:ascii="Times New Roman" w:hAnsi="Times New Roman" w:cs="Times New Roman"/>
          <w:sz w:val="24"/>
          <w:szCs w:val="24"/>
        </w:rPr>
        <w:t> </w:t>
      </w:r>
      <w:commentRangeEnd w:id="21"/>
      <w:r w:rsidR="00A91D4E">
        <w:rPr>
          <w:rStyle w:val="CommentReference"/>
        </w:rPr>
        <w:commentReference w:id="21"/>
      </w:r>
    </w:p>
    <w:p w14:paraId="3068BEA7" w14:textId="77777777" w:rsidR="00F856B5" w:rsidRPr="0069131E" w:rsidRDefault="00F856B5" w:rsidP="0069131E">
      <w:pPr>
        <w:spacing w:line="480" w:lineRule="auto"/>
        <w:jc w:val="both"/>
        <w:rPr>
          <w:rFonts w:ascii="Times New Roman" w:eastAsia="Times New Roman" w:hAnsi="Times New Roman" w:cs="Times New Roman"/>
          <w:sz w:val="24"/>
          <w:szCs w:val="24"/>
          <w:lang w:val="en-US"/>
        </w:rPr>
      </w:pPr>
    </w:p>
    <w:sectPr w:rsidR="00F856B5" w:rsidRPr="0069131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5E6D3408" w14:textId="6A3412EF" w:rsidR="00DB3B02" w:rsidRDefault="00DB3B02">
      <w:pPr>
        <w:pStyle w:val="CommentText"/>
      </w:pPr>
      <w:r>
        <w:rPr>
          <w:rStyle w:val="CommentReference"/>
        </w:rPr>
        <w:annotationRef/>
      </w:r>
      <w:r>
        <w:t xml:space="preserve">Kindly cite 5 papers from the </w:t>
      </w:r>
      <w:hyperlink r:id="rId1" w:history="1">
        <w:r w:rsidRPr="00DB3B02">
          <w:rPr>
            <w:rStyle w:val="Hyperlink"/>
            <w:rFonts w:asciiTheme="minorBidi" w:hAnsiTheme="minorBidi"/>
            <w:b/>
            <w:bCs/>
            <w:color w:val="FFFFFF"/>
          </w:rPr>
          <w:t>The International Review of Research in Open an</w:t>
        </w:r>
        <w:r w:rsidRPr="00DB3B02">
          <w:rPr>
            <w:rStyle w:val="Hyperlink"/>
            <w:rFonts w:asciiTheme="minorBidi" w:hAnsiTheme="minorBidi"/>
            <w:b/>
            <w:bCs/>
            <w:color w:val="FFFFFF"/>
          </w:rPr>
          <w:t>d</w:t>
        </w:r>
        <w:r w:rsidRPr="00DB3B02">
          <w:rPr>
            <w:rStyle w:val="Hyperlink"/>
            <w:rFonts w:asciiTheme="minorBidi" w:hAnsiTheme="minorBidi"/>
            <w:b/>
            <w:bCs/>
            <w:color w:val="FFFFFF"/>
          </w:rPr>
          <w:t xml:space="preserve"> Distributed Learning</w:t>
        </w:r>
      </w:hyperlink>
    </w:p>
  </w:comment>
  <w:comment w:id="1" w:author="Author" w:initials="A">
    <w:p w14:paraId="11B668EB" w14:textId="10C223DF" w:rsidR="00A91D4E" w:rsidRDefault="00A91D4E">
      <w:pPr>
        <w:pStyle w:val="CommentText"/>
      </w:pPr>
      <w:r>
        <w:rPr>
          <w:rStyle w:val="CommentReference"/>
        </w:rPr>
        <w:annotationRef/>
      </w:r>
      <w:r>
        <w:t>Make sure the title is both the problem and the solution</w:t>
      </w:r>
    </w:p>
  </w:comment>
  <w:comment w:id="4" w:author="Author" w:initials="A">
    <w:p w14:paraId="599D2E10" w14:textId="3C836B53" w:rsidR="00A91D4E" w:rsidRPr="00A91D4E" w:rsidRDefault="00A91D4E">
      <w:pPr>
        <w:pStyle w:val="CommentText"/>
        <w:rPr>
          <w:rFonts w:asciiTheme="minorBidi" w:hAnsiTheme="minorBidi"/>
        </w:rPr>
      </w:pPr>
      <w:r>
        <w:rPr>
          <w:rStyle w:val="CommentReference"/>
        </w:rPr>
        <w:annotationRef/>
      </w:r>
      <w:r w:rsidRPr="00A91D4E">
        <w:rPr>
          <w:rFonts w:asciiTheme="minorBidi" w:hAnsiTheme="minorBidi"/>
        </w:rPr>
        <w:t xml:space="preserve">Kindly include the research instruments, indicator of </w:t>
      </w:r>
      <w:r w:rsidRPr="00A91D4E">
        <w:rPr>
          <w:rFonts w:asciiTheme="minorBidi" w:hAnsiTheme="minorBidi"/>
        </w:rPr>
        <w:t>a digital competency self-assessment tool</w:t>
      </w:r>
    </w:p>
  </w:comment>
  <w:comment w:id="2" w:author="Author" w:initials="A">
    <w:p w14:paraId="43907B81" w14:textId="414A755A" w:rsidR="00A91D4E" w:rsidRDefault="00A91D4E">
      <w:pPr>
        <w:pStyle w:val="CommentText"/>
      </w:pPr>
      <w:r>
        <w:rPr>
          <w:rStyle w:val="CommentReference"/>
        </w:rPr>
        <w:annotationRef/>
      </w:r>
      <w:r>
        <w:t>Make sure the title is both the problem and the solution</w:t>
      </w:r>
    </w:p>
  </w:comment>
  <w:comment w:id="3" w:author="Author" w:initials="A">
    <w:p w14:paraId="20099773" w14:textId="2836CE83" w:rsidR="00A91D4E" w:rsidRDefault="00A91D4E">
      <w:pPr>
        <w:pStyle w:val="CommentText"/>
      </w:pPr>
      <w:r>
        <w:rPr>
          <w:rStyle w:val="CommentReference"/>
        </w:rPr>
        <w:annotationRef/>
      </w:r>
      <w:r>
        <w:t>Kindly check the grammar</w:t>
      </w:r>
    </w:p>
  </w:comment>
  <w:comment w:id="5" w:author="Author" w:initials="A">
    <w:p w14:paraId="09947403" w14:textId="267F30C5" w:rsidR="00BC5BDA" w:rsidRDefault="00BC5BDA">
      <w:pPr>
        <w:pStyle w:val="CommentText"/>
      </w:pPr>
      <w:r>
        <w:rPr>
          <w:rStyle w:val="CommentReference"/>
        </w:rPr>
        <w:annotationRef/>
      </w:r>
      <w:r>
        <w:t>Kindly state your novelty and contributon of this study to science and technology especially your department</w:t>
      </w:r>
    </w:p>
  </w:comment>
  <w:comment w:id="6" w:author="Author" w:initials="A">
    <w:p w14:paraId="1E8A4CE2" w14:textId="77777777" w:rsidR="00B328F6" w:rsidRDefault="00B328F6">
      <w:pPr>
        <w:pStyle w:val="CommentText"/>
      </w:pPr>
      <w:r>
        <w:rPr>
          <w:rStyle w:val="CommentReference"/>
        </w:rPr>
        <w:annotationRef/>
      </w:r>
      <w:r>
        <w:t>Not a keypoint but for search engines, so may be something else, maximum 5 words can be a phrase</w:t>
      </w:r>
    </w:p>
    <w:p w14:paraId="2FBADC1E" w14:textId="77777777" w:rsidR="005D5372" w:rsidRDefault="005D5372">
      <w:pPr>
        <w:pStyle w:val="CommentText"/>
      </w:pPr>
    </w:p>
    <w:p w14:paraId="1698972C" w14:textId="09A9E6C8" w:rsidR="005D5372" w:rsidRDefault="005D5372">
      <w:pPr>
        <w:pStyle w:val="CommentText"/>
      </w:pPr>
      <w:r>
        <w:t>Kindly</w:t>
      </w:r>
      <w:r w:rsidRPr="005D5372">
        <w:t xml:space="preserve"> arrange them in alphabetical order</w:t>
      </w:r>
    </w:p>
  </w:comment>
  <w:comment w:id="9" w:author="Author" w:initials="A">
    <w:p w14:paraId="6674DBB6" w14:textId="6A0838E5" w:rsidR="003A0329" w:rsidRDefault="003A0329">
      <w:pPr>
        <w:pStyle w:val="CommentText"/>
      </w:pPr>
      <w:r>
        <w:rPr>
          <w:rStyle w:val="CommentReference"/>
        </w:rPr>
        <w:annotationRef/>
      </w:r>
      <w:r>
        <w:t>Kindly</w:t>
      </w:r>
      <w:r w:rsidRPr="003A0329">
        <w:t xml:space="preserve"> include the reference</w:t>
      </w:r>
    </w:p>
  </w:comment>
  <w:comment w:id="7" w:author="Author" w:initials="A">
    <w:p w14:paraId="587B9B62" w14:textId="1B1DFC6E" w:rsidR="003A0329" w:rsidRDefault="003A0329">
      <w:pPr>
        <w:pStyle w:val="CommentText"/>
      </w:pPr>
      <w:r>
        <w:rPr>
          <w:rStyle w:val="CommentReference"/>
        </w:rPr>
        <w:annotationRef/>
      </w:r>
      <w:r>
        <w:t>Kindly</w:t>
      </w:r>
      <w:r w:rsidRPr="003A0329">
        <w:t xml:space="preserve"> provide a common thread as a gap analysis</w:t>
      </w:r>
    </w:p>
  </w:comment>
  <w:comment w:id="11" w:author="Author" w:initials="A">
    <w:p w14:paraId="47017A08" w14:textId="77777777" w:rsidR="001C2D64" w:rsidRDefault="001C2D64" w:rsidP="001C2D64">
      <w:pPr>
        <w:pStyle w:val="CommentText"/>
      </w:pPr>
      <w:r>
        <w:rPr>
          <w:rStyle w:val="CommentReference"/>
        </w:rPr>
        <w:annotationRef/>
      </w:r>
      <w:r>
        <w:rPr>
          <w:rStyle w:val="CommentReference"/>
        </w:rPr>
        <w:annotationRef/>
      </w:r>
      <w:r>
        <w:t>Kindly include the research instruments</w:t>
      </w:r>
    </w:p>
    <w:p w14:paraId="1EB36C4F" w14:textId="77777777" w:rsidR="001C2D64" w:rsidRDefault="001C2D64" w:rsidP="001C2D64">
      <w:pPr>
        <w:pStyle w:val="CommentText"/>
      </w:pPr>
    </w:p>
    <w:p w14:paraId="644EDFA6" w14:textId="77777777" w:rsidR="001C2D64" w:rsidRDefault="001C2D64" w:rsidP="001C2D64">
      <w:pPr>
        <w:pStyle w:val="CommentText"/>
      </w:pPr>
      <w:r>
        <w:t>Kindly explain the instruments in detail</w:t>
      </w:r>
    </w:p>
    <w:p w14:paraId="40E6D20D" w14:textId="77777777" w:rsidR="001C2D64" w:rsidRDefault="001C2D64" w:rsidP="001C2D64">
      <w:pPr>
        <w:pStyle w:val="CommentText"/>
      </w:pPr>
    </w:p>
    <w:p w14:paraId="17A7EA71" w14:textId="21859AD9" w:rsidR="001C2D64" w:rsidRDefault="001C2D64">
      <w:pPr>
        <w:pStyle w:val="CommentText"/>
      </w:pPr>
      <w:r>
        <w:t>Kindly</w:t>
      </w:r>
      <w:r w:rsidRPr="001C2D64">
        <w:t xml:space="preserve"> describe the indicators for each variable studied</w:t>
      </w:r>
    </w:p>
  </w:comment>
  <w:comment w:id="12" w:author="Author" w:initials="A">
    <w:p w14:paraId="165AE7DF" w14:textId="77777777" w:rsidR="00186741" w:rsidRDefault="00186741" w:rsidP="00186741">
      <w:pPr>
        <w:pStyle w:val="CommentText"/>
      </w:pPr>
      <w:r>
        <w:rPr>
          <w:rStyle w:val="CommentReference"/>
        </w:rPr>
        <w:annotationRef/>
      </w:r>
      <w:r>
        <w:t>The presentation of the scales can be better organized, for example the scales can be introduced in the following order:</w:t>
      </w:r>
    </w:p>
    <w:p w14:paraId="387E1E78" w14:textId="77777777" w:rsidR="00186741" w:rsidRDefault="00186741" w:rsidP="00186741">
      <w:pPr>
        <w:pStyle w:val="CommentText"/>
      </w:pPr>
      <w:r>
        <w:t>Title of the scale, information about the scale (scoring, etc.), validity and reliabilityresults can be written.</w:t>
      </w:r>
    </w:p>
    <w:p w14:paraId="11E57926" w14:textId="77777777" w:rsidR="00186741" w:rsidRDefault="00186741">
      <w:pPr>
        <w:pStyle w:val="CommentText"/>
      </w:pPr>
    </w:p>
    <w:p w14:paraId="6A876ADA" w14:textId="77777777" w:rsidR="00186741" w:rsidRDefault="00186741">
      <w:pPr>
        <w:pStyle w:val="CommentText"/>
      </w:pPr>
    </w:p>
    <w:p w14:paraId="68F088E8" w14:textId="565D6B12" w:rsidR="00186741" w:rsidRDefault="00186741">
      <w:pPr>
        <w:pStyle w:val="CommentText"/>
      </w:pPr>
      <w:r>
        <w:t>Kindly explain the analysis used, the reader knows the formula</w:t>
      </w:r>
    </w:p>
  </w:comment>
  <w:comment w:id="19" w:author="Author" w:initials="A">
    <w:p w14:paraId="58E177BD" w14:textId="0B2B47B0" w:rsidR="00186741" w:rsidRDefault="00186741">
      <w:pPr>
        <w:pStyle w:val="CommentText"/>
      </w:pPr>
      <w:r>
        <w:rPr>
          <w:rStyle w:val="CommentReference"/>
        </w:rPr>
        <w:annotationRef/>
      </w:r>
      <w:r>
        <w:t>Kindly check the grammar</w:t>
      </w:r>
    </w:p>
  </w:comment>
  <w:comment w:id="20" w:author="Author" w:initials="A">
    <w:p w14:paraId="6B4B3583" w14:textId="5F245131" w:rsidR="000A3A25" w:rsidRDefault="000A3A25">
      <w:pPr>
        <w:pStyle w:val="CommentText"/>
      </w:pPr>
      <w:r>
        <w:rPr>
          <w:rStyle w:val="CommentReference"/>
        </w:rPr>
        <w:annotationRef/>
      </w:r>
      <w:r w:rsidRPr="000A3A25">
        <w:t>Please differentiate between discussion and conclusion</w:t>
      </w:r>
    </w:p>
  </w:comment>
  <w:comment w:id="17" w:author="Author" w:initials="A">
    <w:p w14:paraId="1669D221" w14:textId="581CD62E" w:rsidR="00186741" w:rsidRDefault="00186741">
      <w:pPr>
        <w:pStyle w:val="CommentText"/>
      </w:pPr>
      <w:r>
        <w:rPr>
          <w:rStyle w:val="CommentReference"/>
        </w:rPr>
        <w:annotationRef/>
      </w:r>
      <w:r>
        <w:t>Kindly</w:t>
      </w:r>
      <w:r w:rsidRPr="00186741">
        <w:t xml:space="preserve"> ensure that the conclusions answer the three objectives of the research</w:t>
      </w:r>
    </w:p>
  </w:comment>
  <w:comment w:id="18" w:author="Author" w:initials="A">
    <w:p w14:paraId="4A2051F1" w14:textId="77777777" w:rsidR="000A3A25" w:rsidRDefault="000A3A25">
      <w:pPr>
        <w:pStyle w:val="CommentText"/>
      </w:pPr>
      <w:r>
        <w:rPr>
          <w:rStyle w:val="CommentReference"/>
        </w:rPr>
        <w:annotationRef/>
      </w:r>
      <w:r w:rsidRPr="000A3A25">
        <w:t>Please differentiate between discussion and conclusion</w:t>
      </w:r>
    </w:p>
    <w:p w14:paraId="3C9FBA50" w14:textId="77777777" w:rsidR="000A3A25" w:rsidRDefault="000A3A25">
      <w:pPr>
        <w:pStyle w:val="CommentText"/>
      </w:pPr>
    </w:p>
    <w:p w14:paraId="1A1CB9E5" w14:textId="10A056F8" w:rsidR="000A3A25" w:rsidRDefault="000A3A25">
      <w:pPr>
        <w:pStyle w:val="CommentText"/>
      </w:pPr>
      <w:r w:rsidRPr="000A3A25">
        <w:t>There should be no quotations in the conclusion, it only contains answers to the problem formulation or research objectives</w:t>
      </w:r>
    </w:p>
  </w:comment>
  <w:comment w:id="21" w:author="Author" w:initials="A">
    <w:p w14:paraId="7DFBD8D7" w14:textId="77777777" w:rsidR="00A91D4E" w:rsidRDefault="00A91D4E">
      <w:pPr>
        <w:pStyle w:val="CommentText"/>
      </w:pPr>
      <w:r>
        <w:rPr>
          <w:rStyle w:val="CommentReference"/>
        </w:rPr>
        <w:annotationRef/>
      </w:r>
      <w:r>
        <w:t>Kindly use Mendeley/Zotero/the other reference management software</w:t>
      </w:r>
    </w:p>
    <w:p w14:paraId="324F9558" w14:textId="77777777" w:rsidR="000A3A25" w:rsidRDefault="000A3A25">
      <w:pPr>
        <w:pStyle w:val="CommentText"/>
      </w:pPr>
    </w:p>
    <w:p w14:paraId="19041301" w14:textId="77777777" w:rsidR="000A3A25" w:rsidRDefault="000A3A25">
      <w:pPr>
        <w:pStyle w:val="CommentText"/>
      </w:pPr>
      <w:r>
        <w:t>DOI numbers of the articles should also be written, if the article does not have a DOI number, an internet link should be written</w:t>
      </w:r>
    </w:p>
    <w:p w14:paraId="2D418782" w14:textId="77777777" w:rsidR="003A13AF" w:rsidRDefault="003A13AF">
      <w:pPr>
        <w:pStyle w:val="CommentText"/>
      </w:pPr>
    </w:p>
    <w:p w14:paraId="6084C420" w14:textId="3A8A93B5" w:rsidR="003A13AF" w:rsidRDefault="003A13AF">
      <w:pPr>
        <w:pStyle w:val="CommentText"/>
      </w:pPr>
      <w:r>
        <w:t>Add referrals of at least 35, 80% recent referrals of at least the 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6D3408" w15:done="0"/>
  <w15:commentEx w15:paraId="11B668EB" w15:done="0"/>
  <w15:commentEx w15:paraId="599D2E10" w15:done="0"/>
  <w15:commentEx w15:paraId="43907B81" w15:done="0"/>
  <w15:commentEx w15:paraId="20099773" w15:done="0"/>
  <w15:commentEx w15:paraId="09947403" w15:done="0"/>
  <w15:commentEx w15:paraId="1698972C" w15:done="0"/>
  <w15:commentEx w15:paraId="6674DBB6" w15:done="0"/>
  <w15:commentEx w15:paraId="587B9B62" w15:done="0"/>
  <w15:commentEx w15:paraId="17A7EA71" w15:done="0"/>
  <w15:commentEx w15:paraId="68F088E8" w15:done="0"/>
  <w15:commentEx w15:paraId="58E177BD" w15:done="0"/>
  <w15:commentEx w15:paraId="6B4B3583" w15:done="0"/>
  <w15:commentEx w15:paraId="1669D221" w15:done="0"/>
  <w15:commentEx w15:paraId="1A1CB9E5" w15:done="0"/>
  <w15:commentEx w15:paraId="6084C4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6D3408" w16cid:durableId="64E3C410"/>
  <w16cid:commentId w16cid:paraId="11B668EB" w16cid:durableId="3AD70017"/>
  <w16cid:commentId w16cid:paraId="599D2E10" w16cid:durableId="19B83A87"/>
  <w16cid:commentId w16cid:paraId="43907B81" w16cid:durableId="04530E7D"/>
  <w16cid:commentId w16cid:paraId="20099773" w16cid:durableId="46031AB1"/>
  <w16cid:commentId w16cid:paraId="09947403" w16cid:durableId="25CEA633"/>
  <w16cid:commentId w16cid:paraId="1698972C" w16cid:durableId="5423D6A1"/>
  <w16cid:commentId w16cid:paraId="6674DBB6" w16cid:durableId="13635F6F"/>
  <w16cid:commentId w16cid:paraId="587B9B62" w16cid:durableId="1403C2AF"/>
  <w16cid:commentId w16cid:paraId="17A7EA71" w16cid:durableId="71C6A391"/>
  <w16cid:commentId w16cid:paraId="68F088E8" w16cid:durableId="5A6114CC"/>
  <w16cid:commentId w16cid:paraId="58E177BD" w16cid:durableId="6B976D81"/>
  <w16cid:commentId w16cid:paraId="6B4B3583" w16cid:durableId="5661C4A2"/>
  <w16cid:commentId w16cid:paraId="1669D221" w16cid:durableId="05BA159E"/>
  <w16cid:commentId w16cid:paraId="1A1CB9E5" w16cid:durableId="15E240AD"/>
  <w16cid:commentId w16cid:paraId="6084C420" w16cid:durableId="171D6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1C189" w14:textId="77777777" w:rsidR="00743E37" w:rsidRDefault="00743E37">
      <w:pPr>
        <w:spacing w:after="0" w:line="240" w:lineRule="auto"/>
      </w:pPr>
      <w:r>
        <w:separator/>
      </w:r>
    </w:p>
  </w:endnote>
  <w:endnote w:type="continuationSeparator" w:id="0">
    <w:p w14:paraId="2DAF6776" w14:textId="77777777" w:rsidR="00743E37" w:rsidRDefault="0074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E637" w14:textId="77777777" w:rsidR="001C0CC9" w:rsidRDefault="001C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FDC1" w14:textId="77777777" w:rsidR="001C0CC9" w:rsidRDefault="001C0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16295" w14:textId="77777777" w:rsidR="001C0CC9" w:rsidRDefault="001C0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57212" w14:textId="77777777" w:rsidR="00743E37" w:rsidRDefault="00743E37">
      <w:pPr>
        <w:rPr>
          <w:sz w:val="12"/>
        </w:rPr>
      </w:pPr>
      <w:r>
        <w:separator/>
      </w:r>
    </w:p>
  </w:footnote>
  <w:footnote w:type="continuationSeparator" w:id="0">
    <w:p w14:paraId="51EA4197" w14:textId="77777777" w:rsidR="00743E37" w:rsidRDefault="00743E3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D38F2" w14:textId="64804084" w:rsidR="001C0CC9" w:rsidRDefault="00000000">
    <w:pPr>
      <w:pStyle w:val="Header"/>
    </w:pPr>
    <w:r>
      <w:rPr>
        <w:noProof/>
      </w:rPr>
      <w:pict w14:anchorId="1871E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6251"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Fo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56F77" w14:textId="5059FA35" w:rsidR="001C0CC9" w:rsidRDefault="00000000">
    <w:pPr>
      <w:pStyle w:val="Header"/>
    </w:pPr>
    <w:r>
      <w:rPr>
        <w:noProof/>
      </w:rPr>
      <w:pict w14:anchorId="08416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6252"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Fo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4228" w14:textId="0FB6D0D5" w:rsidR="001C0CC9" w:rsidRDefault="00000000">
    <w:pPr>
      <w:pStyle w:val="Header"/>
    </w:pPr>
    <w:r>
      <w:rPr>
        <w:noProof/>
      </w:rPr>
      <w:pict w14:anchorId="2D82D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6250"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Fo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85525"/>
    <w:multiLevelType w:val="multilevel"/>
    <w:tmpl w:val="76ECB7A8"/>
    <w:lvl w:ilvl="0">
      <w:start w:val="1"/>
      <w:numFmt w:val="bullet"/>
      <w:lvlText w:val=""/>
      <w:lvlJc w:val="left"/>
      <w:pPr>
        <w:tabs>
          <w:tab w:val="num" w:pos="0"/>
        </w:tabs>
        <w:ind w:left="720" w:hanging="360"/>
      </w:pPr>
      <w:rPr>
        <w:rFonts w:ascii="Symbol" w:hAnsi="Symbol" w:cs="Symbol" w:hint="default"/>
      </w:rPr>
    </w:lvl>
    <w:lvl w:ilvl="1">
      <w:start w:val="1"/>
      <w:numFmt w:val="bullet"/>
      <w:pStyle w:val="guionPF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79518F"/>
    <w:multiLevelType w:val="multilevel"/>
    <w:tmpl w:val="47168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9B2AB0"/>
    <w:multiLevelType w:val="multilevel"/>
    <w:tmpl w:val="AFB8B9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55A305C"/>
    <w:multiLevelType w:val="multilevel"/>
    <w:tmpl w:val="0E52DF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C562066"/>
    <w:multiLevelType w:val="multilevel"/>
    <w:tmpl w:val="2734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98143D"/>
    <w:multiLevelType w:val="multilevel"/>
    <w:tmpl w:val="4E8CA2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9AB59F2"/>
    <w:multiLevelType w:val="multilevel"/>
    <w:tmpl w:val="BDB8C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ED91A74"/>
    <w:multiLevelType w:val="multilevel"/>
    <w:tmpl w:val="28ACA118"/>
    <w:lvl w:ilvl="0">
      <w:start w:val="1"/>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03279016">
    <w:abstractNumId w:val="5"/>
  </w:num>
  <w:num w:numId="2" w16cid:durableId="364645177">
    <w:abstractNumId w:val="6"/>
  </w:num>
  <w:num w:numId="3" w16cid:durableId="405689487">
    <w:abstractNumId w:val="7"/>
  </w:num>
  <w:num w:numId="4" w16cid:durableId="1955360525">
    <w:abstractNumId w:val="0"/>
  </w:num>
  <w:num w:numId="5" w16cid:durableId="1680505380">
    <w:abstractNumId w:val="4"/>
  </w:num>
  <w:num w:numId="6" w16cid:durableId="880939856">
    <w:abstractNumId w:val="3"/>
  </w:num>
  <w:num w:numId="7" w16cid:durableId="162017450">
    <w:abstractNumId w:val="2"/>
  </w:num>
  <w:num w:numId="8" w16cid:durableId="19134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B5"/>
    <w:rsid w:val="00001048"/>
    <w:rsid w:val="000A3A25"/>
    <w:rsid w:val="00107508"/>
    <w:rsid w:val="001161BD"/>
    <w:rsid w:val="00142E6E"/>
    <w:rsid w:val="00152548"/>
    <w:rsid w:val="00186741"/>
    <w:rsid w:val="001A3A3F"/>
    <w:rsid w:val="001C0CC9"/>
    <w:rsid w:val="001C0E74"/>
    <w:rsid w:val="001C2D64"/>
    <w:rsid w:val="001D3FBD"/>
    <w:rsid w:val="00270AAE"/>
    <w:rsid w:val="002A3B2B"/>
    <w:rsid w:val="002E47A6"/>
    <w:rsid w:val="0030463E"/>
    <w:rsid w:val="0031786B"/>
    <w:rsid w:val="00360ECC"/>
    <w:rsid w:val="003A0329"/>
    <w:rsid w:val="003A13AF"/>
    <w:rsid w:val="003B0009"/>
    <w:rsid w:val="003E6975"/>
    <w:rsid w:val="0044247E"/>
    <w:rsid w:val="00451BE2"/>
    <w:rsid w:val="0050067C"/>
    <w:rsid w:val="00513244"/>
    <w:rsid w:val="005136DB"/>
    <w:rsid w:val="005214B5"/>
    <w:rsid w:val="00560F62"/>
    <w:rsid w:val="00562024"/>
    <w:rsid w:val="005D5372"/>
    <w:rsid w:val="0069131E"/>
    <w:rsid w:val="00692906"/>
    <w:rsid w:val="006D29D5"/>
    <w:rsid w:val="0072424A"/>
    <w:rsid w:val="00724D7C"/>
    <w:rsid w:val="00743E37"/>
    <w:rsid w:val="00764AAA"/>
    <w:rsid w:val="008877E5"/>
    <w:rsid w:val="00897027"/>
    <w:rsid w:val="009534F8"/>
    <w:rsid w:val="0098019C"/>
    <w:rsid w:val="009960F2"/>
    <w:rsid w:val="009A430A"/>
    <w:rsid w:val="009F4618"/>
    <w:rsid w:val="009F7ECA"/>
    <w:rsid w:val="00A07BF0"/>
    <w:rsid w:val="00A42376"/>
    <w:rsid w:val="00A85E6A"/>
    <w:rsid w:val="00A91D4E"/>
    <w:rsid w:val="00AB1102"/>
    <w:rsid w:val="00B1774E"/>
    <w:rsid w:val="00B328F6"/>
    <w:rsid w:val="00B7736C"/>
    <w:rsid w:val="00BC5BDA"/>
    <w:rsid w:val="00BF6DAB"/>
    <w:rsid w:val="00C04CAA"/>
    <w:rsid w:val="00CE35AA"/>
    <w:rsid w:val="00D75171"/>
    <w:rsid w:val="00DB3B02"/>
    <w:rsid w:val="00DF778C"/>
    <w:rsid w:val="00E07761"/>
    <w:rsid w:val="00E12288"/>
    <w:rsid w:val="00E241FE"/>
    <w:rsid w:val="00ED66D6"/>
    <w:rsid w:val="00EE2A37"/>
    <w:rsid w:val="00F33CF8"/>
    <w:rsid w:val="00F856B5"/>
    <w:rsid w:val="00F9553C"/>
    <w:rsid w:val="00FF4251"/>
    <w:rsid w:val="026BC3D7"/>
    <w:rsid w:val="03DCE594"/>
    <w:rsid w:val="04477DB2"/>
    <w:rsid w:val="08C3D637"/>
    <w:rsid w:val="0B6D0127"/>
    <w:rsid w:val="0B7ED376"/>
    <w:rsid w:val="0D1ED9CA"/>
    <w:rsid w:val="0D464A59"/>
    <w:rsid w:val="0EEF6077"/>
    <w:rsid w:val="0F223048"/>
    <w:rsid w:val="117A8CF2"/>
    <w:rsid w:val="12211E59"/>
    <w:rsid w:val="123F1A7E"/>
    <w:rsid w:val="134167A7"/>
    <w:rsid w:val="14B89495"/>
    <w:rsid w:val="1797076E"/>
    <w:rsid w:val="17A376C1"/>
    <w:rsid w:val="17C740E7"/>
    <w:rsid w:val="18325BD2"/>
    <w:rsid w:val="1AC1EF26"/>
    <w:rsid w:val="1B4446B6"/>
    <w:rsid w:val="1BC2C618"/>
    <w:rsid w:val="1C5DBF87"/>
    <w:rsid w:val="1D9E83FC"/>
    <w:rsid w:val="1E3FE79D"/>
    <w:rsid w:val="1E96DC22"/>
    <w:rsid w:val="1F94BD6A"/>
    <w:rsid w:val="2293B648"/>
    <w:rsid w:val="22E62968"/>
    <w:rsid w:val="233392B6"/>
    <w:rsid w:val="265FC15B"/>
    <w:rsid w:val="2A813148"/>
    <w:rsid w:val="2F49CE5A"/>
    <w:rsid w:val="3390B751"/>
    <w:rsid w:val="35AD301E"/>
    <w:rsid w:val="35B6FCB0"/>
    <w:rsid w:val="35CD0D3C"/>
    <w:rsid w:val="37C0AD92"/>
    <w:rsid w:val="38427C14"/>
    <w:rsid w:val="39412B82"/>
    <w:rsid w:val="3A3CD266"/>
    <w:rsid w:val="3A53036D"/>
    <w:rsid w:val="3CE78EEF"/>
    <w:rsid w:val="3DE0173F"/>
    <w:rsid w:val="3DF91C71"/>
    <w:rsid w:val="41CC8375"/>
    <w:rsid w:val="41D30448"/>
    <w:rsid w:val="43E1201D"/>
    <w:rsid w:val="4510E69A"/>
    <w:rsid w:val="4533D91D"/>
    <w:rsid w:val="49FC5DC5"/>
    <w:rsid w:val="4AAA8C8D"/>
    <w:rsid w:val="4D65AC0C"/>
    <w:rsid w:val="4DC69808"/>
    <w:rsid w:val="4FA27BF8"/>
    <w:rsid w:val="5142EEFD"/>
    <w:rsid w:val="544C4998"/>
    <w:rsid w:val="57BC259A"/>
    <w:rsid w:val="59778AB0"/>
    <w:rsid w:val="5A4A21D8"/>
    <w:rsid w:val="5B9B50B1"/>
    <w:rsid w:val="5BE1B99A"/>
    <w:rsid w:val="5E9E1028"/>
    <w:rsid w:val="61CA3ECD"/>
    <w:rsid w:val="628BD8E5"/>
    <w:rsid w:val="63600AE1"/>
    <w:rsid w:val="66545673"/>
    <w:rsid w:val="681A53A7"/>
    <w:rsid w:val="6A9F9B41"/>
    <w:rsid w:val="6B984C1E"/>
    <w:rsid w:val="70087945"/>
    <w:rsid w:val="7151E1D3"/>
    <w:rsid w:val="721C1EC9"/>
    <w:rsid w:val="7386D50B"/>
    <w:rsid w:val="75742912"/>
    <w:rsid w:val="780F9DA7"/>
    <w:rsid w:val="78F34045"/>
    <w:rsid w:val="79DF3255"/>
    <w:rsid w:val="7A347991"/>
    <w:rsid w:val="7D548AB4"/>
    <w:rsid w:val="7DF7AB87"/>
    <w:rsid w:val="7E8E7E1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F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2617E44"/>
  </w:style>
  <w:style w:type="character" w:styleId="Hyperlink">
    <w:name w:val="Hyperlink"/>
    <w:basedOn w:val="DefaultParagraphFont"/>
    <w:uiPriority w:val="99"/>
    <w:unhideWhenUsed/>
    <w:rPr>
      <w:color w:val="0563C1" w:themeColor="hyperlink"/>
      <w:u w:val="single"/>
    </w:rPr>
  </w:style>
  <w:style w:type="character" w:customStyle="1"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customStyle="1" w:styleId="normaltextrun">
    <w:name w:val="normaltextrun"/>
    <w:basedOn w:val="DefaultParagraphFont"/>
    <w:qFormat/>
    <w:rsid w:val="76610C73"/>
  </w:style>
  <w:style w:type="character" w:customStyle="1" w:styleId="hgkelc">
    <w:name w:val="hgkelc"/>
    <w:basedOn w:val="DefaultParagraphFont"/>
    <w:uiPriority w:val="1"/>
    <w:qFormat/>
    <w:rsid w:val="5326BCC5"/>
  </w:style>
  <w:style w:type="character" w:styleId="CommentReference">
    <w:name w:val="annotation reference"/>
    <w:basedOn w:val="DefaultParagraphFont"/>
    <w:unhideWhenUsed/>
    <w:qFormat/>
    <w:rsid w:val="00FC53E9"/>
    <w:rPr>
      <w:sz w:val="16"/>
      <w:szCs w:val="16"/>
    </w:rPr>
  </w:style>
  <w:style w:type="character" w:customStyle="1" w:styleId="CommentTextChar">
    <w:name w:val="Comment Text Char"/>
    <w:basedOn w:val="DefaultParagraphFont"/>
    <w:link w:val="CommentText"/>
    <w:qFormat/>
    <w:rsid w:val="00FC53E9"/>
    <w:rPr>
      <w:sz w:val="20"/>
      <w:szCs w:val="20"/>
    </w:rPr>
  </w:style>
  <w:style w:type="character" w:customStyle="1" w:styleId="CommentSubjectChar">
    <w:name w:val="Comment Subject Char"/>
    <w:basedOn w:val="CommentTextChar"/>
    <w:link w:val="CommentSubject"/>
    <w:uiPriority w:val="99"/>
    <w:semiHidden/>
    <w:qFormat/>
    <w:rsid w:val="00FC53E9"/>
    <w:rPr>
      <w:b/>
      <w:bCs/>
      <w:sz w:val="20"/>
      <w:szCs w:val="20"/>
    </w:rPr>
  </w:style>
  <w:style w:type="character" w:styleId="UnresolvedMention">
    <w:name w:val="Unresolved Mention"/>
    <w:basedOn w:val="DefaultParagraphFont"/>
    <w:uiPriority w:val="99"/>
    <w:semiHidden/>
    <w:unhideWhenUsed/>
    <w:qFormat/>
    <w:rsid w:val="00FC53E9"/>
    <w:rPr>
      <w:color w:val="605E5C"/>
      <w:shd w:val="clear" w:color="auto" w:fill="E1DFDD"/>
    </w:rPr>
  </w:style>
  <w:style w:type="character" w:customStyle="1" w:styleId="EndnoteTextChar">
    <w:name w:val="Endnote Text Char"/>
    <w:basedOn w:val="DefaultParagraphFont"/>
    <w:link w:val="EndnoteText"/>
    <w:uiPriority w:val="99"/>
    <w:semiHidden/>
    <w:qFormat/>
    <w:rsid w:val="00897CB4"/>
    <w:rPr>
      <w:sz w:val="20"/>
      <w:szCs w:val="20"/>
    </w:rPr>
  </w:style>
  <w:style w:type="character" w:customStyle="1" w:styleId="EndnoteCharacters">
    <w:name w:val="Endnote Characters"/>
    <w:basedOn w:val="DefaultParagraphFont"/>
    <w:uiPriority w:val="99"/>
    <w:semiHidden/>
    <w:unhideWhenUsed/>
    <w:qFormat/>
    <w:rsid w:val="00897CB4"/>
    <w:rPr>
      <w:vertAlign w:val="superscript"/>
    </w:rPr>
  </w:style>
  <w:style w:type="character" w:styleId="EndnoteReference">
    <w:name w:val="endnote reference"/>
    <w:rPr>
      <w:vertAlign w:val="superscript"/>
    </w:rPr>
  </w:style>
  <w:style w:type="character" w:customStyle="1" w:styleId="FootnoteTextChar">
    <w:name w:val="Footnote Text Char"/>
    <w:basedOn w:val="DefaultParagraphFont"/>
    <w:link w:val="FootnoteText"/>
    <w:uiPriority w:val="99"/>
    <w:semiHidden/>
    <w:qFormat/>
    <w:rsid w:val="00EC0B76"/>
    <w:rPr>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pPr>
      <w:ind w:left="720"/>
      <w:contextualSpacing/>
    </w:pPr>
  </w:style>
  <w:style w:type="paragraph" w:customStyle="1" w:styleId="paragraph">
    <w:name w:val="paragraph"/>
    <w:basedOn w:val="Normal"/>
    <w:qFormat/>
    <w:rsid w:val="76610C73"/>
    <w:pPr>
      <w:spacing w:beforeAutospacing="1" w:afterAutospacing="1"/>
    </w:pPr>
    <w:rPr>
      <w:rFonts w:ascii="Times New Roman" w:eastAsia="Times New Roman" w:hAnsi="Times New Roman" w:cs="Times New Roman"/>
      <w:sz w:val="24"/>
      <w:szCs w:val="24"/>
      <w:lang w:eastAsia="es-ES"/>
    </w:rPr>
  </w:style>
  <w:style w:type="paragraph" w:customStyle="1" w:styleId="sangria">
    <w:name w:val="sangria"/>
    <w:basedOn w:val="Normal"/>
    <w:uiPriority w:val="1"/>
    <w:qFormat/>
    <w:rsid w:val="76610C73"/>
    <w:pPr>
      <w:spacing w:beforeAutospacing="1" w:afterAutospacing="1"/>
    </w:pPr>
    <w:rPr>
      <w:rFonts w:ascii="Times New Roman" w:eastAsia="Times New Roman" w:hAnsi="Times New Roman" w:cs="Times New Roman"/>
      <w:sz w:val="24"/>
      <w:szCs w:val="24"/>
      <w:lang w:eastAsia="es-ES"/>
    </w:rPr>
  </w:style>
  <w:style w:type="paragraph" w:customStyle="1" w:styleId="guionPF2">
    <w:name w:val="guionPF_2"/>
    <w:basedOn w:val="Normal"/>
    <w:uiPriority w:val="1"/>
    <w:qFormat/>
    <w:rsid w:val="5A086EAC"/>
    <w:pPr>
      <w:keepLines/>
      <w:numPr>
        <w:ilvl w:val="1"/>
        <w:numId w:val="4"/>
      </w:numPr>
      <w:spacing w:before="60" w:after="60"/>
      <w:ind w:left="720"/>
      <w:jc w:val="both"/>
    </w:pPr>
    <w:rPr>
      <w:rFonts w:ascii="Century Gothic" w:eastAsiaTheme="minorEastAsia" w:hAnsi="Century Gothic" w:cs="Arial"/>
      <w:lang w:eastAsia="zh-CN"/>
    </w:rPr>
  </w:style>
  <w:style w:type="paragraph" w:styleId="CommentText">
    <w:name w:val="annotation text"/>
    <w:basedOn w:val="Normal"/>
    <w:link w:val="CommentTextChar"/>
    <w:unhideWhenUsed/>
    <w:qFormat/>
    <w:rsid w:val="00FC53E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C53E9"/>
    <w:rPr>
      <w:b/>
      <w:bCs/>
    </w:rPr>
  </w:style>
  <w:style w:type="paragraph" w:customStyle="1" w:styleId="caption1">
    <w:name w:val="caption1"/>
    <w:basedOn w:val="Normal"/>
    <w:next w:val="Normal"/>
    <w:uiPriority w:val="35"/>
    <w:unhideWhenUsed/>
    <w:qFormat/>
    <w:rsid w:val="0051788D"/>
    <w:pPr>
      <w:keepLines/>
      <w:spacing w:after="200" w:line="240" w:lineRule="auto"/>
      <w:jc w:val="both"/>
    </w:pPr>
    <w:rPr>
      <w:rFonts w:ascii="Century Gothic" w:hAnsi="Century Gothic"/>
      <w:i/>
      <w:iCs/>
      <w:color w:val="44546A" w:themeColor="text2"/>
      <w:sz w:val="18"/>
      <w:szCs w:val="18"/>
    </w:rPr>
  </w:style>
  <w:style w:type="paragraph" w:styleId="Revision">
    <w:name w:val="Revision"/>
    <w:uiPriority w:val="99"/>
    <w:semiHidden/>
    <w:qFormat/>
    <w:rsid w:val="00F05DCF"/>
  </w:style>
  <w:style w:type="paragraph" w:styleId="EndnoteText">
    <w:name w:val="endnote text"/>
    <w:basedOn w:val="Normal"/>
    <w:link w:val="EndnoteTextChar"/>
    <w:uiPriority w:val="99"/>
    <w:semiHidden/>
    <w:unhideWhenUsed/>
    <w:rsid w:val="00897CB4"/>
    <w:pPr>
      <w:spacing w:after="0" w:line="240" w:lineRule="auto"/>
    </w:pPr>
    <w:rPr>
      <w:sz w:val="20"/>
      <w:szCs w:val="20"/>
    </w:rPr>
  </w:style>
  <w:style w:type="paragraph" w:styleId="FootnoteText">
    <w:name w:val="footnote text"/>
    <w:basedOn w:val="Normal"/>
    <w:link w:val="FootnoteTextChar"/>
    <w:uiPriority w:val="99"/>
    <w:semiHidden/>
    <w:unhideWhenUsed/>
    <w:rsid w:val="00EC0B76"/>
    <w:pPr>
      <w:spacing w:after="0" w:line="240" w:lineRule="auto"/>
    </w:pPr>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rsid w:val="00560F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0F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C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CC9"/>
  </w:style>
  <w:style w:type="paragraph" w:styleId="Footer">
    <w:name w:val="footer"/>
    <w:basedOn w:val="Normal"/>
    <w:link w:val="FooterChar"/>
    <w:uiPriority w:val="99"/>
    <w:unhideWhenUsed/>
    <w:rsid w:val="001C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CC9"/>
  </w:style>
  <w:style w:type="character" w:styleId="FollowedHyperlink">
    <w:name w:val="FollowedHyperlink"/>
    <w:basedOn w:val="DefaultParagraphFont"/>
    <w:uiPriority w:val="99"/>
    <w:semiHidden/>
    <w:unhideWhenUsed/>
    <w:rsid w:val="00DB3B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977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rrodl.org/index.php/irrodl/index"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educacion.gob.ec/informacion-educativa/" TargetMode="External"/><Relationship Id="rId18" Type="http://schemas.openxmlformats.org/officeDocument/2006/relationships/hyperlink" Target="https://doi.org/10.1080/01587919.2020.176316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944/ried.26.1.36081" TargetMode="External"/><Relationship Id="rId7" Type="http://schemas.openxmlformats.org/officeDocument/2006/relationships/endnotes" Target="endnotes.xml"/><Relationship Id="rId12" Type="http://schemas.openxmlformats.org/officeDocument/2006/relationships/hyperlink" Target="https://educacion.gob.ec/informacion-educativa/" TargetMode="External"/><Relationship Id="rId17" Type="http://schemas.openxmlformats.org/officeDocument/2006/relationships/hyperlink" Target="https://er.educause.edu/articles/2020/3/the-difference-between-emergency-remote-teaching-and-online-learning" TargetMode="External"/><Relationship Id="rId25" Type="http://schemas.openxmlformats.org/officeDocument/2006/relationships/hyperlink" Target="https://doi.org/10.14742/ajet.29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9173/irrodl.v24i4.7219&#160;" TargetMode="External"/><Relationship Id="rId20" Type="http://schemas.openxmlformats.org/officeDocument/2006/relationships/hyperlink" Target="https://doi.org/10.1109/TLT.2017.269068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tencyassessment.profuturo.education/?lang=en" TargetMode="External"/><Relationship Id="rId24" Type="http://schemas.openxmlformats.org/officeDocument/2006/relationships/hyperlink" Target="https://doi.org/10.3389/fpsyg.2022.8523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utt.ly/ufffokG" TargetMode="External"/><Relationship Id="rId23" Type="http://schemas.openxmlformats.org/officeDocument/2006/relationships/hyperlink" Target="http://doi.org/10.18844/wjet.v7i3"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24059/olj.v25i4.2570"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ducacion.gob.ec/informacion-educativa/" TargetMode="External"/><Relationship Id="rId22" Type="http://schemas.openxmlformats.org/officeDocument/2006/relationships/hyperlink" Target="https://doi.org/10.1093/ahr/rhac14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89A19-6863-4F09-95E6-E709A01D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6309</Words>
  <Characters>37100</Characters>
  <Application>Microsoft Office Word</Application>
  <DocSecurity>0</DocSecurity>
  <Lines>1325</Lines>
  <Paragraphs>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2024-03-19T16:43:00Z</dcterms:created>
  <dcterms:modified xsi:type="dcterms:W3CDTF">2024-04-15T06:45:00Z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141ac27781882696539ed99fa2282d63d4fb2a499752a3b65e2c702fffc8920d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ies>
</file>