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b/>
          <w:noProof/>
          <w:sz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666750"/>
            <wp:effectExtent l="19050" t="0" r="0" b="0"/>
            <wp:wrapNone/>
            <wp:docPr id="2" name="Picture 1" descr="C:\Users\DEL\Pictures\LOGO IAIN RESMI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Pictures\LOGO IAIN RESMI 2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303">
        <w:rPr>
          <w:rFonts w:ascii="Times New Roman" w:hAnsi="Times New Roman" w:cs="Times New Roman"/>
          <w:b/>
          <w:sz w:val="34"/>
          <w:lang w:val="sv-SE"/>
        </w:rPr>
        <w:t xml:space="preserve">             </w:t>
      </w:r>
      <w:r w:rsidRPr="00767303">
        <w:rPr>
          <w:rFonts w:ascii="Times New Roman" w:hAnsi="Times New Roman" w:cs="Times New Roman"/>
          <w:b/>
          <w:sz w:val="32"/>
          <w:szCs w:val="32"/>
          <w:lang w:val="sv-SE"/>
        </w:rPr>
        <w:t>KEMENTERIAN AGAMA</w:t>
      </w:r>
    </w:p>
    <w:p w:rsidR="00E35206" w:rsidRPr="00767303" w:rsidRDefault="00E35206" w:rsidP="00E35206">
      <w:pPr>
        <w:spacing w:after="0" w:line="240" w:lineRule="auto"/>
        <w:ind w:right="-1234"/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sz w:val="32"/>
          <w:szCs w:val="32"/>
        </w:rPr>
        <w:t xml:space="preserve"> INSTITUT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 xml:space="preserve"> AGAMA ISLAM NEGERI (</w:t>
      </w:r>
      <w:r w:rsidRPr="00767303">
        <w:rPr>
          <w:rFonts w:ascii="Times New Roman" w:hAnsi="Times New Roman" w:cs="Times New Roman"/>
          <w:sz w:val="32"/>
          <w:szCs w:val="32"/>
        </w:rPr>
        <w:t>I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>AIN) BENGKULU</w:t>
      </w:r>
    </w:p>
    <w:p w:rsidR="00E35206" w:rsidRPr="00767303" w:rsidRDefault="00BE527D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218440</wp:posOffset>
                </wp:positionV>
                <wp:extent cx="6394450" cy="0"/>
                <wp:effectExtent l="9525" t="9525" r="6350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7.2pt" to="48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yl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"/>
            </w:pict>
          </mc:Fallback>
        </mc:AlternateConten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             FAKULTAS</w:t>
      </w:r>
      <w:r w:rsidR="00E35206" w:rsidRPr="00767303">
        <w:rPr>
          <w:rFonts w:ascii="Times New Roman" w:hAnsi="Times New Roman" w:cs="Times New Roman"/>
          <w:b/>
          <w:sz w:val="32"/>
          <w:szCs w:val="32"/>
          <w:lang w:val="sv-SE"/>
        </w:rPr>
        <w:t xml:space="preserve"> TARBIYAH</w: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DAN TADRIS</w:t>
      </w:r>
    </w:p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 w:rsidRPr="00767303">
        <w:rPr>
          <w:rFonts w:ascii="Times New Roman" w:hAnsi="Times New Roman" w:cs="Times New Roman"/>
          <w:i/>
          <w:lang w:val="sv-SE"/>
        </w:rPr>
        <w:t xml:space="preserve">Alamat : </w:t>
      </w:r>
      <w:r w:rsidRPr="00767303">
        <w:rPr>
          <w:rFonts w:ascii="Times New Roman" w:hAnsi="Times New Roman" w:cs="Times New Roman"/>
          <w:lang w:val="sv-SE"/>
        </w:rPr>
        <w:t>Jln. Raden Fatah Pagar Dewa Telp. (0736) 51276, 51171 Fax (0736) 51171 Bengkulu</w:t>
      </w:r>
    </w:p>
    <w:p w:rsidR="00E35206" w:rsidRPr="00767303" w:rsidRDefault="00BE527D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93980</wp:posOffset>
                </wp:positionV>
                <wp:extent cx="6394450" cy="0"/>
                <wp:effectExtent l="38100" t="41275" r="44450" b="444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7.4pt" to="48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DE">
        <w:rPr>
          <w:rFonts w:ascii="Times New Roman" w:hAnsi="Times New Roman" w:cs="Times New Roman"/>
          <w:b/>
          <w:sz w:val="24"/>
          <w:szCs w:val="24"/>
          <w:u w:val="single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(RPS)</w:t>
      </w: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r w:rsidR="00F338E2">
        <w:rPr>
          <w:rFonts w:ascii="Times New Roman" w:hAnsi="Times New Roman" w:cs="Times New Roman"/>
          <w:sz w:val="24"/>
          <w:szCs w:val="24"/>
        </w:rPr>
        <w:t>SD / MI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87AB0">
        <w:rPr>
          <w:rFonts w:ascii="Times New Roman" w:hAnsi="Times New Roman" w:cs="Times New Roman"/>
          <w:sz w:val="24"/>
          <w:szCs w:val="24"/>
        </w:rPr>
        <w:t>GMI-510310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710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:rsidR="00E35206" w:rsidRPr="006B7A8F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710D9">
        <w:rPr>
          <w:rFonts w:ascii="Times New Roman" w:hAnsi="Times New Roman" w:cs="Times New Roman"/>
          <w:sz w:val="24"/>
          <w:szCs w:val="24"/>
        </w:rPr>
        <w:t xml:space="preserve">III </w:t>
      </w:r>
      <w:r w:rsidR="006B7A8F">
        <w:rPr>
          <w:rFonts w:ascii="Times New Roman" w:hAnsi="Times New Roman" w:cs="Times New Roman"/>
          <w:sz w:val="24"/>
          <w:szCs w:val="24"/>
        </w:rPr>
        <w:t>A, B, C</w:t>
      </w:r>
      <w:r w:rsidR="001F61A8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35977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1F61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35977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1F61A8">
        <w:rPr>
          <w:rFonts w:ascii="Times New Roman" w:hAnsi="Times New Roman" w:cs="Times New Roman"/>
          <w:sz w:val="24"/>
          <w:szCs w:val="24"/>
        </w:rPr>
        <w:t>6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Masrifa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S.Ag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266643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1379">
        <w:rPr>
          <w:rFonts w:ascii="Times New Roman" w:hAnsi="Times New Roman" w:cs="Times New Roman"/>
          <w:sz w:val="24"/>
          <w:szCs w:val="24"/>
        </w:rPr>
        <w:tab/>
        <w:t>:</w:t>
      </w:r>
      <w:r w:rsidRPr="005013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B71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0D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9"/>
        <w:gridCol w:w="1440"/>
        <w:gridCol w:w="6480"/>
      </w:tblGrid>
      <w:tr w:rsidR="00896A97" w:rsidTr="00AB4E26">
        <w:tc>
          <w:tcPr>
            <w:tcW w:w="1509" w:type="dxa"/>
            <w:vMerge w:val="restart"/>
          </w:tcPr>
          <w:p w:rsid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CP-MK</w:t>
            </w: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 </w:t>
            </w:r>
          </w:p>
        </w:tc>
        <w:tc>
          <w:tcPr>
            <w:tcW w:w="648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2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pembe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lajaran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3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4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– 5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6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faktor-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mempe</w:t>
            </w:r>
            <w:proofErr w:type="spellEnd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ngaruhi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7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0F">
              <w:rPr>
                <w:rFonts w:ascii="Times New Roman" w:hAnsi="Times New Roman" w:cs="Times New Roman"/>
                <w:sz w:val="24"/>
                <w:szCs w:val="24"/>
              </w:rPr>
              <w:t>keduduk</w:t>
            </w:r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8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UTS (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semester)</w:t>
            </w:r>
          </w:p>
        </w:tc>
      </w:tr>
      <w:tr w:rsidR="00B710D9" w:rsidTr="00AB4E26">
        <w:tc>
          <w:tcPr>
            <w:tcW w:w="1509" w:type="dxa"/>
            <w:vMerge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10D9" w:rsidRDefault="00B710D9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9 </w:t>
            </w:r>
          </w:p>
        </w:tc>
        <w:tc>
          <w:tcPr>
            <w:tcW w:w="6480" w:type="dxa"/>
          </w:tcPr>
          <w:p w:rsidR="00B710D9" w:rsidRPr="00B710D9" w:rsidRDefault="00B710D9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peman-faatan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10D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10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11 </w:t>
            </w:r>
          </w:p>
        </w:tc>
        <w:tc>
          <w:tcPr>
            <w:tcW w:w="6480" w:type="dxa"/>
          </w:tcPr>
          <w:p w:rsidR="00B95F0F" w:rsidRPr="00B95F0F" w:rsidRDefault="00B95F0F" w:rsidP="00BD7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12 </w:t>
            </w:r>
          </w:p>
        </w:tc>
        <w:tc>
          <w:tcPr>
            <w:tcW w:w="6480" w:type="dxa"/>
          </w:tcPr>
          <w:p w:rsidR="00B95F0F" w:rsidRPr="00B95F0F" w:rsidRDefault="00B95F0F" w:rsidP="00BD7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</w:t>
            </w:r>
            <w:r w:rsidR="00F338E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13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>atan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inovat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menyenang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14 </w:t>
            </w:r>
          </w:p>
        </w:tc>
        <w:tc>
          <w:tcPr>
            <w:tcW w:w="6480" w:type="dxa"/>
          </w:tcPr>
          <w:p w:rsidR="00B95F0F" w:rsidRPr="00B95F0F" w:rsidRDefault="00B95F0F" w:rsidP="00B95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15 </w:t>
            </w:r>
          </w:p>
        </w:tc>
        <w:tc>
          <w:tcPr>
            <w:tcW w:w="6480" w:type="dxa"/>
          </w:tcPr>
          <w:p w:rsidR="00B95F0F" w:rsidRPr="00896A97" w:rsidRDefault="00B95F0F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Riview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16 </w:t>
            </w:r>
          </w:p>
        </w:tc>
        <w:tc>
          <w:tcPr>
            <w:tcW w:w="6480" w:type="dxa"/>
          </w:tcPr>
          <w:p w:rsidR="00B95F0F" w:rsidRPr="00896A97" w:rsidRDefault="00B95F0F" w:rsidP="00896A97">
            <w:pPr>
              <w:tabs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UAS (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semester) </w:t>
            </w:r>
          </w:p>
        </w:tc>
      </w:tr>
      <w:tr w:rsidR="00B95F0F" w:rsidTr="00AB4E26">
        <w:tc>
          <w:tcPr>
            <w:tcW w:w="1509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B95F0F" w:rsidRDefault="00B95F0F" w:rsidP="00B95F0F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PAI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prasyarat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II (PPL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Micro Teaching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(PPL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II)</w:t>
            </w:r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aplikatif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media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. Mata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F0F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</w:tr>
      <w:tr w:rsidR="00B95F0F" w:rsidTr="00AB4E26">
        <w:tc>
          <w:tcPr>
            <w:tcW w:w="1509" w:type="dxa"/>
            <w:vMerge w:val="restart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B95F0F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="00B95F0F"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>atan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D2D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1D2DC8">
              <w:rPr>
                <w:rFonts w:ascii="Times New Roman" w:hAnsi="Times New Roman" w:cs="Times New Roman"/>
                <w:sz w:val="24"/>
                <w:szCs w:val="24"/>
              </w:rPr>
              <w:t>nyenangkan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  <w:vMerge w:val="restart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Gembrot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Pustakaraya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KTSP,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Pustakaraya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Ali, 2002,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Bandung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Algensindo</w:t>
            </w:r>
            <w:proofErr w:type="spellEnd"/>
          </w:p>
          <w:p w:rsidR="00B95F0F" w:rsidRPr="00E63B2D" w:rsidRDefault="00B95F0F" w:rsidP="00E63B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Suriyadi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Yogyakarta,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Cakrawala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Aswan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Cipta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Syafruddin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Basyiruddin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2002,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Jakarta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Ciputat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Press</w:t>
            </w:r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2C4599" w:rsidP="006635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35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Guru, Surabaya : Usaha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</w:p>
        </w:tc>
      </w:tr>
      <w:tr w:rsidR="00B95F0F" w:rsidTr="00AB4E26">
        <w:tc>
          <w:tcPr>
            <w:tcW w:w="1509" w:type="dxa"/>
            <w:vMerge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B95F0F" w:rsidRPr="00AB4E26" w:rsidRDefault="006635AA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2005, 2009, Bandung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</w:tr>
      <w:tr w:rsidR="006635AA" w:rsidTr="00AB4E26">
        <w:tc>
          <w:tcPr>
            <w:tcW w:w="1509" w:type="dxa"/>
          </w:tcPr>
          <w:p w:rsidR="006635AA" w:rsidRDefault="006635AA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6635AA" w:rsidRDefault="006635AA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95F0F" w:rsidTr="00AB4E26">
        <w:tc>
          <w:tcPr>
            <w:tcW w:w="1509" w:type="dxa"/>
          </w:tcPr>
          <w:p w:rsidR="00B95F0F" w:rsidRDefault="00B95F0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920" w:type="dxa"/>
            <w:gridSpan w:val="2"/>
          </w:tcPr>
          <w:p w:rsidR="00B95F0F" w:rsidRPr="00AB4E26" w:rsidRDefault="00B95F0F" w:rsidP="00DB6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proyektor</w:t>
            </w:r>
            <w:proofErr w:type="spellEnd"/>
          </w:p>
        </w:tc>
      </w:tr>
    </w:tbl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1890"/>
        <w:gridCol w:w="2790"/>
        <w:gridCol w:w="1800"/>
        <w:gridCol w:w="2430"/>
      </w:tblGrid>
      <w:tr w:rsidR="006635AA" w:rsidRPr="00496778" w:rsidTr="006635AA">
        <w:tc>
          <w:tcPr>
            <w:tcW w:w="54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Diharapkan</w:t>
            </w:r>
            <w:proofErr w:type="spellEnd"/>
          </w:p>
        </w:tc>
        <w:tc>
          <w:tcPr>
            <w:tcW w:w="2790" w:type="dxa"/>
            <w:vMerge w:val="restart"/>
            <w:vAlign w:val="center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  <w:proofErr w:type="spellEnd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Keberhasilan</w:t>
            </w:r>
            <w:proofErr w:type="spellEnd"/>
          </w:p>
        </w:tc>
        <w:tc>
          <w:tcPr>
            <w:tcW w:w="4230" w:type="dxa"/>
            <w:gridSpan w:val="2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</w:p>
        </w:tc>
      </w:tr>
      <w:tr w:rsidR="006635AA" w:rsidRPr="00496778" w:rsidTr="006635AA">
        <w:tc>
          <w:tcPr>
            <w:tcW w:w="54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Bahasan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Pr="00496778" w:rsidRDefault="006635AA" w:rsidP="00BD7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Bahasan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rumuskan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kon-sep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klasi-fikasi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  <w:p w:rsidR="006635AA" w:rsidRPr="00496778" w:rsidRDefault="006635AA" w:rsidP="006635AA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imple-mentasi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430" w:type="dxa"/>
          </w:tcPr>
          <w:p w:rsidR="006635AA" w:rsidRPr="00496778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496778" w:rsidRDefault="006635AA" w:rsidP="006635AA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haki-kat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 w:rsidRPr="00EC2BC8"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Pr="00496778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Pr="00903B16" w:rsidRDefault="006635AA" w:rsidP="006635AA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lang-kah-langkah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-jar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-jar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ke-lompok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edukatif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ber-variasi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bermaknaan</w:t>
            </w:r>
            <w:proofErr w:type="spellEnd"/>
          </w:p>
          <w:p w:rsidR="006635AA" w:rsidRPr="00066586" w:rsidRDefault="006635AA" w:rsidP="00BD734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edukatif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kebermaknaan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</w:t>
            </w: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berhasilan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Pembe-lajaran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-gas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penen-tuan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pemilihan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Be-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Kedu-dukan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B81561" w:rsidRDefault="006635AA" w:rsidP="006635AA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peman-faatan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bantu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pemilihan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>peng-gunaan</w:t>
            </w:r>
            <w:proofErr w:type="spellEnd"/>
            <w:r w:rsidRPr="00816FB8"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 cam-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balik</w:t>
            </w:r>
            <w:proofErr w:type="spellEnd"/>
          </w:p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635AA" w:rsidRPr="00A57A12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memancing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apersepsi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pemi-lihan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  <w:p w:rsidR="006635AA" w:rsidRDefault="006635AA" w:rsidP="006635AA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Um-pan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Memancing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apersepsi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moti-vasi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3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Pr="00066586" w:rsidRDefault="006635AA" w:rsidP="006635AA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Va-riasi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penggu-naan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Mahaisswa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berba-gai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Pr="00066586" w:rsidRDefault="006635AA" w:rsidP="006635AA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da-lam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pengelo-laan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:rsidR="006635AA" w:rsidRDefault="006635AA" w:rsidP="006635A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pengelo-laan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pende-k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atan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ye-nangkan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AB0" w:rsidRDefault="00187AB0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rtian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187AB0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askan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impli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kasi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Pem-belajaran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Ino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Kreatif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Menyenang-kan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</w:t>
            </w:r>
            <w:r w:rsidR="00187AB0">
              <w:rPr>
                <w:rFonts w:ascii="Times New Roman" w:hAnsi="Times New Roman" w:cs="Times New Roman"/>
                <w:sz w:val="20"/>
                <w:szCs w:val="20"/>
              </w:rPr>
              <w:t>rtian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7AB0"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 w:rsidR="0018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187AB0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35AA" w:rsidRDefault="00187AB0" w:rsidP="006635AA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paikem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5AA" w:rsidRPr="00496778" w:rsidTr="006635AA">
        <w:tc>
          <w:tcPr>
            <w:tcW w:w="54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9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2790" w:type="dxa"/>
          </w:tcPr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CTL (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contektual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teaching and le-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arning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inquiry training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contruktivisme</w:t>
            </w:r>
            <w:proofErr w:type="spellEnd"/>
          </w:p>
          <w:p w:rsidR="006635AA" w:rsidRDefault="006635AA" w:rsidP="00BD7342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635AA" w:rsidRDefault="006635AA" w:rsidP="00BD7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ngajar</w:t>
            </w:r>
            <w:proofErr w:type="spellEnd"/>
          </w:p>
        </w:tc>
        <w:tc>
          <w:tcPr>
            <w:tcW w:w="2430" w:type="dxa"/>
          </w:tcPr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-an CTL (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contektual</w:t>
            </w:r>
            <w:proofErr w:type="spellEnd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teaching and 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inquiry training</w:t>
            </w:r>
          </w:p>
          <w:p w:rsidR="006635AA" w:rsidRDefault="006635AA" w:rsidP="006635AA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Pr="00A5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AED">
              <w:rPr>
                <w:rFonts w:ascii="Times New Roman" w:hAnsi="Times New Roman" w:cs="Times New Roman"/>
                <w:i/>
                <w:sz w:val="20"/>
                <w:szCs w:val="20"/>
              </w:rPr>
              <w:t>contrukti-visme</w:t>
            </w:r>
            <w:proofErr w:type="spellEnd"/>
          </w:p>
          <w:p w:rsidR="006635AA" w:rsidRPr="00066586" w:rsidRDefault="006635AA" w:rsidP="00BD734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5288" w:rsidRDefault="003F5288" w:rsidP="001F61A8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1A8" w:rsidRDefault="001F61A8" w:rsidP="001F61A8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left" w:pos="5760"/>
          <w:tab w:val="center" w:pos="720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Bengkulu, </w:t>
      </w:r>
      <w:r w:rsidR="001F61A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1A8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F61A8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3F5288" w:rsidRDefault="003F5288" w:rsidP="003F5288">
      <w:pPr>
        <w:pStyle w:val="ListParagraph"/>
        <w:tabs>
          <w:tab w:val="left" w:pos="576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Pr="00C210EF" w:rsidRDefault="003F5288" w:rsidP="006A28D3">
      <w:pPr>
        <w:pStyle w:val="ListParagraph"/>
        <w:tabs>
          <w:tab w:val="center" w:pos="2160"/>
          <w:tab w:val="left" w:pos="5760"/>
          <w:tab w:val="center" w:pos="72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Masrifa</w:t>
      </w:r>
      <w:proofErr w:type="spellEnd"/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Hidayani</w:t>
      </w:r>
      <w:proofErr w:type="spellEnd"/>
      <w:proofErr w:type="gramStart"/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 w:rsidR="006A28D3">
        <w:rPr>
          <w:rFonts w:ascii="Times New Roman" w:hAnsi="Times New Roman" w:cs="Times New Roman"/>
          <w:sz w:val="24"/>
          <w:szCs w:val="24"/>
          <w:u w:val="single"/>
        </w:rPr>
        <w:t>S</w:t>
      </w:r>
      <w:proofErr w:type="gramEnd"/>
      <w:r w:rsidR="006A28D3">
        <w:rPr>
          <w:rFonts w:ascii="Times New Roman" w:hAnsi="Times New Roman" w:cs="Times New Roman"/>
          <w:sz w:val="24"/>
          <w:szCs w:val="24"/>
          <w:u w:val="single"/>
        </w:rPr>
        <w:t xml:space="preserve">. Ag., </w:t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M.Pd</w:t>
      </w:r>
      <w:proofErr w:type="spellEnd"/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720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197506302009012004</w:t>
      </w:r>
    </w:p>
    <w:p w:rsidR="00043635" w:rsidRPr="00E35206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sectPr w:rsidR="00043635" w:rsidRPr="00E35206" w:rsidSect="006A28D3">
      <w:footerReference w:type="default" r:id="rId10"/>
      <w:pgSz w:w="12240" w:h="20160" w:code="5"/>
      <w:pgMar w:top="1440" w:right="1440" w:bottom="1440" w:left="1440" w:header="720" w:footer="28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FE" w:rsidRDefault="00E12CFE" w:rsidP="00507D80">
      <w:pPr>
        <w:spacing w:after="0" w:line="240" w:lineRule="auto"/>
      </w:pPr>
      <w:r>
        <w:separator/>
      </w:r>
    </w:p>
  </w:endnote>
  <w:endnote w:type="continuationSeparator" w:id="0">
    <w:p w:rsidR="00E12CFE" w:rsidRDefault="00E12CFE" w:rsidP="0050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5473"/>
      <w:docPartObj>
        <w:docPartGallery w:val="Page Numbers (Bottom of Page)"/>
        <w:docPartUnique/>
      </w:docPartObj>
    </w:sdtPr>
    <w:sdtEndPr/>
    <w:sdtContent>
      <w:p w:rsidR="00507D80" w:rsidRDefault="00E50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1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07D80" w:rsidRDefault="00507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FE" w:rsidRDefault="00E12CFE" w:rsidP="00507D80">
      <w:pPr>
        <w:spacing w:after="0" w:line="240" w:lineRule="auto"/>
      </w:pPr>
      <w:r>
        <w:separator/>
      </w:r>
    </w:p>
  </w:footnote>
  <w:footnote w:type="continuationSeparator" w:id="0">
    <w:p w:rsidR="00E12CFE" w:rsidRDefault="00E12CFE" w:rsidP="0050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51B"/>
    <w:multiLevelType w:val="hybridMultilevel"/>
    <w:tmpl w:val="0D3AAC96"/>
    <w:lvl w:ilvl="0" w:tplc="77EC1E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796188"/>
    <w:multiLevelType w:val="hybridMultilevel"/>
    <w:tmpl w:val="C8E4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8D4"/>
    <w:multiLevelType w:val="hybridMultilevel"/>
    <w:tmpl w:val="2A602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74A54"/>
    <w:multiLevelType w:val="hybridMultilevel"/>
    <w:tmpl w:val="932A39E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17D742D7"/>
    <w:multiLevelType w:val="hybridMultilevel"/>
    <w:tmpl w:val="E8349CA4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5">
    <w:nsid w:val="1968561C"/>
    <w:multiLevelType w:val="hybridMultilevel"/>
    <w:tmpl w:val="5066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07CB5"/>
    <w:multiLevelType w:val="hybridMultilevel"/>
    <w:tmpl w:val="EB14042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221E0F76"/>
    <w:multiLevelType w:val="hybridMultilevel"/>
    <w:tmpl w:val="C2EED9CA"/>
    <w:lvl w:ilvl="0" w:tplc="04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8">
    <w:nsid w:val="241628AF"/>
    <w:multiLevelType w:val="hybridMultilevel"/>
    <w:tmpl w:val="12EC3FB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7297B87"/>
    <w:multiLevelType w:val="hybridMultilevel"/>
    <w:tmpl w:val="840AD1B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27E0015E"/>
    <w:multiLevelType w:val="hybridMultilevel"/>
    <w:tmpl w:val="DD0C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5325"/>
    <w:multiLevelType w:val="hybridMultilevel"/>
    <w:tmpl w:val="2602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07221"/>
    <w:multiLevelType w:val="hybridMultilevel"/>
    <w:tmpl w:val="36B2CD08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3">
    <w:nsid w:val="2D305397"/>
    <w:multiLevelType w:val="hybridMultilevel"/>
    <w:tmpl w:val="34A4E14C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2F3E0769"/>
    <w:multiLevelType w:val="hybridMultilevel"/>
    <w:tmpl w:val="02E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F75AC"/>
    <w:multiLevelType w:val="hybridMultilevel"/>
    <w:tmpl w:val="2B76BD42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6">
    <w:nsid w:val="432526ED"/>
    <w:multiLevelType w:val="hybridMultilevel"/>
    <w:tmpl w:val="F43E863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496152D4"/>
    <w:multiLevelType w:val="hybridMultilevel"/>
    <w:tmpl w:val="9C947EF6"/>
    <w:lvl w:ilvl="0" w:tplc="98F6934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>
    <w:nsid w:val="4B437CDF"/>
    <w:multiLevelType w:val="hybridMultilevel"/>
    <w:tmpl w:val="781C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24A69"/>
    <w:multiLevelType w:val="hybridMultilevel"/>
    <w:tmpl w:val="A5C4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91078"/>
    <w:multiLevelType w:val="hybridMultilevel"/>
    <w:tmpl w:val="EDBA82D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531A4AC2"/>
    <w:multiLevelType w:val="hybridMultilevel"/>
    <w:tmpl w:val="8D2AE68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543A05E5"/>
    <w:multiLevelType w:val="hybridMultilevel"/>
    <w:tmpl w:val="89A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948D9"/>
    <w:multiLevelType w:val="hybridMultilevel"/>
    <w:tmpl w:val="93C44B76"/>
    <w:lvl w:ilvl="0" w:tplc="4AB21E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5BE933B9"/>
    <w:multiLevelType w:val="hybridMultilevel"/>
    <w:tmpl w:val="08BA3BA2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68AC6C4B"/>
    <w:multiLevelType w:val="hybridMultilevel"/>
    <w:tmpl w:val="7A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D15DD"/>
    <w:multiLevelType w:val="hybridMultilevel"/>
    <w:tmpl w:val="03A29946"/>
    <w:lvl w:ilvl="0" w:tplc="3F4C99F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6AE775C6"/>
    <w:multiLevelType w:val="hybridMultilevel"/>
    <w:tmpl w:val="E6E203F6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28">
    <w:nsid w:val="6B2943E7"/>
    <w:multiLevelType w:val="hybridMultilevel"/>
    <w:tmpl w:val="4C640F5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>
    <w:nsid w:val="71674ECD"/>
    <w:multiLevelType w:val="hybridMultilevel"/>
    <w:tmpl w:val="A89E357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>
    <w:nsid w:val="71FF0AF3"/>
    <w:multiLevelType w:val="hybridMultilevel"/>
    <w:tmpl w:val="7542CA6A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73332D38"/>
    <w:multiLevelType w:val="hybridMultilevel"/>
    <w:tmpl w:val="02A4B1C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7C285C4D"/>
    <w:multiLevelType w:val="hybridMultilevel"/>
    <w:tmpl w:val="C146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4"/>
  </w:num>
  <w:num w:numId="4">
    <w:abstractNumId w:val="1"/>
  </w:num>
  <w:num w:numId="5">
    <w:abstractNumId w:val="19"/>
  </w:num>
  <w:num w:numId="6">
    <w:abstractNumId w:val="18"/>
  </w:num>
  <w:num w:numId="7">
    <w:abstractNumId w:val="8"/>
  </w:num>
  <w:num w:numId="8">
    <w:abstractNumId w:val="16"/>
  </w:num>
  <w:num w:numId="9">
    <w:abstractNumId w:val="17"/>
  </w:num>
  <w:num w:numId="10">
    <w:abstractNumId w:val="10"/>
  </w:num>
  <w:num w:numId="11">
    <w:abstractNumId w:val="13"/>
  </w:num>
  <w:num w:numId="12">
    <w:abstractNumId w:val="6"/>
  </w:num>
  <w:num w:numId="13">
    <w:abstractNumId w:val="25"/>
  </w:num>
  <w:num w:numId="14">
    <w:abstractNumId w:val="22"/>
  </w:num>
  <w:num w:numId="15">
    <w:abstractNumId w:val="28"/>
  </w:num>
  <w:num w:numId="16">
    <w:abstractNumId w:val="3"/>
  </w:num>
  <w:num w:numId="17">
    <w:abstractNumId w:val="20"/>
  </w:num>
  <w:num w:numId="18">
    <w:abstractNumId w:val="9"/>
  </w:num>
  <w:num w:numId="19">
    <w:abstractNumId w:val="23"/>
  </w:num>
  <w:num w:numId="20">
    <w:abstractNumId w:val="26"/>
  </w:num>
  <w:num w:numId="21">
    <w:abstractNumId w:val="0"/>
  </w:num>
  <w:num w:numId="22">
    <w:abstractNumId w:val="24"/>
  </w:num>
  <w:num w:numId="23">
    <w:abstractNumId w:val="29"/>
  </w:num>
  <w:num w:numId="24">
    <w:abstractNumId w:val="21"/>
  </w:num>
  <w:num w:numId="25">
    <w:abstractNumId w:val="31"/>
  </w:num>
  <w:num w:numId="26">
    <w:abstractNumId w:val="30"/>
  </w:num>
  <w:num w:numId="27">
    <w:abstractNumId w:val="5"/>
  </w:num>
  <w:num w:numId="28">
    <w:abstractNumId w:val="4"/>
  </w:num>
  <w:num w:numId="29">
    <w:abstractNumId w:val="12"/>
  </w:num>
  <w:num w:numId="30">
    <w:abstractNumId w:val="27"/>
  </w:num>
  <w:num w:numId="31">
    <w:abstractNumId w:val="2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06"/>
    <w:rsid w:val="00043635"/>
    <w:rsid w:val="00045AF2"/>
    <w:rsid w:val="00175E3F"/>
    <w:rsid w:val="00187AB0"/>
    <w:rsid w:val="001B3974"/>
    <w:rsid w:val="001D2DC8"/>
    <w:rsid w:val="001F61A8"/>
    <w:rsid w:val="00266643"/>
    <w:rsid w:val="0026764A"/>
    <w:rsid w:val="002C4599"/>
    <w:rsid w:val="003662BF"/>
    <w:rsid w:val="003F5288"/>
    <w:rsid w:val="00507D80"/>
    <w:rsid w:val="00604B9B"/>
    <w:rsid w:val="006635AA"/>
    <w:rsid w:val="006A28D3"/>
    <w:rsid w:val="006B7A8F"/>
    <w:rsid w:val="00707C5F"/>
    <w:rsid w:val="00795440"/>
    <w:rsid w:val="00896A97"/>
    <w:rsid w:val="00A20E37"/>
    <w:rsid w:val="00AB4E26"/>
    <w:rsid w:val="00B710D9"/>
    <w:rsid w:val="00B95F0F"/>
    <w:rsid w:val="00BE527D"/>
    <w:rsid w:val="00C440A0"/>
    <w:rsid w:val="00DB3441"/>
    <w:rsid w:val="00DF156F"/>
    <w:rsid w:val="00E12CFE"/>
    <w:rsid w:val="00E35206"/>
    <w:rsid w:val="00E35977"/>
    <w:rsid w:val="00E50BB3"/>
    <w:rsid w:val="00E63B2D"/>
    <w:rsid w:val="00E80C2F"/>
    <w:rsid w:val="00ED02B0"/>
    <w:rsid w:val="00F054ED"/>
    <w:rsid w:val="00F338E2"/>
    <w:rsid w:val="00FC1D93"/>
    <w:rsid w:val="00FD27F6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446C-C89B-4CF3-855E-E9CC35C3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2018-09-17T04:53:00Z</cp:lastPrinted>
  <dcterms:created xsi:type="dcterms:W3CDTF">2025-08-19T01:16:00Z</dcterms:created>
  <dcterms:modified xsi:type="dcterms:W3CDTF">2025-08-19T01:18:00Z</dcterms:modified>
</cp:coreProperties>
</file>