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16" w:type="dxa"/>
        <w:jc w:val="center"/>
        <w:tblLook w:val="04A0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EA292E" w:rsidTr="0076637C">
        <w:trPr>
          <w:jc w:val="center"/>
        </w:trPr>
        <w:tc>
          <w:tcPr>
            <w:tcW w:w="1950" w:type="dxa"/>
          </w:tcPr>
          <w:p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DC1DB4" w:rsidRPr="00E433EA" w:rsidRDefault="00DC1DB4" w:rsidP="00E433E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INSTITUT AGAMA ISLAM NEGERI BENGKULU</w:t>
            </w:r>
          </w:p>
          <w:p w:rsidR="00DC1DB4" w:rsidRPr="00E433EA" w:rsidRDefault="00DC1DB4" w:rsidP="004700E1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 w:rsidR="004700E1">
              <w:rPr>
                <w:rFonts w:asciiTheme="minorBidi" w:hAnsiTheme="minorBidi"/>
                <w:b/>
                <w:sz w:val="28"/>
                <w:szCs w:val="28"/>
              </w:rPr>
              <w:t>TARBIYAH DAN TADRIS</w:t>
            </w:r>
          </w:p>
          <w:p w:rsidR="00DC1DB4" w:rsidRPr="00EA292E" w:rsidRDefault="004A7ED9" w:rsidP="004700E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PROGRAM STUDI </w:t>
            </w:r>
            <w:r w:rsidR="004700E1">
              <w:rPr>
                <w:rFonts w:asciiTheme="minorBidi" w:hAnsiTheme="minorBidi"/>
                <w:b/>
                <w:sz w:val="28"/>
                <w:szCs w:val="28"/>
              </w:rPr>
              <w:t>PENDIDIKAN AGAMA ISLAM</w:t>
            </w:r>
          </w:p>
        </w:tc>
      </w:tr>
      <w:tr w:rsidR="00DC1DB4" w:rsidRPr="00E433EA" w:rsidTr="0076637C">
        <w:trPr>
          <w:jc w:val="center"/>
        </w:trPr>
        <w:tc>
          <w:tcPr>
            <w:tcW w:w="13716" w:type="dxa"/>
            <w:gridSpan w:val="9"/>
          </w:tcPr>
          <w:p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E433EA" w:rsidTr="007224FD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4B18D8" w:rsidRPr="00E433E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4B18D8" w:rsidRPr="00E433EA" w:rsidTr="0076637C">
        <w:trPr>
          <w:jc w:val="center"/>
        </w:trPr>
        <w:tc>
          <w:tcPr>
            <w:tcW w:w="3085" w:type="dxa"/>
            <w:gridSpan w:val="2"/>
          </w:tcPr>
          <w:p w:rsidR="004B18D8" w:rsidRPr="004700E1" w:rsidRDefault="004700E1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>
              <w:rPr>
                <w:rFonts w:asciiTheme="minorBidi" w:hAnsiTheme="minorBidi"/>
                <w:b/>
                <w:bCs/>
                <w:sz w:val="22"/>
              </w:rPr>
              <w:t>ALQURAN HADITS</w:t>
            </w:r>
          </w:p>
        </w:tc>
        <w:tc>
          <w:tcPr>
            <w:tcW w:w="1417" w:type="dxa"/>
            <w:gridSpan w:val="2"/>
          </w:tcPr>
          <w:p w:rsidR="004B18D8" w:rsidRPr="00E433EA" w:rsidRDefault="004B18D8" w:rsidP="00F8466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2127" w:type="dxa"/>
            <w:gridSpan w:val="2"/>
          </w:tcPr>
          <w:p w:rsidR="004B18D8" w:rsidRPr="00E433EA" w:rsidRDefault="004700E1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KURIKULUM PAI 2017</w:t>
            </w:r>
          </w:p>
        </w:tc>
        <w:tc>
          <w:tcPr>
            <w:tcW w:w="1842" w:type="dxa"/>
          </w:tcPr>
          <w:p w:rsidR="004B18D8" w:rsidRPr="00E433EA" w:rsidRDefault="004700E1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2 SKS</w:t>
            </w:r>
          </w:p>
        </w:tc>
        <w:tc>
          <w:tcPr>
            <w:tcW w:w="1843" w:type="dxa"/>
          </w:tcPr>
          <w:p w:rsidR="004B18D8" w:rsidRPr="00E433EA" w:rsidRDefault="004700E1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2 B</w:t>
            </w:r>
          </w:p>
        </w:tc>
        <w:tc>
          <w:tcPr>
            <w:tcW w:w="3402" w:type="dxa"/>
          </w:tcPr>
          <w:p w:rsidR="004B18D8" w:rsidRPr="00E433EA" w:rsidRDefault="004700E1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MARET 2021</w:t>
            </w:r>
          </w:p>
        </w:tc>
      </w:tr>
      <w:tr w:rsidR="004B18D8" w:rsidRPr="00E433EA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:rsidR="004B18D8" w:rsidRPr="00E433EA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umpun Keilmuan/ </w:t>
            </w:r>
            <w:r w:rsidRPr="00E433EA">
              <w:rPr>
                <w:rFonts w:asciiTheme="minorBidi" w:hAnsiTheme="minorBidi"/>
                <w:b/>
                <w:sz w:val="22"/>
              </w:rPr>
              <w:t>M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ata </w:t>
            </w:r>
            <w:r w:rsidRPr="00E433EA">
              <w:rPr>
                <w:rFonts w:asciiTheme="minorBidi" w:hAnsiTheme="minorBidi"/>
                <w:b/>
                <w:sz w:val="22"/>
              </w:rPr>
              <w:t>K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4B18D8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1A60" w:rsidRDefault="004700E1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AZIZ A ARYATI, M.Ag.</w:t>
            </w:r>
          </w:p>
          <w:p w:rsidR="00D61A60" w:rsidRPr="00EA292E" w:rsidRDefault="00D61A6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EA292E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85" w:type="dxa"/>
            <w:gridSpan w:val="2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EA292E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402" w:type="dxa"/>
          </w:tcPr>
          <w:p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Pr="00EA292E" w:rsidRDefault="004700E1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Adi saputra, M.ag</w:t>
            </w:r>
          </w:p>
        </w:tc>
      </w:tr>
      <w:tr w:rsidR="001B75B5" w:rsidRPr="00EA292E" w:rsidTr="000D1A4C">
        <w:trPr>
          <w:trHeight w:val="382"/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1B75B5" w:rsidRPr="00EA292E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8466F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E433EA" w:rsidRDefault="00E433EA" w:rsidP="00E433EA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sz w:val="22"/>
                <w:lang w:eastAsia="id-ID"/>
              </w:rPr>
              <w:t>CPL1</w:t>
            </w:r>
          </w:p>
          <w:p w:rsidR="00E433EA" w:rsidRDefault="00E433EA" w:rsidP="00E433EA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sz w:val="22"/>
                <w:lang w:eastAsia="id-ID"/>
              </w:rPr>
              <w:t>CPL2</w:t>
            </w:r>
          </w:p>
          <w:p w:rsidR="00F8466F" w:rsidRPr="00436FE7" w:rsidRDefault="00E433EA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libri" w:hAnsi="Calibri"/>
                <w:sz w:val="22"/>
                <w:lang w:eastAsia="id-ID"/>
              </w:rPr>
              <w:t>dst</w:t>
            </w:r>
          </w:p>
        </w:tc>
        <w:tc>
          <w:tcPr>
            <w:tcW w:w="9852" w:type="dxa"/>
            <w:gridSpan w:val="6"/>
          </w:tcPr>
          <w:p w:rsidR="000D1A4C" w:rsidRDefault="000D1A4C" w:rsidP="000D1A4C">
            <w:pPr>
              <w:numPr>
                <w:ilvl w:val="0"/>
                <w:numId w:val="31"/>
              </w:numPr>
              <w:spacing w:line="222" w:lineRule="auto"/>
              <w:ind w:left="563" w:right="620" w:hanging="426"/>
              <w:rPr>
                <w:rFonts w:eastAsia="Times New Roman"/>
              </w:rPr>
            </w:pPr>
            <w:r>
              <w:rPr>
                <w:rFonts w:ascii="Tahoma" w:eastAsia="Tahoma" w:hAnsi="Tahoma"/>
              </w:rPr>
              <w:t xml:space="preserve">Menguasai dasar-dasar </w:t>
            </w:r>
            <w:r>
              <w:rPr>
                <w:rFonts w:ascii="Tahoma" w:eastAsia="Tahoma" w:hAnsi="Tahoma"/>
                <w:i/>
              </w:rPr>
              <w:t>ulum al-Qur’an</w:t>
            </w:r>
            <w:r>
              <w:rPr>
                <w:rFonts w:ascii="Tahoma" w:eastAsia="Tahoma" w:hAnsi="Tahoma"/>
              </w:rPr>
              <w:t xml:space="preserve"> (ilmu-ilmu al-Qur’an) dan </w:t>
            </w:r>
            <w:r>
              <w:rPr>
                <w:rFonts w:ascii="Tahoma" w:eastAsia="Tahoma" w:hAnsi="Tahoma"/>
                <w:i/>
              </w:rPr>
              <w:t>ulum al-Hadis</w:t>
            </w:r>
            <w:r>
              <w:rPr>
                <w:rFonts w:ascii="Tahoma" w:eastAsia="Tahoma" w:hAnsi="Tahoma"/>
              </w:rPr>
              <w:t xml:space="preserve"> (ilmu-ilmu Hadis) dan cukup terampil mengaplikasikannya dalam memahami atau menjelaskan ayat-ayat al-Qur’an dan hadis-hadis Rasulullah SAW.</w:t>
            </w:r>
          </w:p>
          <w:p w:rsidR="000D1A4C" w:rsidRPr="000D1A4C" w:rsidRDefault="000D1A4C" w:rsidP="000D1A4C">
            <w:pPr>
              <w:numPr>
                <w:ilvl w:val="0"/>
                <w:numId w:val="31"/>
              </w:numPr>
              <w:spacing w:line="222" w:lineRule="auto"/>
              <w:ind w:left="563" w:right="620" w:hanging="426"/>
              <w:rPr>
                <w:rFonts w:ascii="Tahoma" w:eastAsia="Times New Roman" w:hAnsi="Tahoma" w:cs="Tahoma"/>
                <w:szCs w:val="24"/>
              </w:rPr>
            </w:pPr>
            <w:r w:rsidRPr="000D1A4C">
              <w:rPr>
                <w:rFonts w:ascii="Tahoma" w:eastAsia="Tahoma" w:hAnsi="Tahoma" w:cs="Tahoma"/>
                <w:szCs w:val="24"/>
              </w:rPr>
              <w:t>Mampu mengimplementasikan metode-metode pemahaman al-Qur’an dan al-Hadis dalam menyelesaikan masalah kontekstual sebagai sarjana strata satu dan peneliti pemula</w:t>
            </w:r>
          </w:p>
          <w:p w:rsidR="000D1A4C" w:rsidRPr="000D1A4C" w:rsidRDefault="000D1A4C" w:rsidP="000D1A4C">
            <w:pPr>
              <w:numPr>
                <w:ilvl w:val="0"/>
                <w:numId w:val="31"/>
              </w:numPr>
              <w:spacing w:line="222" w:lineRule="auto"/>
              <w:ind w:left="563" w:right="620" w:hanging="426"/>
              <w:rPr>
                <w:rFonts w:ascii="Tahoma" w:eastAsia="Times New Roman" w:hAnsi="Tahoma" w:cs="Tahoma"/>
                <w:szCs w:val="24"/>
              </w:rPr>
            </w:pPr>
            <w:r w:rsidRPr="000D1A4C">
              <w:rPr>
                <w:rFonts w:ascii="Tahoma" w:eastAsia="Tahoma" w:hAnsi="Tahoma" w:cs="Tahoma"/>
                <w:szCs w:val="24"/>
              </w:rPr>
              <w:t>Mampu mengambil keputusan secara tepat dalam konteks penyelesaian masalah kontektual yang berkaitan dengan ulumul Qur’an dan Ulumul Hadis</w:t>
            </w:r>
          </w:p>
          <w:p w:rsidR="000D1A4C" w:rsidRDefault="00DC103B" w:rsidP="000D1A4C">
            <w:pPr>
              <w:spacing w:line="2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line id="_x0000_s1026" style="position:absolute;z-index:-251658752" from="78.35pt,7.95pt" to="667.15pt,7.95pt" o:userdrawn="t" strokeweight=".48pt"/>
              </w:pict>
            </w:r>
          </w:p>
          <w:p w:rsidR="00F8466F" w:rsidRPr="00A30D67" w:rsidRDefault="00F8466F" w:rsidP="00A30D67">
            <w:pPr>
              <w:spacing w:line="220" w:lineRule="auto"/>
              <w:ind w:left="563"/>
              <w:rPr>
                <w:rFonts w:eastAsia="Times New Roman"/>
              </w:rPr>
            </w:pPr>
          </w:p>
        </w:tc>
      </w:tr>
      <w:tr w:rsidR="00E433EA" w:rsidRPr="00EA292E" w:rsidTr="0037186B">
        <w:trPr>
          <w:jc w:val="center"/>
        </w:trPr>
        <w:tc>
          <w:tcPr>
            <w:tcW w:w="3085" w:type="dxa"/>
            <w:gridSpan w:val="2"/>
            <w:vMerge/>
          </w:tcPr>
          <w:p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:rsidR="00E433EA" w:rsidRPr="0031161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:rsidR="00E433EA" w:rsidRDefault="00E433EA" w:rsidP="00237C2B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</w:t>
            </w:r>
            <w:r w:rsidR="0037186B">
              <w:rPr>
                <w:rFonts w:ascii="Calibri" w:hAnsi="Calibri"/>
                <w:b/>
                <w:sz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sz w:val="22"/>
                <w:lang w:eastAsia="id-ID"/>
              </w:rPr>
              <w:t>Pembelajaran Mata Kuliah</w:t>
            </w:r>
          </w:p>
        </w:tc>
      </w:tr>
      <w:tr w:rsidR="000D1A4C" w:rsidRPr="00EA292E" w:rsidTr="0076637C">
        <w:trPr>
          <w:jc w:val="center"/>
        </w:trPr>
        <w:tc>
          <w:tcPr>
            <w:tcW w:w="3085" w:type="dxa"/>
            <w:gridSpan w:val="2"/>
            <w:vMerge/>
          </w:tcPr>
          <w:p w:rsidR="000D1A4C" w:rsidRPr="00EA292E" w:rsidRDefault="000D1A4C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bookmarkStart w:id="0" w:name="_GoBack" w:colFirst="2" w:colLast="2"/>
          </w:p>
        </w:tc>
        <w:tc>
          <w:tcPr>
            <w:tcW w:w="779" w:type="dxa"/>
          </w:tcPr>
          <w:p w:rsidR="000D1A4C" w:rsidRPr="005D026E" w:rsidRDefault="000D1A4C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:rsidR="00A30D67" w:rsidRDefault="000D1A4C" w:rsidP="00A30D67">
            <w:pPr>
              <w:pStyle w:val="ListParagraph"/>
              <w:numPr>
                <w:ilvl w:val="0"/>
                <w:numId w:val="34"/>
              </w:numPr>
              <w:spacing w:line="220" w:lineRule="auto"/>
              <w:rPr>
                <w:rFonts w:eastAsia="Times New Roman"/>
              </w:rPr>
            </w:pPr>
            <w:r w:rsidRPr="00A30D67">
              <w:rPr>
                <w:rFonts w:ascii="Tahoma" w:eastAsia="Tahoma" w:hAnsi="Tahoma"/>
              </w:rPr>
              <w:t>Bertakwa kepada Tuhan Yang Maha Esa dan mampu menunjukkan sikap religius</w:t>
            </w:r>
            <w:r w:rsidR="00A30D67" w:rsidRPr="00A30D67">
              <w:rPr>
                <w:rFonts w:eastAsia="Times New Roman"/>
              </w:rPr>
              <w:t xml:space="preserve"> </w:t>
            </w:r>
            <w:r w:rsidR="00A30D67" w:rsidRPr="00A30D67">
              <w:rPr>
                <w:rFonts w:ascii="Tahoma" w:eastAsia="Tahoma" w:hAnsi="Tahoma"/>
              </w:rPr>
              <w:t>Menginternalisasi nilai, norma, dan etika akademik</w:t>
            </w:r>
          </w:p>
          <w:p w:rsidR="00A30D67" w:rsidRPr="00A30D67" w:rsidRDefault="00A30D67" w:rsidP="00A30D67">
            <w:pPr>
              <w:pStyle w:val="ListParagraph"/>
              <w:numPr>
                <w:ilvl w:val="0"/>
                <w:numId w:val="34"/>
              </w:numPr>
              <w:spacing w:line="220" w:lineRule="auto"/>
              <w:rPr>
                <w:rFonts w:eastAsia="Times New Roman"/>
              </w:rPr>
            </w:pPr>
            <w:r w:rsidRPr="002921A1">
              <w:rPr>
                <w:rFonts w:ascii="Tahoma" w:eastAsia="Tahoma" w:hAnsi="Tahoma"/>
              </w:rPr>
              <w:t>Menghargai keanekaragaman budaya, pandangan, agama, dan kepercayaan, serta pendapat atau temuan orisinal orang lain</w:t>
            </w:r>
          </w:p>
          <w:p w:rsidR="00A30D67" w:rsidRPr="00A30D67" w:rsidRDefault="00A30D67" w:rsidP="00A30D67">
            <w:pPr>
              <w:pStyle w:val="ListParagraph"/>
              <w:numPr>
                <w:ilvl w:val="0"/>
                <w:numId w:val="34"/>
              </w:numPr>
              <w:spacing w:line="220" w:lineRule="auto"/>
              <w:rPr>
                <w:rFonts w:eastAsia="Times New Roman"/>
              </w:rPr>
            </w:pPr>
            <w:r w:rsidRPr="00A30D67">
              <w:rPr>
                <w:rFonts w:ascii="Tahoma" w:eastAsia="Tahoma" w:hAnsi="Tahoma"/>
              </w:rPr>
              <w:t>Bekerja sama dan memiliki kepekaan sosial serta</w:t>
            </w:r>
            <w:r>
              <w:rPr>
                <w:rFonts w:ascii="Tahoma" w:eastAsia="Tahoma" w:hAnsi="Tahoma"/>
              </w:rPr>
              <w:t xml:space="preserve"> kepedulian terhadap masyarakat</w:t>
            </w:r>
            <w:r w:rsidRPr="00A30D67">
              <w:rPr>
                <w:rFonts w:ascii="Tahoma" w:eastAsia="Tahoma" w:hAnsi="Tahoma"/>
              </w:rPr>
              <w:t>dan lingkungan</w:t>
            </w:r>
          </w:p>
          <w:p w:rsidR="00A30D67" w:rsidRPr="00A30D67" w:rsidRDefault="00A30D67" w:rsidP="00A30D67">
            <w:pPr>
              <w:pStyle w:val="ListParagraph"/>
              <w:numPr>
                <w:ilvl w:val="0"/>
                <w:numId w:val="34"/>
              </w:numPr>
              <w:spacing w:line="220" w:lineRule="auto"/>
              <w:rPr>
                <w:rFonts w:eastAsia="Times New Roman"/>
              </w:rPr>
            </w:pPr>
            <w:r w:rsidRPr="00A30D67">
              <w:rPr>
                <w:rFonts w:ascii="Tahoma" w:eastAsia="Tahoma" w:hAnsi="Tahoma"/>
              </w:rPr>
              <w:t>Taat hukum dan disiplin dalam kehidupan bermasyarakat dan bernegara</w:t>
            </w:r>
          </w:p>
          <w:p w:rsidR="00A30D67" w:rsidRPr="00A30D67" w:rsidRDefault="00A30D67" w:rsidP="00A30D67">
            <w:pPr>
              <w:pStyle w:val="ListParagraph"/>
              <w:numPr>
                <w:ilvl w:val="0"/>
                <w:numId w:val="34"/>
              </w:numPr>
              <w:spacing w:line="220" w:lineRule="auto"/>
              <w:rPr>
                <w:rFonts w:eastAsia="Times New Roman"/>
              </w:rPr>
            </w:pPr>
            <w:r w:rsidRPr="00A30D67">
              <w:rPr>
                <w:rFonts w:ascii="Tahoma" w:eastAsia="Tahoma" w:hAnsi="Tahoma"/>
              </w:rPr>
              <w:lastRenderedPageBreak/>
              <w:t>Menginternalisasi semangat kemandirian, kejuangan, dan kewirausahaan</w:t>
            </w:r>
          </w:p>
          <w:p w:rsidR="00A30D67" w:rsidRDefault="00A30D67" w:rsidP="00A30D67">
            <w:pPr>
              <w:spacing w:line="50" w:lineRule="exact"/>
              <w:rPr>
                <w:rFonts w:eastAsia="Times New Roman"/>
              </w:rPr>
            </w:pPr>
          </w:p>
          <w:p w:rsidR="00A30D67" w:rsidRPr="00A30D67" w:rsidRDefault="00A30D67" w:rsidP="00A30D67">
            <w:pPr>
              <w:pStyle w:val="ListParagraph"/>
              <w:numPr>
                <w:ilvl w:val="0"/>
                <w:numId w:val="34"/>
              </w:numPr>
              <w:spacing w:line="220" w:lineRule="auto"/>
              <w:rPr>
                <w:rFonts w:eastAsia="Times New Roman"/>
              </w:rPr>
            </w:pPr>
            <w:r>
              <w:rPr>
                <w:rFonts w:ascii="Tahoma" w:eastAsia="Tahoma" w:hAnsi="Tahoma"/>
              </w:rPr>
              <w:t>Menunjukkan sikap bertanggungjawab atas pekerjaan di bidang keahliannya secara mandiri</w:t>
            </w:r>
          </w:p>
          <w:p w:rsidR="00A30D67" w:rsidRPr="00A30D67" w:rsidRDefault="00A30D67" w:rsidP="00A30D67">
            <w:pPr>
              <w:spacing w:line="220" w:lineRule="auto"/>
              <w:ind w:left="360"/>
              <w:rPr>
                <w:rFonts w:eastAsia="Times New Roman"/>
              </w:rPr>
            </w:pPr>
          </w:p>
        </w:tc>
      </w:tr>
      <w:bookmarkEnd w:id="0"/>
      <w:tr w:rsidR="00290540" w:rsidRPr="00EA292E" w:rsidTr="0076637C">
        <w:trPr>
          <w:jc w:val="center"/>
        </w:trPr>
        <w:tc>
          <w:tcPr>
            <w:tcW w:w="3085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Deskripsi Singkat MK</w:t>
            </w:r>
          </w:p>
        </w:tc>
        <w:tc>
          <w:tcPr>
            <w:tcW w:w="10631" w:type="dxa"/>
            <w:gridSpan w:val="7"/>
          </w:tcPr>
          <w:p w:rsidR="000D1A4C" w:rsidRDefault="000D1A4C" w:rsidP="000D1A4C">
            <w:pPr>
              <w:spacing w:line="275" w:lineRule="auto"/>
              <w:ind w:left="1420" w:right="1060"/>
              <w:jc w:val="both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 xml:space="preserve">Ulumul Qur’an dan Hadis sebagai kelompok Mata kuliah Instutusional berfungsi menyajikan pengetahuan tentang dasar-dasar </w:t>
            </w:r>
            <w:r>
              <w:rPr>
                <w:rFonts w:ascii="Tahoma" w:eastAsia="Tahoma" w:hAnsi="Tahoma"/>
                <w:i/>
              </w:rPr>
              <w:t xml:space="preserve">ulum al-Qur’an </w:t>
            </w:r>
            <w:r>
              <w:rPr>
                <w:rFonts w:ascii="Tahoma" w:eastAsia="Tahoma" w:hAnsi="Tahoma"/>
              </w:rPr>
              <w:t>(ilmu-ilmu al-Qur’an) dan</w:t>
            </w:r>
            <w:r>
              <w:rPr>
                <w:rFonts w:ascii="Tahoma" w:eastAsia="Tahoma" w:hAnsi="Tahoma"/>
                <w:i/>
              </w:rPr>
              <w:t xml:space="preserve"> ulum al-Hadis </w:t>
            </w:r>
            <w:r>
              <w:rPr>
                <w:rFonts w:ascii="Tahoma" w:eastAsia="Tahoma" w:hAnsi="Tahoma"/>
              </w:rPr>
              <w:t>(ilmu-ilmu Hadis), serta melatih mahasiswa agar memiliki keterampilan</w:t>
            </w:r>
            <w:r>
              <w:rPr>
                <w:rFonts w:ascii="Tahoma" w:eastAsia="Tahoma" w:hAnsi="Tahoma"/>
                <w:i/>
              </w:rPr>
              <w:t xml:space="preserve"> </w:t>
            </w:r>
            <w:r>
              <w:rPr>
                <w:rFonts w:ascii="Tahoma" w:eastAsia="Tahoma" w:hAnsi="Tahoma"/>
              </w:rPr>
              <w:t>dalam memahami atau menjelaskan ayat-ayat al-Qur’an dan hadis-hadis Rasulullah SAW</w:t>
            </w:r>
          </w:p>
          <w:p w:rsidR="00290540" w:rsidRPr="009071BB" w:rsidRDefault="00290540" w:rsidP="0069469C">
            <w:pPr>
              <w:jc w:val="both"/>
              <w:rPr>
                <w:rFonts w:asciiTheme="majorHAnsi" w:eastAsia="Times New Roman" w:hAnsiTheme="majorHAnsi" w:cs="Times New Roman"/>
              </w:rPr>
            </w:pPr>
          </w:p>
        </w:tc>
      </w:tr>
      <w:tr w:rsidR="00290540" w:rsidRPr="00EA292E" w:rsidTr="0076637C">
        <w:trPr>
          <w:jc w:val="center"/>
        </w:trPr>
        <w:tc>
          <w:tcPr>
            <w:tcW w:w="3085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290540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cs="Times New Roman"/>
                <w:sz w:val="22"/>
              </w:rPr>
              <w:t>Pengertian Al-Quran, kedudukan dan fungsi Al-Quran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ascii="Tahoma" w:eastAsia="Tahoma" w:hAnsi="Tahoma"/>
                <w:sz w:val="18"/>
              </w:rPr>
              <w:t>Sejarah al-</w:t>
            </w:r>
            <w:r>
              <w:rPr>
                <w:rFonts w:ascii="Tahoma" w:eastAsia="Tahoma" w:hAnsi="Tahoma"/>
                <w:sz w:val="18"/>
              </w:rPr>
              <w:t xml:space="preserve"> </w:t>
            </w:r>
            <w:r>
              <w:rPr>
                <w:rFonts w:ascii="Tahoma" w:eastAsia="Tahoma" w:hAnsi="Tahoma"/>
                <w:sz w:val="18"/>
              </w:rPr>
              <w:t>Qur’an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ascii="Tahoma" w:eastAsia="Tahoma" w:hAnsi="Tahoma"/>
                <w:sz w:val="18"/>
              </w:rPr>
              <w:t>Kemu’jizatan Al-Quran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ascii="Tahoma" w:eastAsia="Tahoma" w:hAnsi="Tahoma"/>
                <w:sz w:val="18"/>
              </w:rPr>
              <w:t>Pokok-pokok Ulumul Quran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ascii="Tahoma" w:eastAsia="Tahoma" w:hAnsi="Tahoma"/>
                <w:sz w:val="18"/>
              </w:rPr>
              <w:t>Metode Penafsiran Al-quran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ascii="Tahoma" w:eastAsia="Tahoma" w:hAnsi="Tahoma"/>
                <w:sz w:val="18"/>
              </w:rPr>
              <w:t>Praktek menafsirkan ayat dengan metode tematik (maudhu’i)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ascii="Tahoma" w:eastAsia="Tahoma" w:hAnsi="Tahoma"/>
                <w:sz w:val="18"/>
              </w:rPr>
              <w:t>Pengantar studi hadits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ascii="Tahoma" w:eastAsia="Tahoma" w:hAnsi="Tahoma"/>
                <w:sz w:val="18"/>
              </w:rPr>
              <w:t>Sejarah dan perkembangan Hadits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cs="Times New Roman"/>
                <w:sz w:val="22"/>
              </w:rPr>
              <w:t>Teori studi sanad hadits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cs="Times New Roman"/>
                <w:sz w:val="22"/>
              </w:rPr>
              <w:t>Prosedur/metode studi sanad hadits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cs="Times New Roman"/>
                <w:sz w:val="22"/>
              </w:rPr>
              <w:t>Teori Studi matan Hadits</w:t>
            </w:r>
          </w:p>
          <w:p w:rsidR="00230287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cs="Times New Roman"/>
                <w:sz w:val="22"/>
              </w:rPr>
              <w:t>Aplikasi/praktik memahami Hadits</w:t>
            </w:r>
          </w:p>
          <w:p w:rsidR="00230287" w:rsidRPr="0069469C" w:rsidRDefault="00230287" w:rsidP="00CC177B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>
              <w:rPr>
                <w:rFonts w:cs="Times New Roman"/>
                <w:sz w:val="22"/>
              </w:rPr>
              <w:t>Hafalan 10 hadits-hadits pilihan</w:t>
            </w:r>
          </w:p>
        </w:tc>
      </w:tr>
      <w:tr w:rsidR="00290540" w:rsidRPr="00EA292E" w:rsidTr="0076637C">
        <w:trPr>
          <w:jc w:val="center"/>
        </w:trPr>
        <w:tc>
          <w:tcPr>
            <w:tcW w:w="3085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:rsidR="00230287" w:rsidRDefault="00230287" w:rsidP="00230287">
            <w:pPr>
              <w:numPr>
                <w:ilvl w:val="1"/>
                <w:numId w:val="36"/>
              </w:numPr>
              <w:tabs>
                <w:tab w:val="left" w:pos="491"/>
              </w:tabs>
              <w:spacing w:line="0" w:lineRule="atLeast"/>
              <w:ind w:left="1440" w:hanging="1374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 xml:space="preserve">Yunahar Ilyas, </w:t>
            </w:r>
            <w:r>
              <w:rPr>
                <w:rFonts w:ascii="Tahoma" w:eastAsia="Tahoma" w:hAnsi="Tahoma"/>
                <w:i/>
                <w:sz w:val="18"/>
              </w:rPr>
              <w:t>Kuliah Ulumul Qur’an,</w:t>
            </w:r>
            <w:r>
              <w:rPr>
                <w:rFonts w:ascii="Tahoma" w:eastAsia="Tahoma" w:hAnsi="Tahoma"/>
                <w:sz w:val="18"/>
              </w:rPr>
              <w:t xml:space="preserve">  Yogyakarta: Itqan Publishing, 2016</w:t>
            </w:r>
          </w:p>
          <w:p w:rsidR="00230287" w:rsidRDefault="00230287" w:rsidP="00230287">
            <w:pPr>
              <w:tabs>
                <w:tab w:val="left" w:pos="491"/>
              </w:tabs>
              <w:spacing w:line="1" w:lineRule="exact"/>
              <w:ind w:hanging="1374"/>
              <w:rPr>
                <w:rFonts w:ascii="Tahoma" w:eastAsia="Tahoma" w:hAnsi="Tahoma"/>
                <w:sz w:val="18"/>
              </w:rPr>
            </w:pPr>
          </w:p>
          <w:p w:rsidR="00230287" w:rsidRDefault="00230287" w:rsidP="00230287">
            <w:pPr>
              <w:numPr>
                <w:ilvl w:val="1"/>
                <w:numId w:val="36"/>
              </w:numPr>
              <w:tabs>
                <w:tab w:val="left" w:pos="491"/>
              </w:tabs>
              <w:spacing w:line="0" w:lineRule="atLeast"/>
              <w:ind w:left="1440" w:hanging="1374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 xml:space="preserve">Nur Kholis, </w:t>
            </w:r>
            <w:r>
              <w:rPr>
                <w:rFonts w:ascii="Tahoma" w:eastAsia="Tahoma" w:hAnsi="Tahoma"/>
                <w:i/>
                <w:sz w:val="18"/>
              </w:rPr>
              <w:t>Kuliah Ulumul Hadis,</w:t>
            </w:r>
            <w:r>
              <w:rPr>
                <w:rFonts w:ascii="Tahoma" w:eastAsia="Tahoma" w:hAnsi="Tahoma"/>
                <w:sz w:val="18"/>
              </w:rPr>
              <w:t xml:space="preserve">  Yogyakarta: LPSI UAD, Cet. 2, 2016</w:t>
            </w:r>
          </w:p>
          <w:p w:rsidR="00230287" w:rsidRDefault="00230287" w:rsidP="00230287">
            <w:pPr>
              <w:numPr>
                <w:ilvl w:val="1"/>
                <w:numId w:val="36"/>
              </w:numPr>
              <w:tabs>
                <w:tab w:val="left" w:pos="491"/>
              </w:tabs>
              <w:spacing w:line="238" w:lineRule="auto"/>
              <w:ind w:left="1440" w:hanging="1374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 xml:space="preserve">Shihab, M. Quraish, dkk. </w:t>
            </w:r>
            <w:r>
              <w:rPr>
                <w:rFonts w:ascii="Tahoma" w:eastAsia="Tahoma" w:hAnsi="Tahoma"/>
                <w:i/>
                <w:sz w:val="18"/>
              </w:rPr>
              <w:t>Sejarah &amp; ‘Ulum al-Qur’an,</w:t>
            </w:r>
            <w:r>
              <w:rPr>
                <w:rFonts w:ascii="Tahoma" w:eastAsia="Tahoma" w:hAnsi="Tahoma"/>
                <w:sz w:val="18"/>
              </w:rPr>
              <w:t xml:space="preserve">  Jakarta: Pustaka Firdaus, 2001</w:t>
            </w:r>
          </w:p>
          <w:p w:rsidR="00230287" w:rsidRDefault="00230287" w:rsidP="00230287">
            <w:pPr>
              <w:tabs>
                <w:tab w:val="left" w:pos="491"/>
              </w:tabs>
              <w:spacing w:line="1" w:lineRule="exact"/>
              <w:ind w:hanging="1374"/>
              <w:rPr>
                <w:rFonts w:ascii="Tahoma" w:eastAsia="Tahoma" w:hAnsi="Tahoma"/>
                <w:sz w:val="18"/>
              </w:rPr>
            </w:pPr>
          </w:p>
          <w:p w:rsidR="00230287" w:rsidRDefault="00230287" w:rsidP="00230287">
            <w:pPr>
              <w:numPr>
                <w:ilvl w:val="1"/>
                <w:numId w:val="36"/>
              </w:numPr>
              <w:tabs>
                <w:tab w:val="left" w:pos="491"/>
              </w:tabs>
              <w:spacing w:line="0" w:lineRule="atLeast"/>
              <w:ind w:left="1440" w:hanging="1374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 xml:space="preserve">M. Syuhudi Ismail, </w:t>
            </w:r>
            <w:r>
              <w:rPr>
                <w:rFonts w:ascii="Tahoma" w:eastAsia="Tahoma" w:hAnsi="Tahoma"/>
                <w:i/>
                <w:sz w:val="18"/>
              </w:rPr>
              <w:t>Pengantar Ilmu Hadis,</w:t>
            </w:r>
            <w:r>
              <w:rPr>
                <w:rFonts w:ascii="Tahoma" w:eastAsia="Tahoma" w:hAnsi="Tahoma"/>
                <w:sz w:val="18"/>
              </w:rPr>
              <w:t xml:space="preserve"> Bandung: Angkasa, 1991</w:t>
            </w:r>
          </w:p>
          <w:p w:rsidR="00230287" w:rsidRDefault="00230287" w:rsidP="00230287">
            <w:pPr>
              <w:numPr>
                <w:ilvl w:val="1"/>
                <w:numId w:val="36"/>
              </w:numPr>
              <w:tabs>
                <w:tab w:val="left" w:pos="491"/>
              </w:tabs>
              <w:spacing w:line="238" w:lineRule="auto"/>
              <w:ind w:left="1440" w:hanging="1374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>Yusuf Qardhawi</w:t>
            </w:r>
            <w:r>
              <w:rPr>
                <w:rFonts w:ascii="Tahoma" w:eastAsia="Tahoma" w:hAnsi="Tahoma"/>
                <w:i/>
                <w:sz w:val="18"/>
              </w:rPr>
              <w:t>, Bagaimana</w:t>
            </w:r>
            <w:r>
              <w:rPr>
                <w:rFonts w:ascii="Tahoma" w:eastAsia="Tahoma" w:hAnsi="Tahoma"/>
                <w:sz w:val="18"/>
              </w:rPr>
              <w:t xml:space="preserve"> Memahami </w:t>
            </w:r>
            <w:r>
              <w:rPr>
                <w:rFonts w:ascii="Tahoma" w:eastAsia="Tahoma" w:hAnsi="Tahoma"/>
                <w:i/>
                <w:sz w:val="18"/>
              </w:rPr>
              <w:t>Hadis Nabi saw.</w:t>
            </w:r>
            <w:r>
              <w:rPr>
                <w:rFonts w:ascii="Tahoma" w:eastAsia="Tahoma" w:hAnsi="Tahoma"/>
                <w:sz w:val="18"/>
              </w:rPr>
              <w:t xml:space="preserve"> Bandung: Karisma, 1993</w:t>
            </w:r>
          </w:p>
          <w:p w:rsidR="00230287" w:rsidRDefault="00230287" w:rsidP="00230287">
            <w:pPr>
              <w:tabs>
                <w:tab w:val="left" w:pos="491"/>
              </w:tabs>
              <w:spacing w:line="1" w:lineRule="exact"/>
              <w:ind w:hanging="1374"/>
              <w:rPr>
                <w:rFonts w:ascii="Tahoma" w:eastAsia="Tahoma" w:hAnsi="Tahoma"/>
                <w:sz w:val="18"/>
              </w:rPr>
            </w:pPr>
          </w:p>
          <w:p w:rsidR="00230287" w:rsidRDefault="00230287" w:rsidP="00230287">
            <w:pPr>
              <w:numPr>
                <w:ilvl w:val="1"/>
                <w:numId w:val="36"/>
              </w:numPr>
              <w:tabs>
                <w:tab w:val="left" w:pos="491"/>
              </w:tabs>
              <w:spacing w:line="0" w:lineRule="atLeast"/>
              <w:ind w:left="1440" w:hanging="1374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 xml:space="preserve">Shihab, M. Quraish, </w:t>
            </w:r>
            <w:r>
              <w:rPr>
                <w:rFonts w:ascii="Tahoma" w:eastAsia="Tahoma" w:hAnsi="Tahoma"/>
                <w:i/>
                <w:sz w:val="18"/>
              </w:rPr>
              <w:t>Mukjizat al-Qur’an</w:t>
            </w:r>
            <w:r>
              <w:rPr>
                <w:rFonts w:ascii="Tahoma" w:eastAsia="Tahoma" w:hAnsi="Tahoma"/>
                <w:sz w:val="18"/>
              </w:rPr>
              <w:t>, Bandung: Mizan,  2003,</w:t>
            </w:r>
          </w:p>
          <w:p w:rsidR="00230287" w:rsidRDefault="00230287" w:rsidP="00230287">
            <w:pPr>
              <w:tabs>
                <w:tab w:val="left" w:pos="491"/>
              </w:tabs>
              <w:spacing w:line="200" w:lineRule="exact"/>
              <w:ind w:hanging="1374"/>
              <w:rPr>
                <w:rFonts w:ascii="Tahoma" w:eastAsia="Tahoma" w:hAnsi="Tahoma"/>
                <w:sz w:val="18"/>
              </w:rPr>
            </w:pPr>
          </w:p>
          <w:p w:rsidR="00290540" w:rsidRPr="00EC229F" w:rsidRDefault="00290540" w:rsidP="00EC229F">
            <w:pPr>
              <w:rPr>
                <w:rFonts w:ascii="Calibri" w:hAnsi="Calibri" w:cs="TimesNewRoman,Italic"/>
                <w:iCs/>
                <w:color w:val="000000"/>
                <w:sz w:val="22"/>
              </w:rPr>
            </w:pPr>
          </w:p>
        </w:tc>
      </w:tr>
      <w:tr w:rsidR="00290540" w:rsidRPr="00EA292E" w:rsidTr="0076637C">
        <w:trPr>
          <w:jc w:val="center"/>
        </w:trPr>
        <w:tc>
          <w:tcPr>
            <w:tcW w:w="3085" w:type="dxa"/>
            <w:gridSpan w:val="2"/>
          </w:tcPr>
          <w:p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290540" w:rsidRPr="00EA292E" w:rsidRDefault="0023028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Laptop, flash disk, android</w:t>
            </w:r>
          </w:p>
        </w:tc>
      </w:tr>
      <w:tr w:rsidR="00CC177B" w:rsidRPr="00EA292E" w:rsidTr="0076637C">
        <w:trPr>
          <w:jc w:val="center"/>
        </w:trPr>
        <w:tc>
          <w:tcPr>
            <w:tcW w:w="3085" w:type="dxa"/>
            <w:gridSpan w:val="2"/>
          </w:tcPr>
          <w:p w:rsidR="00CC177B" w:rsidRPr="00EA292E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31" w:type="dxa"/>
            <w:gridSpan w:val="7"/>
          </w:tcPr>
          <w:p w:rsidR="00CC177B" w:rsidRPr="0073774E" w:rsidRDefault="00230287" w:rsidP="00237C2B">
            <w:pPr>
              <w:rPr>
                <w:rFonts w:ascii="Calibri" w:hAnsi="Calibri"/>
                <w:noProof/>
                <w:sz w:val="22"/>
              </w:rPr>
            </w:pPr>
            <w:r>
              <w:rPr>
                <w:rFonts w:ascii="Calibri" w:hAnsi="Calibri"/>
                <w:sz w:val="22"/>
              </w:rPr>
              <w:t>Aziza aryati, M. ag</w:t>
            </w:r>
          </w:p>
        </w:tc>
      </w:tr>
      <w:tr w:rsidR="00CC177B" w:rsidRPr="00EA292E" w:rsidTr="0076637C">
        <w:trPr>
          <w:jc w:val="center"/>
        </w:trPr>
        <w:tc>
          <w:tcPr>
            <w:tcW w:w="3085" w:type="dxa"/>
            <w:gridSpan w:val="2"/>
          </w:tcPr>
          <w:p w:rsidR="00CC177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:rsidR="00CC177B" w:rsidRDefault="00230287" w:rsidP="0023028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Tidak </w:t>
            </w:r>
            <w:r w:rsidR="00CC177B">
              <w:rPr>
                <w:rFonts w:ascii="Calibri" w:hAnsi="Calibri"/>
                <w:sz w:val="22"/>
              </w:rPr>
              <w:t>ada</w:t>
            </w:r>
          </w:p>
        </w:tc>
      </w:tr>
    </w:tbl>
    <w:p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8164" w:type="dxa"/>
        <w:tblInd w:w="108" w:type="dxa"/>
        <w:tblLook w:val="04A0"/>
      </w:tblPr>
      <w:tblGrid>
        <w:gridCol w:w="1225"/>
        <w:gridCol w:w="2355"/>
        <w:gridCol w:w="1918"/>
        <w:gridCol w:w="2044"/>
        <w:gridCol w:w="2049"/>
        <w:gridCol w:w="2181"/>
        <w:gridCol w:w="1411"/>
        <w:gridCol w:w="1901"/>
        <w:gridCol w:w="1540"/>
        <w:gridCol w:w="1540"/>
      </w:tblGrid>
      <w:tr w:rsidR="005805BE" w:rsidTr="00FA6829">
        <w:trPr>
          <w:gridAfter w:val="3"/>
          <w:wAfter w:w="4981" w:type="dxa"/>
        </w:trPr>
        <w:tc>
          <w:tcPr>
            <w:tcW w:w="1225" w:type="dxa"/>
            <w:shd w:val="clear" w:color="auto" w:fill="C6D9F1" w:themeFill="text2" w:themeFillTint="33"/>
            <w:vAlign w:val="center"/>
          </w:tcPr>
          <w:p w:rsidR="0093149C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lastRenderedPageBreak/>
              <w:t>Minggu</w:t>
            </w:r>
          </w:p>
          <w:p w:rsidR="005805BE" w:rsidRPr="005805BE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2355" w:type="dxa"/>
            <w:shd w:val="clear" w:color="auto" w:fill="C6D9F1" w:themeFill="text2" w:themeFillTint="33"/>
          </w:tcPr>
          <w:p w:rsidR="005805BE" w:rsidRPr="005805BE" w:rsidRDefault="005805BE" w:rsidP="005805BE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1918" w:type="dxa"/>
            <w:shd w:val="clear" w:color="auto" w:fill="C6D9F1" w:themeFill="text2" w:themeFillTint="33"/>
          </w:tcPr>
          <w:p w:rsidR="0093149C" w:rsidRDefault="0093149C" w:rsidP="005805BE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2044" w:type="dxa"/>
            <w:shd w:val="clear" w:color="auto" w:fill="C6D9F1" w:themeFill="text2" w:themeFillTint="33"/>
            <w:vAlign w:val="center"/>
          </w:tcPr>
          <w:p w:rsidR="005805BE" w:rsidRPr="005805B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2049" w:type="dxa"/>
            <w:shd w:val="clear" w:color="auto" w:fill="C6D9F1" w:themeFill="text2" w:themeFillTint="33"/>
            <w:vAlign w:val="center"/>
          </w:tcPr>
          <w:p w:rsidR="005805BE" w:rsidRPr="005805BE" w:rsidRDefault="0093149C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CB1A94">
              <w:rPr>
                <w:rFonts w:asciiTheme="minorBidi" w:hAnsiTheme="minorBidi"/>
                <w:b/>
                <w:sz w:val="20"/>
                <w:szCs w:val="20"/>
              </w:rPr>
              <w:t xml:space="preserve">Bentuk dan </w:t>
            </w:r>
            <w:r w:rsidR="005805BE" w:rsidRPr="00CB1A94">
              <w:rPr>
                <w:rFonts w:asciiTheme="minorBidi" w:hAnsiTheme="minorBidi"/>
                <w:b/>
                <w:sz w:val="20"/>
                <w:szCs w:val="20"/>
              </w:rPr>
              <w:t>Metode Pembelajaran [Estimasi Waktu</w:t>
            </w:r>
            <w:r w:rsidR="005805BE" w:rsidRPr="005805BE">
              <w:rPr>
                <w:rFonts w:asciiTheme="minorBidi" w:hAnsiTheme="minorBidi"/>
                <w:b/>
                <w:sz w:val="22"/>
              </w:rPr>
              <w:t>]</w:t>
            </w:r>
          </w:p>
        </w:tc>
        <w:tc>
          <w:tcPr>
            <w:tcW w:w="2181" w:type="dxa"/>
            <w:shd w:val="clear" w:color="auto" w:fill="C6D9F1" w:themeFill="text2" w:themeFillTint="33"/>
          </w:tcPr>
          <w:p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1411" w:type="dxa"/>
            <w:shd w:val="clear" w:color="auto" w:fill="C6D9F1" w:themeFill="text2" w:themeFillTint="33"/>
            <w:vAlign w:val="center"/>
          </w:tcPr>
          <w:p w:rsidR="005805BE" w:rsidRPr="005805B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5805BE" w:rsidTr="00FA6829">
        <w:trPr>
          <w:gridAfter w:val="3"/>
          <w:wAfter w:w="4981" w:type="dxa"/>
        </w:trPr>
        <w:tc>
          <w:tcPr>
            <w:tcW w:w="1225" w:type="dxa"/>
          </w:tcPr>
          <w:p w:rsidR="005805BE" w:rsidRDefault="00D61A60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355" w:type="dxa"/>
          </w:tcPr>
          <w:p w:rsidR="005805BE" w:rsidRDefault="00035F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Memahami maksud, tujuan dan mekanisme perkuliahan</w:t>
            </w:r>
          </w:p>
        </w:tc>
        <w:tc>
          <w:tcPr>
            <w:tcW w:w="1918" w:type="dxa"/>
          </w:tcPr>
          <w:p w:rsidR="005805BE" w:rsidRDefault="005805BE">
            <w:pPr>
              <w:rPr>
                <w:rFonts w:cs="Times New Roman"/>
                <w:sz w:val="22"/>
              </w:rPr>
            </w:pPr>
          </w:p>
        </w:tc>
        <w:tc>
          <w:tcPr>
            <w:tcW w:w="2044" w:type="dxa"/>
          </w:tcPr>
          <w:p w:rsidR="005805BE" w:rsidRDefault="005805BE">
            <w:pPr>
              <w:rPr>
                <w:rFonts w:cs="Times New Roman"/>
                <w:sz w:val="22"/>
              </w:rPr>
            </w:pPr>
          </w:p>
        </w:tc>
        <w:tc>
          <w:tcPr>
            <w:tcW w:w="2049" w:type="dxa"/>
          </w:tcPr>
          <w:p w:rsidR="005805BE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Curah pendapat</w:t>
            </w:r>
          </w:p>
        </w:tc>
        <w:tc>
          <w:tcPr>
            <w:tcW w:w="2181" w:type="dxa"/>
          </w:tcPr>
          <w:p w:rsidR="005805BE" w:rsidRDefault="00035F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Pendahuluan tentang mata kuliah</w:t>
            </w:r>
          </w:p>
        </w:tc>
        <w:tc>
          <w:tcPr>
            <w:tcW w:w="1411" w:type="dxa"/>
          </w:tcPr>
          <w:p w:rsidR="005805BE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 w:rsidR="00035F2A" w:rsidTr="00FA6829">
        <w:trPr>
          <w:gridAfter w:val="3"/>
          <w:wAfter w:w="4981" w:type="dxa"/>
        </w:trPr>
        <w:tc>
          <w:tcPr>
            <w:tcW w:w="1225" w:type="dxa"/>
          </w:tcPr>
          <w:p w:rsidR="00035F2A" w:rsidRDefault="00035F2A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355" w:type="dxa"/>
          </w:tcPr>
          <w:p w:rsidR="00035F2A" w:rsidRDefault="00035F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Menjelaskan definisi dan urgensi Al-Quran</w:t>
            </w:r>
          </w:p>
        </w:tc>
        <w:tc>
          <w:tcPr>
            <w:tcW w:w="1918" w:type="dxa"/>
          </w:tcPr>
          <w:p w:rsidR="00035F2A" w:rsidRDefault="00900AB3" w:rsidP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  <w:r w:rsidR="00FA6829">
              <w:rPr>
                <w:rFonts w:cs="Times New Roman"/>
                <w:sz w:val="22"/>
              </w:rPr>
              <w:t>.</w:t>
            </w:r>
            <w:r w:rsidR="00625552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044" w:type="dxa"/>
          </w:tcPr>
          <w:p w:rsidR="00035F2A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Presentasi, laporan, tulisan.</w:t>
            </w:r>
          </w:p>
        </w:tc>
        <w:tc>
          <w:tcPr>
            <w:tcW w:w="2049" w:type="dxa"/>
          </w:tcPr>
          <w:p w:rsidR="00035F2A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Kajian literatur, </w:t>
            </w:r>
            <w:r w:rsidRPr="00FA6829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</w:tcPr>
          <w:p w:rsidR="00035F2A" w:rsidRDefault="00035F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Pengertian Al-Quran, kedudukan dan fungsi Al-Quran</w:t>
            </w:r>
          </w:p>
        </w:tc>
        <w:tc>
          <w:tcPr>
            <w:tcW w:w="1411" w:type="dxa"/>
          </w:tcPr>
          <w:p w:rsidR="00035F2A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menjelaskan sejarah perkembangan al-Quran sejak pewahyuan sampai studi Al-quran di era kontemporer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  <w:vAlign w:val="bottom"/>
          </w:tcPr>
          <w:p w:rsidR="00FA6829" w:rsidRDefault="00FA6829" w:rsidP="00D6660D">
            <w:pPr>
              <w:spacing w:line="207" w:lineRule="exact"/>
              <w:ind w:left="160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>Sejarah al-</w:t>
            </w:r>
            <w:r>
              <w:rPr>
                <w:rFonts w:ascii="Tahoma" w:eastAsia="Tahoma" w:hAnsi="Tahoma"/>
                <w:sz w:val="18"/>
              </w:rPr>
              <w:t xml:space="preserve"> </w:t>
            </w:r>
            <w:r>
              <w:rPr>
                <w:rFonts w:ascii="Tahoma" w:eastAsia="Tahoma" w:hAnsi="Tahoma"/>
                <w:sz w:val="18"/>
              </w:rPr>
              <w:t>Qur’an: proses</w:t>
            </w:r>
            <w:r>
              <w:rPr>
                <w:rFonts w:ascii="Tahoma" w:eastAsia="Tahoma" w:hAnsi="Tahoma"/>
                <w:sz w:val="18"/>
              </w:rPr>
              <w:t xml:space="preserve"> </w:t>
            </w:r>
            <w:r>
              <w:rPr>
                <w:rFonts w:ascii="Tahoma" w:eastAsia="Tahoma" w:hAnsi="Tahoma"/>
                <w:sz w:val="18"/>
              </w:rPr>
              <w:t>pewahyuan al-</w:t>
            </w:r>
            <w:r>
              <w:rPr>
                <w:rFonts w:ascii="Tahoma" w:eastAsia="Tahoma" w:hAnsi="Tahoma"/>
                <w:sz w:val="18"/>
              </w:rPr>
              <w:t xml:space="preserve"> </w:t>
            </w:r>
            <w:r>
              <w:rPr>
                <w:rFonts w:ascii="Tahoma" w:eastAsia="Tahoma" w:hAnsi="Tahoma"/>
                <w:sz w:val="18"/>
              </w:rPr>
              <w:t>Qur'an, sejarah</w:t>
            </w:r>
            <w:r>
              <w:rPr>
                <w:rFonts w:ascii="Tahoma" w:eastAsia="Tahoma" w:hAnsi="Tahoma"/>
                <w:sz w:val="18"/>
              </w:rPr>
              <w:t xml:space="preserve"> </w:t>
            </w:r>
            <w:r>
              <w:rPr>
                <w:rFonts w:ascii="Tahoma" w:eastAsia="Tahoma" w:hAnsi="Tahoma"/>
                <w:sz w:val="18"/>
              </w:rPr>
              <w:t>penghimpunan</w:t>
            </w:r>
            <w:r>
              <w:rPr>
                <w:rFonts w:ascii="Tahoma" w:eastAsia="Tahoma" w:hAnsi="Tahoma"/>
                <w:sz w:val="18"/>
              </w:rPr>
              <w:t xml:space="preserve"> </w:t>
            </w:r>
            <w:r>
              <w:rPr>
                <w:rFonts w:ascii="Tahoma" w:eastAsia="Tahoma" w:hAnsi="Tahoma"/>
                <w:sz w:val="18"/>
              </w:rPr>
              <w:t>dan pembukuan</w:t>
            </w:r>
            <w:r>
              <w:rPr>
                <w:rFonts w:ascii="Tahoma" w:eastAsia="Tahoma" w:hAnsi="Tahoma"/>
                <w:sz w:val="18"/>
              </w:rPr>
              <w:t xml:space="preserve"> </w:t>
            </w:r>
            <w:r>
              <w:rPr>
                <w:rFonts w:ascii="Tahoma" w:eastAsia="Tahoma" w:hAnsi="Tahoma"/>
                <w:sz w:val="18"/>
              </w:rPr>
              <w:t>perkembangan</w:t>
            </w:r>
            <w:r>
              <w:rPr>
                <w:rFonts w:ascii="Tahoma" w:eastAsia="Tahoma" w:hAnsi="Tahoma"/>
                <w:sz w:val="18"/>
              </w:rPr>
              <w:t xml:space="preserve"> </w:t>
            </w:r>
            <w:r>
              <w:rPr>
                <w:rFonts w:ascii="Tahoma" w:eastAsia="Tahoma" w:hAnsi="Tahoma"/>
                <w:sz w:val="18"/>
              </w:rPr>
              <w:t>studi al-Qur'an</w:t>
            </w:r>
          </w:p>
        </w:tc>
        <w:tc>
          <w:tcPr>
            <w:tcW w:w="1411" w:type="dxa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menunjukkan bukti-bukti kemu’jizatan dalam al-Quran dari segi bahasa, isi kandungannya dan bisa mengorelasikan mu’jizat tersebut dengan konteks saat ini.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  <w:vAlign w:val="bottom"/>
          </w:tcPr>
          <w:p w:rsidR="00FA6829" w:rsidRDefault="00FA6829" w:rsidP="00D6660D">
            <w:pPr>
              <w:spacing w:line="216" w:lineRule="exact"/>
              <w:ind w:left="160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>Kemu’jizatan Al-Quran</w:t>
            </w:r>
          </w:p>
        </w:tc>
        <w:tc>
          <w:tcPr>
            <w:tcW w:w="1411" w:type="dxa"/>
          </w:tcPr>
          <w:p w:rsidR="00FA6829" w:rsidRDefault="00FA6829" w:rsidP="00230287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menjelaskan pokok-pokok kajian ulumul Quran (kronologi, asbabunnuzul dan penulisan) serta mahir mengaplikasikannya.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  <w:vAlign w:val="bottom"/>
          </w:tcPr>
          <w:p w:rsidR="00FA6829" w:rsidRDefault="00FA6829" w:rsidP="00D6660D">
            <w:pPr>
              <w:spacing w:line="0" w:lineRule="atLeast"/>
              <w:ind w:left="160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>Pokok-pokok Ulumul Quran</w:t>
            </w:r>
          </w:p>
        </w:tc>
        <w:tc>
          <w:tcPr>
            <w:tcW w:w="1411" w:type="dxa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2355" w:type="dxa"/>
          </w:tcPr>
          <w:p w:rsidR="00FA6829" w:rsidRPr="00B776E6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metode </w:t>
            </w:r>
            <w:r>
              <w:rPr>
                <w:rFonts w:cs="Times New Roman"/>
                <w:sz w:val="22"/>
              </w:rPr>
              <w:lastRenderedPageBreak/>
              <w:t xml:space="preserve">penafsiran al-Quran </w:t>
            </w:r>
            <w:r>
              <w:rPr>
                <w:rFonts w:ascii="Tahoma" w:eastAsia="Tahoma" w:hAnsi="Tahoma"/>
                <w:sz w:val="18"/>
              </w:rPr>
              <w:t>(</w:t>
            </w:r>
            <w:r>
              <w:rPr>
                <w:rFonts w:ascii="Tahoma" w:eastAsia="Tahoma" w:hAnsi="Tahoma"/>
                <w:i/>
                <w:iCs/>
                <w:sz w:val="18"/>
              </w:rPr>
              <w:t xml:space="preserve">tahlili, ijmali, muqaran </w:t>
            </w:r>
            <w:r>
              <w:rPr>
                <w:rFonts w:ascii="Tahoma" w:eastAsia="Tahoma" w:hAnsi="Tahoma"/>
                <w:sz w:val="18"/>
              </w:rPr>
              <w:t>dan</w:t>
            </w:r>
            <w:r>
              <w:rPr>
                <w:rFonts w:ascii="Tahoma" w:eastAsia="Tahoma" w:hAnsi="Tahoma"/>
                <w:i/>
                <w:iCs/>
                <w:sz w:val="18"/>
              </w:rPr>
              <w:t xml:space="preserve">maudhu’) </w:t>
            </w:r>
            <w:r>
              <w:rPr>
                <w:rFonts w:ascii="Tahoma" w:eastAsia="Tahoma" w:hAnsi="Tahoma"/>
                <w:sz w:val="18"/>
              </w:rPr>
              <w:t>serta menerapkannya dalam konteks tema-tema kekinian.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Ketepatan mempresentasikan, </w:t>
            </w:r>
            <w:r>
              <w:rPr>
                <w:rFonts w:cs="Times New Roman"/>
                <w:sz w:val="22"/>
              </w:rPr>
              <w:lastRenderedPageBreak/>
              <w:t>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lastRenderedPageBreak/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 xml:space="preserve">cooperative </w:t>
            </w:r>
            <w:r w:rsidRPr="001953D5">
              <w:rPr>
                <w:rFonts w:cs="Times New Roman"/>
                <w:i/>
                <w:iCs/>
                <w:sz w:val="22"/>
              </w:rPr>
              <w:lastRenderedPageBreak/>
              <w:t>learning, problem soving</w:t>
            </w:r>
          </w:p>
        </w:tc>
        <w:tc>
          <w:tcPr>
            <w:tcW w:w="2181" w:type="dxa"/>
            <w:vAlign w:val="bottom"/>
          </w:tcPr>
          <w:p w:rsidR="00FA6829" w:rsidRDefault="00FA6829" w:rsidP="00D6660D">
            <w:pPr>
              <w:spacing w:line="216" w:lineRule="exact"/>
              <w:ind w:left="160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lastRenderedPageBreak/>
              <w:t>Metode Penafsiran Al-quran (</w:t>
            </w:r>
            <w:r>
              <w:rPr>
                <w:rFonts w:ascii="Tahoma" w:eastAsia="Tahoma" w:hAnsi="Tahoma"/>
                <w:i/>
                <w:iCs/>
                <w:sz w:val="18"/>
              </w:rPr>
              <w:t xml:space="preserve">tahlili, ijmali, muqaran </w:t>
            </w:r>
            <w:r>
              <w:rPr>
                <w:rFonts w:ascii="Tahoma" w:eastAsia="Tahoma" w:hAnsi="Tahoma"/>
                <w:sz w:val="18"/>
              </w:rPr>
              <w:lastRenderedPageBreak/>
              <w:t>dan</w:t>
            </w:r>
            <w:r>
              <w:rPr>
                <w:rFonts w:ascii="Tahoma" w:eastAsia="Tahoma" w:hAnsi="Tahoma"/>
                <w:i/>
                <w:iCs/>
                <w:sz w:val="18"/>
              </w:rPr>
              <w:t>maudhu’)</w:t>
            </w:r>
          </w:p>
        </w:tc>
        <w:tc>
          <w:tcPr>
            <w:tcW w:w="1411" w:type="dxa"/>
          </w:tcPr>
          <w:p w:rsidR="00FA6829" w:rsidRDefault="00230287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10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7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menafsirkan dengan metode tematik (</w:t>
            </w:r>
            <w:r w:rsidRPr="00B776E6">
              <w:rPr>
                <w:rFonts w:cs="Times New Roman"/>
                <w:i/>
                <w:iCs/>
                <w:sz w:val="22"/>
              </w:rPr>
              <w:t>maudhu’i</w:t>
            </w:r>
            <w:r>
              <w:rPr>
                <w:rFonts w:cs="Times New Roman"/>
                <w:sz w:val="22"/>
              </w:rPr>
              <w:t>) meskipun secara sederhana.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  <w:vAlign w:val="bottom"/>
          </w:tcPr>
          <w:p w:rsidR="00FA6829" w:rsidRPr="00035F2A" w:rsidRDefault="00FA6829" w:rsidP="00035F2A">
            <w:pPr>
              <w:spacing w:line="0" w:lineRule="atLeast"/>
              <w:ind w:left="160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>Praktek menafsirkan ayat dengan metode tematik (maudhu’i) secara sederhana.</w:t>
            </w:r>
          </w:p>
        </w:tc>
        <w:tc>
          <w:tcPr>
            <w:tcW w:w="1411" w:type="dxa"/>
          </w:tcPr>
          <w:p w:rsidR="00FA6829" w:rsidRDefault="00230287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FA6829" w:rsidTr="00FA6829">
        <w:tc>
          <w:tcPr>
            <w:tcW w:w="1225" w:type="dxa"/>
            <w:shd w:val="clear" w:color="auto" w:fill="DBE5F1" w:themeFill="accent1" w:themeFillTint="33"/>
          </w:tcPr>
          <w:p w:rsidR="00FA6829" w:rsidRDefault="00FA6829" w:rsidP="00D61A60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8</w:t>
            </w:r>
          </w:p>
        </w:tc>
        <w:tc>
          <w:tcPr>
            <w:tcW w:w="10547" w:type="dxa"/>
            <w:gridSpan w:val="5"/>
            <w:shd w:val="clear" w:color="auto" w:fill="DBE5F1" w:themeFill="accent1" w:themeFillTint="33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411" w:type="dxa"/>
            <w:shd w:val="clear" w:color="auto" w:fill="DBE5F1" w:themeFill="accent1" w:themeFillTint="33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01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1540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1540" w:type="dxa"/>
            <w:vAlign w:val="bottom"/>
          </w:tcPr>
          <w:p w:rsidR="00FA6829" w:rsidRDefault="00FA6829" w:rsidP="00D6660D">
            <w:pPr>
              <w:spacing w:line="216" w:lineRule="exact"/>
              <w:ind w:left="160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>al-Qur'an, sketsa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menjelaskan pengertian hadits, kedududukan dan kehujjahan hadits dalam Islam, fungsi dan hubungan hadits dengan Al-Quran dan Islam pada umumnya , dan term-term yang pokok dalam Ulumul Hadits.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  <w:vAlign w:val="bottom"/>
          </w:tcPr>
          <w:p w:rsidR="00FA6829" w:rsidRDefault="00FA6829" w:rsidP="00D6660D">
            <w:pPr>
              <w:spacing w:line="0" w:lineRule="atLeast"/>
              <w:ind w:left="160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>Pengantar studi hadits</w:t>
            </w:r>
          </w:p>
        </w:tc>
        <w:tc>
          <w:tcPr>
            <w:tcW w:w="1411" w:type="dxa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5 %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sejarah periwayatan Hadits pada masa Nabi SAW, sejarah periwayatan dan pembukuan Hadits sejak periode sahabat Nabi hingga periode modern, perkembangan studi hadits </w:t>
            </w:r>
            <w:r>
              <w:rPr>
                <w:rFonts w:cs="Times New Roman"/>
                <w:sz w:val="22"/>
              </w:rPr>
              <w:lastRenderedPageBreak/>
              <w:t>kontemporer.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Ketepatan mempresentasikan, 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  <w:vAlign w:val="bottom"/>
          </w:tcPr>
          <w:p w:rsidR="00FA6829" w:rsidRDefault="00FA6829" w:rsidP="00D6660D">
            <w:pPr>
              <w:spacing w:line="216" w:lineRule="exact"/>
              <w:ind w:left="160"/>
              <w:rPr>
                <w:rFonts w:ascii="Tahoma" w:eastAsia="Tahoma" w:hAnsi="Tahoma"/>
                <w:sz w:val="18"/>
              </w:rPr>
            </w:pPr>
            <w:r>
              <w:rPr>
                <w:rFonts w:ascii="Tahoma" w:eastAsia="Tahoma" w:hAnsi="Tahoma"/>
                <w:sz w:val="18"/>
              </w:rPr>
              <w:t>Sejarah dan perkembangan Hadits</w:t>
            </w:r>
          </w:p>
        </w:tc>
        <w:tc>
          <w:tcPr>
            <w:tcW w:w="1411" w:type="dxa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11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pengertian dan keberadaan sanad dalam periwayatan Hadits, mekanisme periwayatan hadits dengan isnad dan memberikan argumen terhadap kritik tentang sanad. 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Teori studi sanad hadits</w:t>
            </w:r>
          </w:p>
        </w:tc>
        <w:tc>
          <w:tcPr>
            <w:tcW w:w="1411" w:type="dxa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Secara sederhana mampu menjelaskan dan mengaplikasikan dasar-dasar ulumul Hadits dalam studi sanad.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Prosedur/metode studi sanad hadits</w:t>
            </w:r>
          </w:p>
        </w:tc>
        <w:tc>
          <w:tcPr>
            <w:tcW w:w="1411" w:type="dxa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menjelaskan prinsip-prinsip dalam memahami matan hadits berbagai problem dan solusi dalam memahami matan hadits hasil aplikasi studi sanad. 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Teori Studi matan Hadits</w:t>
            </w:r>
          </w:p>
        </w:tc>
        <w:tc>
          <w:tcPr>
            <w:tcW w:w="1411" w:type="dxa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secara sederhana mampu menjelaskan dan mengaplikasikan prinsip-prinsip memahami matan hadits Nabi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mempresentasikan, kritis dan obyektif 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>cooperative learning, problem soving</w:t>
            </w:r>
          </w:p>
        </w:tc>
        <w:tc>
          <w:tcPr>
            <w:tcW w:w="2181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Aplikasi/praktik memahami Hadits</w:t>
            </w:r>
          </w:p>
        </w:tc>
        <w:tc>
          <w:tcPr>
            <w:tcW w:w="1411" w:type="dxa"/>
          </w:tcPr>
          <w:p w:rsidR="00FA6829" w:rsidRDefault="00FA6829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 w:rsidR="00FA6829" w:rsidTr="00FA6829">
        <w:trPr>
          <w:gridAfter w:val="3"/>
          <w:wAfter w:w="4981" w:type="dxa"/>
        </w:trPr>
        <w:tc>
          <w:tcPr>
            <w:tcW w:w="1225" w:type="dxa"/>
          </w:tcPr>
          <w:p w:rsidR="00FA6829" w:rsidRDefault="00FA6829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2355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menghafal 10 hadits-hadits pilihan.</w:t>
            </w:r>
          </w:p>
        </w:tc>
        <w:tc>
          <w:tcPr>
            <w:tcW w:w="1918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mempresentasikan, kritis dan obyektif </w:t>
            </w:r>
            <w:r>
              <w:rPr>
                <w:rFonts w:cs="Times New Roman"/>
                <w:sz w:val="22"/>
              </w:rPr>
              <w:lastRenderedPageBreak/>
              <w:t>serta teliti dalam memahami materi</w:t>
            </w:r>
          </w:p>
        </w:tc>
        <w:tc>
          <w:tcPr>
            <w:tcW w:w="2044" w:type="dxa"/>
          </w:tcPr>
          <w:p w:rsidR="00FA6829" w:rsidRDefault="00FA6829">
            <w:r w:rsidRPr="00793FF9">
              <w:rPr>
                <w:rFonts w:cs="Times New Roman"/>
                <w:sz w:val="22"/>
              </w:rPr>
              <w:lastRenderedPageBreak/>
              <w:t>Presentasi, laporan, tulisan</w:t>
            </w:r>
          </w:p>
        </w:tc>
        <w:tc>
          <w:tcPr>
            <w:tcW w:w="2049" w:type="dxa"/>
          </w:tcPr>
          <w:p w:rsidR="00FA6829" w:rsidRDefault="00FA6829">
            <w:r w:rsidRPr="001953D5">
              <w:rPr>
                <w:rFonts w:cs="Times New Roman"/>
                <w:sz w:val="22"/>
              </w:rPr>
              <w:t xml:space="preserve">Kajian literatur, </w:t>
            </w:r>
            <w:r w:rsidRPr="001953D5">
              <w:rPr>
                <w:rFonts w:cs="Times New Roman"/>
                <w:i/>
                <w:iCs/>
                <w:sz w:val="22"/>
              </w:rPr>
              <w:t xml:space="preserve">cooperative learning, problem </w:t>
            </w:r>
            <w:r w:rsidRPr="001953D5">
              <w:rPr>
                <w:rFonts w:cs="Times New Roman"/>
                <w:i/>
                <w:iCs/>
                <w:sz w:val="22"/>
              </w:rPr>
              <w:lastRenderedPageBreak/>
              <w:t>soving</w:t>
            </w:r>
          </w:p>
        </w:tc>
        <w:tc>
          <w:tcPr>
            <w:tcW w:w="2181" w:type="dxa"/>
          </w:tcPr>
          <w:p w:rsidR="00FA6829" w:rsidRDefault="00FA682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Hafalan 10 hadits-hadits pilihan</w:t>
            </w:r>
          </w:p>
        </w:tc>
        <w:tc>
          <w:tcPr>
            <w:tcW w:w="1411" w:type="dxa"/>
          </w:tcPr>
          <w:p w:rsidR="00FA6829" w:rsidRDefault="00230287" w:rsidP="0023028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  <w:r w:rsidR="00FA6829">
              <w:rPr>
                <w:rFonts w:cs="Times New Roman"/>
                <w:sz w:val="22"/>
              </w:rPr>
              <w:t>%</w:t>
            </w:r>
          </w:p>
        </w:tc>
      </w:tr>
      <w:tr w:rsidR="00035F2A" w:rsidTr="00FA6829">
        <w:trPr>
          <w:gridAfter w:val="3"/>
          <w:wAfter w:w="4981" w:type="dxa"/>
        </w:trPr>
        <w:tc>
          <w:tcPr>
            <w:tcW w:w="1225" w:type="dxa"/>
            <w:shd w:val="clear" w:color="auto" w:fill="DBE5F1" w:themeFill="accent1" w:themeFillTint="33"/>
          </w:tcPr>
          <w:p w:rsidR="00035F2A" w:rsidRDefault="00035F2A" w:rsidP="00D61A60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lastRenderedPageBreak/>
              <w:t>16</w:t>
            </w:r>
          </w:p>
        </w:tc>
        <w:tc>
          <w:tcPr>
            <w:tcW w:w="11958" w:type="dxa"/>
            <w:gridSpan w:val="6"/>
            <w:shd w:val="clear" w:color="auto" w:fill="DBE5F1" w:themeFill="accent1" w:themeFillTint="33"/>
          </w:tcPr>
          <w:p w:rsidR="00035F2A" w:rsidRDefault="00035F2A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 Akhir Semester / UjianAkhir Semester</w:t>
            </w:r>
          </w:p>
        </w:tc>
      </w:tr>
    </w:tbl>
    <w:p w:rsidR="00C070C0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:rsidR="00A51095" w:rsidRDefault="00A51095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:rsidR="00A51095" w:rsidRDefault="00A51095" w:rsidP="00A51095">
      <w:pPr>
        <w:spacing w:before="100" w:beforeAutospacing="1" w:after="100" w:afterAutospacing="1"/>
        <w:ind w:left="504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Bengkulu, Maret 2021</w:t>
      </w:r>
    </w:p>
    <w:p w:rsidR="00A51095" w:rsidRDefault="00A51095" w:rsidP="00A51095">
      <w:pPr>
        <w:spacing w:before="100" w:beforeAutospacing="1" w:after="100" w:afterAutospacing="1"/>
        <w:ind w:left="504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Dosen Pengampu 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</w:p>
    <w:p w:rsidR="00A51095" w:rsidRDefault="00A51095" w:rsidP="00A51095">
      <w:pPr>
        <w:spacing w:before="100" w:beforeAutospacing="1" w:after="100" w:afterAutospacing="1"/>
        <w:rPr>
          <w:rFonts w:asciiTheme="majorBidi" w:hAnsiTheme="majorBidi" w:cstheme="majorBidi"/>
          <w:szCs w:val="24"/>
        </w:rPr>
      </w:pPr>
    </w:p>
    <w:p w:rsidR="00A51095" w:rsidRDefault="00A51095" w:rsidP="00A51095">
      <w:pPr>
        <w:spacing w:before="100" w:beforeAutospacing="1" w:after="100" w:afterAutospacing="1"/>
        <w:ind w:left="504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Aziza Aryati, M.Ag                                                                                                              NIP. 197212122005012007</w:t>
      </w:r>
    </w:p>
    <w:p w:rsidR="00A51095" w:rsidRDefault="00A51095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sectPr w:rsidR="00A51095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3D1B58B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507ED7A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2EB141F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41B71EF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7545E146"/>
    <w:lvl w:ilvl="0" w:tplc="FFFFFFFF">
      <w:start w:val="7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1232F0"/>
    <w:multiLevelType w:val="hybridMultilevel"/>
    <w:tmpl w:val="CB52B928"/>
    <w:lvl w:ilvl="0" w:tplc="CB4E1E1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4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8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B31CB"/>
    <w:multiLevelType w:val="hybridMultilevel"/>
    <w:tmpl w:val="746498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3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8"/>
  </w:num>
  <w:num w:numId="4">
    <w:abstractNumId w:val="5"/>
  </w:num>
  <w:num w:numId="5">
    <w:abstractNumId w:val="35"/>
  </w:num>
  <w:num w:numId="6">
    <w:abstractNumId w:val="31"/>
  </w:num>
  <w:num w:numId="7">
    <w:abstractNumId w:val="16"/>
  </w:num>
  <w:num w:numId="8">
    <w:abstractNumId w:val="22"/>
  </w:num>
  <w:num w:numId="9">
    <w:abstractNumId w:val="13"/>
  </w:num>
  <w:num w:numId="10">
    <w:abstractNumId w:val="10"/>
  </w:num>
  <w:num w:numId="11">
    <w:abstractNumId w:val="33"/>
  </w:num>
  <w:num w:numId="12">
    <w:abstractNumId w:val="23"/>
  </w:num>
  <w:num w:numId="13">
    <w:abstractNumId w:val="12"/>
  </w:num>
  <w:num w:numId="14">
    <w:abstractNumId w:val="6"/>
  </w:num>
  <w:num w:numId="15">
    <w:abstractNumId w:val="26"/>
  </w:num>
  <w:num w:numId="16">
    <w:abstractNumId w:val="7"/>
  </w:num>
  <w:num w:numId="17">
    <w:abstractNumId w:val="11"/>
  </w:num>
  <w:num w:numId="18">
    <w:abstractNumId w:val="27"/>
  </w:num>
  <w:num w:numId="19">
    <w:abstractNumId w:val="32"/>
  </w:num>
  <w:num w:numId="20">
    <w:abstractNumId w:val="21"/>
  </w:num>
  <w:num w:numId="21">
    <w:abstractNumId w:val="24"/>
  </w:num>
  <w:num w:numId="22">
    <w:abstractNumId w:val="18"/>
  </w:num>
  <w:num w:numId="23">
    <w:abstractNumId w:val="34"/>
  </w:num>
  <w:num w:numId="24">
    <w:abstractNumId w:val="15"/>
  </w:num>
  <w:num w:numId="25">
    <w:abstractNumId w:val="17"/>
  </w:num>
  <w:num w:numId="26">
    <w:abstractNumId w:val="29"/>
  </w:num>
  <w:num w:numId="27">
    <w:abstractNumId w:val="25"/>
  </w:num>
  <w:num w:numId="28">
    <w:abstractNumId w:val="8"/>
  </w:num>
  <w:num w:numId="29">
    <w:abstractNumId w:val="14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19"/>
  </w:num>
  <w:num w:numId="35">
    <w:abstractNumId w:val="30"/>
  </w:num>
  <w:num w:numId="36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35F2A"/>
    <w:rsid w:val="000408E9"/>
    <w:rsid w:val="00044CB0"/>
    <w:rsid w:val="00054011"/>
    <w:rsid w:val="00057719"/>
    <w:rsid w:val="000A4AAC"/>
    <w:rsid w:val="000B26B8"/>
    <w:rsid w:val="000B3F02"/>
    <w:rsid w:val="000B50E2"/>
    <w:rsid w:val="000C1961"/>
    <w:rsid w:val="000D1A4C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632FF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5DD2"/>
    <w:rsid w:val="00217CF4"/>
    <w:rsid w:val="00222138"/>
    <w:rsid w:val="00230287"/>
    <w:rsid w:val="00236FF6"/>
    <w:rsid w:val="00250EA1"/>
    <w:rsid w:val="00256D9D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700E1"/>
    <w:rsid w:val="00482882"/>
    <w:rsid w:val="00487A8A"/>
    <w:rsid w:val="004A7ED9"/>
    <w:rsid w:val="004B18D8"/>
    <w:rsid w:val="004C297C"/>
    <w:rsid w:val="004D4F39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25552"/>
    <w:rsid w:val="0062703A"/>
    <w:rsid w:val="00632047"/>
    <w:rsid w:val="00657381"/>
    <w:rsid w:val="00661256"/>
    <w:rsid w:val="0068196F"/>
    <w:rsid w:val="0069469C"/>
    <w:rsid w:val="006B30E0"/>
    <w:rsid w:val="006B3A42"/>
    <w:rsid w:val="006B7300"/>
    <w:rsid w:val="006E35ED"/>
    <w:rsid w:val="0071513A"/>
    <w:rsid w:val="007224FD"/>
    <w:rsid w:val="00742F5A"/>
    <w:rsid w:val="0074356D"/>
    <w:rsid w:val="00754096"/>
    <w:rsid w:val="007551C8"/>
    <w:rsid w:val="0076637C"/>
    <w:rsid w:val="007754BA"/>
    <w:rsid w:val="00782A6B"/>
    <w:rsid w:val="00787F8F"/>
    <w:rsid w:val="007A4EDC"/>
    <w:rsid w:val="007C4E4A"/>
    <w:rsid w:val="007D0565"/>
    <w:rsid w:val="007F7B37"/>
    <w:rsid w:val="0081080B"/>
    <w:rsid w:val="00813FEC"/>
    <w:rsid w:val="0084299D"/>
    <w:rsid w:val="008432C9"/>
    <w:rsid w:val="00863DE4"/>
    <w:rsid w:val="00885430"/>
    <w:rsid w:val="008A1B83"/>
    <w:rsid w:val="008A5096"/>
    <w:rsid w:val="008A63B8"/>
    <w:rsid w:val="008A65B0"/>
    <w:rsid w:val="008A7F81"/>
    <w:rsid w:val="008C43BD"/>
    <w:rsid w:val="008D07CE"/>
    <w:rsid w:val="008E0FAC"/>
    <w:rsid w:val="009004E8"/>
    <w:rsid w:val="00900AB3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30D67"/>
    <w:rsid w:val="00A51095"/>
    <w:rsid w:val="00A538A4"/>
    <w:rsid w:val="00A67D47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4467B"/>
    <w:rsid w:val="00B66139"/>
    <w:rsid w:val="00B74D2E"/>
    <w:rsid w:val="00B776E6"/>
    <w:rsid w:val="00B806E2"/>
    <w:rsid w:val="00B92416"/>
    <w:rsid w:val="00B92899"/>
    <w:rsid w:val="00BC1C71"/>
    <w:rsid w:val="00BF03E6"/>
    <w:rsid w:val="00BF5F63"/>
    <w:rsid w:val="00C05CAC"/>
    <w:rsid w:val="00C070C0"/>
    <w:rsid w:val="00C23176"/>
    <w:rsid w:val="00C37909"/>
    <w:rsid w:val="00C4669A"/>
    <w:rsid w:val="00C509B7"/>
    <w:rsid w:val="00C53104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30DB"/>
    <w:rsid w:val="00D05040"/>
    <w:rsid w:val="00D21C19"/>
    <w:rsid w:val="00D32ED3"/>
    <w:rsid w:val="00D349C1"/>
    <w:rsid w:val="00D539D8"/>
    <w:rsid w:val="00D57A19"/>
    <w:rsid w:val="00D61A60"/>
    <w:rsid w:val="00D743ED"/>
    <w:rsid w:val="00D74D04"/>
    <w:rsid w:val="00DC103B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A6829"/>
    <w:rsid w:val="00FC621A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15</cp:revision>
  <cp:lastPrinted>2018-03-05T03:11:00Z</cp:lastPrinted>
  <dcterms:created xsi:type="dcterms:W3CDTF">2021-03-08T09:12:00Z</dcterms:created>
  <dcterms:modified xsi:type="dcterms:W3CDTF">2021-03-09T03:55:00Z</dcterms:modified>
</cp:coreProperties>
</file>