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1000"/>
        <w:gridCol w:w="4400"/>
        <w:gridCol w:w="1360"/>
        <w:gridCol w:w="1520"/>
        <w:gridCol w:w="760"/>
        <w:gridCol w:w="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52500" cy="952500"/>
                  <wp:effectExtent l="0" t="0" r="0" b="0"/>
                  <wp:docPr id="21313774" name="Picture">
</wp:docPr>
                  <a:graphic>
                    <a:graphicData uri="http://schemas.openxmlformats.org/drawingml/2006/picture">
                      <pic:pic>
                        <pic:nvPicPr>
                          <pic:cNvPr id="21313774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AGENDA PERKULIAHAN (SILABUS)</w:t>
              <w:br/>
              <w:t xml:space="preserve">FAKULTAS SYARIAH PRODI HUKUM KELUARGA ISLAM (AHWAL SYAKHSHIYYAH)</w:t>
              <w:br/>
              <w:t xml:space="preserve">Semester Ganjil Tahun Akademik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Giyarsi, S. Sy.,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199108222019032006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ILMU TAUHID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06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Rencana pembelajaran Studi.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Makna Akidah dan urgensinya sbg Landasan Agama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20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Memahami Tauhid dan macam-macamnya.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27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Ilmu Tauhid/IlmuKalam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04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Metode dan Kerangka berfikir aliran-aliran Kalam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Aliran Khawarij dan ajarannya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18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Latar belakang munculnya aliran Murji'ah.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25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8 : 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01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Latar Belakang aliran Jabariyah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08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Faktor pemicu lahirnya aliran Qadhariyah.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Asal usul kemunculan aliran Mu,tazilah.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22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Aliran Syi'ah dan ajarannya.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29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Ahlussunnah wal Jama'ah dan ajarannya.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06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Perbandingan antar aliran tentang pelaku Dosa Besar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Perbandingan antar aliran tentang iman dan kufur.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Pake Makalah diskusi,diterangkan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20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09.11-10.50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16 : Membahas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Mengerjakan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Ilmu Tauhid Syaikhul Islam Ibnu Taimiyah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06 September 2021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Nenan Julir, M.Ag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Giyarsi, S. Sy.,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2025097502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230025223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