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16" w:type="dxa"/>
        <w:jc w:val="center"/>
        <w:tblLook w:val="04A0" w:firstRow="1" w:lastRow="0" w:firstColumn="1" w:lastColumn="0" w:noHBand="0" w:noVBand="1"/>
      </w:tblPr>
      <w:tblGrid>
        <w:gridCol w:w="2875"/>
        <w:gridCol w:w="779"/>
        <w:gridCol w:w="593"/>
        <w:gridCol w:w="137"/>
        <w:gridCol w:w="1824"/>
        <w:gridCol w:w="1695"/>
        <w:gridCol w:w="1744"/>
        <w:gridCol w:w="4069"/>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74F30225" w:rsidR="00DC1DB4" w:rsidRPr="00D257D7" w:rsidRDefault="00F6014B" w:rsidP="004B0034">
            <w:pPr>
              <w:rPr>
                <w:lang w:val="en-US"/>
              </w:rPr>
            </w:pPr>
            <w:r w:rsidRPr="004B0034">
              <w:t>PROGRAM STUDI HUKUM</w:t>
            </w:r>
            <w:r w:rsidR="00C409EE" w:rsidRPr="004B0034">
              <w:t xml:space="preserve"> </w:t>
            </w:r>
            <w:r w:rsidR="00D257D7">
              <w:t>EKONOMI SYARIAH</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974EF"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974EF"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Fiqh Mawaris</w:t>
            </w:r>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(sks)</w:t>
            </w:r>
          </w:p>
        </w:tc>
        <w:tc>
          <w:tcPr>
            <w:tcW w:w="1843" w:type="dxa"/>
          </w:tcPr>
          <w:p w14:paraId="29DE5EC5" w14:textId="0666CFAE" w:rsidR="004B18D8" w:rsidRPr="00DF1B2B" w:rsidRDefault="0019083B"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w:t>
            </w:r>
            <w:r>
              <w:rPr>
                <w:rFonts w:asciiTheme="majorHAnsi" w:hAnsiTheme="majorHAnsi"/>
                <w:sz w:val="20"/>
                <w:szCs w:val="20"/>
                <w:lang w:val="en-US"/>
              </w:rPr>
              <w:t>Tiga</w:t>
            </w:r>
            <w:r w:rsidR="00FF398F" w:rsidRPr="00DF1B2B">
              <w:rPr>
                <w:rFonts w:asciiTheme="majorHAnsi" w:hAnsiTheme="majorHAnsi"/>
                <w:sz w:val="20"/>
                <w:szCs w:val="20"/>
                <w:lang w:val="en-US"/>
              </w:rPr>
              <w:t>)</w:t>
            </w:r>
          </w:p>
        </w:tc>
        <w:tc>
          <w:tcPr>
            <w:tcW w:w="3402" w:type="dxa"/>
          </w:tcPr>
          <w:p w14:paraId="52E67093" w14:textId="0C79127E" w:rsidR="004B18D8" w:rsidRPr="00DF1B2B" w:rsidRDefault="00BC232D"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r w:rsidR="0019083B">
              <w:rPr>
                <w:rFonts w:asciiTheme="majorHAnsi" w:hAnsiTheme="majorHAnsi"/>
                <w:sz w:val="20"/>
                <w:szCs w:val="20"/>
                <w:lang w:val="en-US"/>
              </w:rPr>
              <w:t>Agustus</w:t>
            </w:r>
            <w:r w:rsidR="00D257D7">
              <w:rPr>
                <w:rFonts w:asciiTheme="majorHAnsi" w:hAnsiTheme="majorHAnsi"/>
                <w:sz w:val="20"/>
                <w:szCs w:val="20"/>
                <w:lang w:val="en-US"/>
              </w:rPr>
              <w:t xml:space="preserve"> </w:t>
            </w:r>
            <w:r w:rsidR="001A3ED2">
              <w:rPr>
                <w:rFonts w:asciiTheme="majorHAnsi" w:hAnsiTheme="majorHAnsi"/>
                <w:sz w:val="20"/>
                <w:szCs w:val="20"/>
                <w:lang w:val="en-US"/>
              </w:rPr>
              <w:t xml:space="preserve"> 202</w:t>
            </w:r>
            <w:r w:rsidR="00D257D7">
              <w:rPr>
                <w:rFonts w:asciiTheme="majorHAnsi" w:hAnsiTheme="majorHAnsi"/>
                <w:sz w:val="20"/>
                <w:szCs w:val="20"/>
                <w:lang w:val="en-US"/>
              </w:rPr>
              <w:t>3</w:t>
            </w:r>
          </w:p>
        </w:tc>
      </w:tr>
      <w:tr w:rsidR="002974EF"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974EF"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4D03BF54" w:rsidR="004B18D8" w:rsidRPr="00DF1B2B" w:rsidRDefault="004B18D8" w:rsidP="00DC1DB4">
            <w:pPr>
              <w:autoSpaceDE w:val="0"/>
              <w:autoSpaceDN w:val="0"/>
              <w:adjustRightInd w:val="0"/>
              <w:rPr>
                <w:rFonts w:asciiTheme="majorHAnsi" w:hAnsiTheme="majorHAnsi" w:cs="Times New Roman"/>
                <w:sz w:val="20"/>
                <w:szCs w:val="20"/>
              </w:rPr>
            </w:pP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7777777" w:rsidR="000575C7" w:rsidRDefault="000575C7" w:rsidP="00436FE7">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Dr. Yusmita, M.Ag</w:t>
            </w:r>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Dr. Iim Fahima, M. Ag</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532F75" w14:textId="77777777" w:rsidR="00BC232D" w:rsidRDefault="00BC232D" w:rsidP="00BC232D">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Dr. Yusmita, M.Ag</w:t>
            </w:r>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24616368" w:rsidR="00146DE4" w:rsidRPr="00146DE4" w:rsidRDefault="00C409EE" w:rsidP="00C409EE">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Etry Mike, M.H</w:t>
            </w:r>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3815BB9B" w14:textId="50593E90"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13C85B93" w14:textId="77777777" w:rsidR="00D257D7" w:rsidRPr="005E6007" w:rsidRDefault="00D257D7" w:rsidP="00D257D7">
            <w:pPr>
              <w:pStyle w:val="ListParagraph"/>
              <w:numPr>
                <w:ilvl w:val="0"/>
                <w:numId w:val="12"/>
              </w:numPr>
              <w:jc w:val="both"/>
              <w:rPr>
                <w:rFonts w:ascii="Candara" w:hAnsi="Candara" w:cstheme="majorBidi"/>
                <w:szCs w:val="24"/>
              </w:rPr>
            </w:pPr>
            <w:r w:rsidRPr="007E1E42">
              <w:rPr>
                <w:rFonts w:ascii="Candara" w:eastAsia="Times New Roman" w:hAnsi="Candara" w:cstheme="majorBidi"/>
                <w:color w:val="000000"/>
                <w:szCs w:val="24"/>
              </w:rPr>
              <w:t>Lulusan mampu menunjukkan sikap ihsan atas peke</w:t>
            </w:r>
            <w:r w:rsidRPr="005E6007">
              <w:rPr>
                <w:rFonts w:ascii="Candara" w:eastAsia="Times New Roman" w:hAnsi="Candara" w:cstheme="majorBidi"/>
                <w:color w:val="000000"/>
                <w:szCs w:val="24"/>
              </w:rPr>
              <w:t>rjaan di bidang praktisi hukum I</w:t>
            </w:r>
            <w:r w:rsidRPr="007E1E42">
              <w:rPr>
                <w:rFonts w:ascii="Candara" w:eastAsia="Times New Roman" w:hAnsi="Candara" w:cstheme="majorBidi"/>
                <w:color w:val="000000"/>
                <w:szCs w:val="24"/>
              </w:rPr>
              <w:t xml:space="preserve">slam secara umum dan bidang hukum ekonomi syariah secara </w:t>
            </w:r>
            <w:r>
              <w:rPr>
                <w:rFonts w:ascii="Candara" w:hAnsi="Candara" w:cstheme="majorBidi"/>
                <w:szCs w:val="24"/>
              </w:rPr>
              <w:t>khusus</w:t>
            </w:r>
          </w:p>
          <w:p w14:paraId="086DC623"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menguasai teori bidang hukum ekonomi syariah (Muamalah) secara menyeluruh</w:t>
            </w:r>
          </w:p>
          <w:p w14:paraId="7656D4E0"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mengimplementasikan teori bidang hukum ekonomi syariah dalam menganalisa dan menyelesaikan perkara hukum ekonomi syariah</w:t>
            </w:r>
          </w:p>
          <w:p w14:paraId="7C317CFF"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beradaptasi terhadap konteks permasalahan hukum ekonomi syariah yang dihadapi dengan baik</w:t>
            </w:r>
          </w:p>
          <w:p w14:paraId="51475DA5" w14:textId="11954AEF" w:rsidR="00495047" w:rsidRPr="00D257D7" w:rsidRDefault="00D257D7" w:rsidP="00D257D7">
            <w:pPr>
              <w:pStyle w:val="ListParagraph"/>
              <w:numPr>
                <w:ilvl w:val="0"/>
                <w:numId w:val="12"/>
              </w:numPr>
              <w:jc w:val="both"/>
              <w:rPr>
                <w:rFonts w:asciiTheme="majorHAnsi" w:eastAsia="Arial" w:hAnsiTheme="majorHAnsi"/>
                <w:color w:val="FF0000"/>
                <w:sz w:val="20"/>
                <w:szCs w:val="20"/>
              </w:rPr>
            </w:pPr>
            <w:r w:rsidRPr="00D40BEC">
              <w:rPr>
                <w:rFonts w:ascii="Candara" w:eastAsia="Times New Roman" w:hAnsi="Candara" w:cstheme="majorBidi"/>
                <w:color w:val="000000"/>
                <w:szCs w:val="24"/>
              </w:rPr>
              <w:t>Lulusan mampu mengembangkan Langkah-langkah problem solving dalam menyelesaikan sengketa ekonomi syariah secara kreatif</w:t>
            </w:r>
            <w:r w:rsidR="00495047" w:rsidRPr="00D257D7">
              <w:rPr>
                <w:rFonts w:asciiTheme="majorHAnsi" w:eastAsia="Arial" w:hAnsiTheme="majorHAnsi"/>
                <w:color w:val="FF0000"/>
                <w:sz w:val="20"/>
                <w:szCs w:val="20"/>
                <w:lang w:val="en-US"/>
              </w:rPr>
              <w:t>.</w:t>
            </w:r>
          </w:p>
          <w:p w14:paraId="25498DFF" w14:textId="4E8BEBAF" w:rsidR="00F36405" w:rsidRPr="00D257D7" w:rsidRDefault="00F36405" w:rsidP="00C27943">
            <w:pPr>
              <w:tabs>
                <w:tab w:val="left" w:pos="1110"/>
              </w:tabs>
              <w:autoSpaceDE w:val="0"/>
              <w:autoSpaceDN w:val="0"/>
              <w:adjustRightInd w:val="0"/>
              <w:jc w:val="both"/>
              <w:rPr>
                <w:rFonts w:asciiTheme="majorHAnsi" w:hAnsiTheme="majorHAnsi" w:cs="Times New Roman"/>
                <w:color w:val="FF0000"/>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menerapkan pemikiran logis, kritis, sistematis, dan inovatif dalam kontek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mawaris</w:t>
            </w:r>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menunjukan kinerja mandiri, bermutu dan terukur.</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Mampu mengkaji implikasi pengembangan atau implementasi ilmu Fikih mawaris</w:t>
            </w:r>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menyusun deskripsi saintifik, hasil kajiannya dalam bentuk skripsi atau laporan tugas akhir yang bertema hukum waris maupun fikih mawaris</w:t>
            </w:r>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Memapu mengambil keputusan secara tepat dalam konteks peneyelesaian masalah di bidang Fikih mawaris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lang w:val="en-US"/>
              </w:rPr>
              <w:t>Keterampilan Khusus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merumuskan keputusan hukum positif dan hukum Islam secara umum, dalam kontek waris</w:t>
            </w:r>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menganalisis putusan pengadilan dan mengkomunikasikannya pada masyarakat dalam hal pembagian wairs</w:t>
            </w:r>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Mampu memberikan advokasi dan bantuan hukum dalam hal waris</w:t>
            </w:r>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menyajikan perhitungan waris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/Capaian Pembelajaran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Kulaih ini mengajarkan tentang </w:t>
            </w:r>
            <w:r w:rsidR="00600456">
              <w:rPr>
                <w:rFonts w:asciiTheme="majorHAnsi" w:hAnsiTheme="majorHAnsi"/>
                <w:sz w:val="20"/>
                <w:szCs w:val="20"/>
                <w:lang w:val="en-US"/>
              </w:rPr>
              <w:t>pembagian harta warisan setelah seseorang meninggal dunia dari pemilik harta kepada ahli warisnya yaitu dengan memahami terlebih dahulu</w:t>
            </w:r>
            <w:r>
              <w:rPr>
                <w:rFonts w:asciiTheme="majorHAnsi" w:hAnsiTheme="majorHAnsi"/>
                <w:sz w:val="20"/>
                <w:szCs w:val="20"/>
                <w:lang w:val="en-US"/>
              </w:rPr>
              <w:t xml:space="preserve"> teori-teori waris dalam Islam dan tatacara pebagian waris di dalam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Capaian Pembelajaran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Mahasiswa mampu memahami teori-teori waris dan mempraktekkan pebagian waris sesuai kasus-kasus yang ada</w:t>
            </w:r>
            <w:r w:rsidR="00CC0D4F">
              <w:rPr>
                <w:rFonts w:asciiTheme="majorHAnsi" w:hAnsiTheme="majorHAnsi"/>
                <w:sz w:val="20"/>
                <w:szCs w:val="20"/>
                <w:lang w:val="en-US"/>
              </w:rPr>
              <w:t xml:space="preserve"> di masyarakat</w:t>
            </w:r>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r w:rsidRPr="00DF1B2B">
              <w:rPr>
                <w:rFonts w:asciiTheme="majorHAnsi" w:hAnsiTheme="majorHAnsi"/>
                <w:sz w:val="20"/>
                <w:szCs w:val="20"/>
                <w:lang w:val="en-US"/>
              </w:rPr>
              <w:t xml:space="preserve">Materi pembahasan dalam mata kuliah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Mawaris</w:t>
            </w:r>
            <w:r w:rsidR="00600456">
              <w:rPr>
                <w:rFonts w:asciiTheme="majorHAnsi" w:hAnsiTheme="majorHAnsi"/>
                <w:sz w:val="20"/>
                <w:szCs w:val="20"/>
                <w:lang w:val="en-US"/>
              </w:rPr>
              <w:t>:</w:t>
            </w:r>
          </w:p>
          <w:p w14:paraId="5DD84A7C" w14:textId="1E367518" w:rsidR="00600456" w:rsidRDefault="005D790C">
            <w:pPr>
              <w:pStyle w:val="ListParagraph"/>
              <w:numPr>
                <w:ilvl w:val="0"/>
                <w:numId w:val="11"/>
              </w:numPr>
              <w:spacing w:after="120"/>
              <w:rPr>
                <w:rFonts w:asciiTheme="majorHAnsi" w:hAnsiTheme="majorHAnsi"/>
                <w:sz w:val="20"/>
                <w:szCs w:val="20"/>
              </w:rPr>
            </w:pPr>
            <w:r>
              <w:rPr>
                <w:rFonts w:asciiTheme="majorHAnsi" w:hAnsiTheme="majorHAnsi"/>
                <w:sz w:val="20"/>
                <w:szCs w:val="20"/>
                <w:lang w:val="en-US"/>
              </w:rPr>
              <w:t>Pengertian dan dasar Hukum</w:t>
            </w:r>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lastRenderedPageBreak/>
              <w:t>Ashabah</w:t>
            </w:r>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1226ABF0" w14:textId="098B940B" w:rsidR="00B17EF3" w:rsidRPr="00681258"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Wasiat</w:t>
            </w:r>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Sayid Sabiq,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Al-Alamah Muhammad,</w:t>
            </w:r>
            <w:r w:rsidRPr="00DF1B2B">
              <w:rPr>
                <w:rFonts w:asciiTheme="majorHAnsi" w:hAnsiTheme="majorHAnsi"/>
                <w:i/>
                <w:iCs/>
                <w:sz w:val="20"/>
                <w:szCs w:val="20"/>
              </w:rPr>
              <w:t>Fiqh Empat Mazhab</w:t>
            </w:r>
            <w:r w:rsidRPr="00DF1B2B">
              <w:rPr>
                <w:rFonts w:asciiTheme="majorHAnsi" w:hAnsiTheme="majorHAnsi"/>
                <w:sz w:val="20"/>
                <w:szCs w:val="20"/>
              </w:rPr>
              <w:t>, Hasyimi Perss</w:t>
            </w:r>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Mazhab</w:t>
            </w:r>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Wahbah Zuhaili, </w:t>
            </w:r>
            <w:r w:rsidRPr="00DF1B2B">
              <w:rPr>
                <w:rFonts w:asciiTheme="majorHAnsi" w:hAnsiTheme="majorHAnsi"/>
                <w:i/>
                <w:iCs/>
                <w:sz w:val="20"/>
                <w:szCs w:val="20"/>
              </w:rPr>
              <w:t>Fiqhul Islam Wa-Adillatuhu</w:t>
            </w:r>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Taqiyuddin, </w:t>
            </w:r>
            <w:r w:rsidRPr="00DF1B2B">
              <w:rPr>
                <w:rFonts w:asciiTheme="majorHAnsi" w:hAnsiTheme="majorHAnsi"/>
                <w:i/>
                <w:iCs/>
                <w:sz w:val="20"/>
                <w:szCs w:val="20"/>
              </w:rPr>
              <w:t xml:space="preserve"> Kifayatul Ahyar</w:t>
            </w:r>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Suparman Usman dan Yusuf  Somawinata, Figh Mawaris Hukum Kewarisan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Amin Husein Nasution, Hukum Kewarisan</w:t>
            </w:r>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Moh.Anwar, Faraidl Hukum Waris dalam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Amin Suma, Keadilan Hukum Waris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Hukum Waris Dalam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Ash-Shabuni, Pembagian Waris Menurut Islamm</w:t>
            </w:r>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Amir Syarifuddin, Hukum Kewarisan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infikus, </w:t>
            </w:r>
            <w:r w:rsidR="009049A4" w:rsidRPr="00DF1B2B">
              <w:rPr>
                <w:rFonts w:asciiTheme="majorHAnsi" w:hAnsiTheme="majorHAnsi" w:cs="Times New Roman"/>
                <w:sz w:val="20"/>
                <w:szCs w:val="20"/>
                <w:lang w:val="en-US"/>
              </w:rPr>
              <w:t xml:space="preserve">Zoom meeting, group whatsap, google classroom, serta media perkuliahan lainnya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dapat digunakan dengan efektif dala</w:t>
            </w:r>
            <w:r w:rsidR="00A71BA7" w:rsidRPr="00DF1B2B">
              <w:rPr>
                <w:rFonts w:asciiTheme="majorHAnsi" w:hAnsiTheme="majorHAnsi" w:cs="Times New Roman"/>
                <w:sz w:val="20"/>
                <w:szCs w:val="20"/>
                <w:lang w:val="en-US"/>
              </w:rPr>
              <w:t>m diskusi dan penyampaian topik</w:t>
            </w:r>
            <w:r w:rsidR="009049A4" w:rsidRPr="00DF1B2B">
              <w:rPr>
                <w:rFonts w:asciiTheme="majorHAnsi" w:hAnsiTheme="majorHAnsi" w:cs="Times New Roman"/>
                <w:sz w:val="20"/>
                <w:szCs w:val="20"/>
                <w:lang w:val="en-US"/>
              </w:rPr>
              <w:t xml:space="preserve"> perkuliahan</w:t>
            </w:r>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77777777" w:rsidR="00CC177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0"/>
        <w:gridCol w:w="2030"/>
        <w:gridCol w:w="2689"/>
        <w:gridCol w:w="1497"/>
        <w:gridCol w:w="2403"/>
        <w:gridCol w:w="2711"/>
        <w:gridCol w:w="18"/>
        <w:gridCol w:w="1495"/>
        <w:gridCol w:w="31"/>
      </w:tblGrid>
      <w:tr w:rsidR="006B04EF" w:rsidRPr="00DF1B2B" w14:paraId="005B716C" w14:textId="77777777" w:rsidTr="006B04EF">
        <w:trPr>
          <w:gridAfter w:val="1"/>
          <w:wAfter w:w="36" w:type="dxa"/>
        </w:trPr>
        <w:tc>
          <w:tcPr>
            <w:tcW w:w="860"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2115" w:type="dxa"/>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543"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r w:rsidRPr="00D57372">
              <w:rPr>
                <w:rFonts w:cs="Times New Roman"/>
                <w:b/>
                <w:bCs/>
                <w:sz w:val="22"/>
                <w:lang w:val="en-US"/>
              </w:rPr>
              <w:t>Indikator</w:t>
            </w:r>
          </w:p>
        </w:tc>
        <w:tc>
          <w:tcPr>
            <w:tcW w:w="1497"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0"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689"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Materi Pembelajaran</w:t>
            </w:r>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594"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436B17">
        <w:trPr>
          <w:gridAfter w:val="1"/>
          <w:wAfter w:w="36" w:type="dxa"/>
        </w:trPr>
        <w:tc>
          <w:tcPr>
            <w:tcW w:w="860"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2115"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543" w:type="dxa"/>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Mahasiswa memiliki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Ada k</w:t>
            </w:r>
            <w:r w:rsidR="00B17EF3" w:rsidRPr="00B9307F">
              <w:rPr>
                <w:rFonts w:asciiTheme="majorHAnsi" w:hAnsiTheme="majorHAnsi"/>
                <w:sz w:val="20"/>
                <w:szCs w:val="20"/>
                <w:lang w:val="en-US"/>
              </w:rPr>
              <w:t xml:space="preserve">esepakatan perkuliahan </w:t>
            </w:r>
          </w:p>
          <w:p w14:paraId="6F37466B" w14:textId="47FAFAD5" w:rsidR="00A902A4" w:rsidRPr="00B9307F" w:rsidRDefault="00A902A4" w:rsidP="003E2FC9">
            <w:pPr>
              <w:rPr>
                <w:rFonts w:asciiTheme="majorHAnsi" w:hAnsiTheme="majorHAnsi"/>
                <w:sz w:val="20"/>
                <w:szCs w:val="20"/>
              </w:rPr>
            </w:pPr>
          </w:p>
        </w:tc>
        <w:tc>
          <w:tcPr>
            <w:tcW w:w="1497"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0"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689" w:type="dxa"/>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594"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436B17">
        <w:trPr>
          <w:gridAfter w:val="1"/>
          <w:wAfter w:w="36" w:type="dxa"/>
        </w:trPr>
        <w:tc>
          <w:tcPr>
            <w:tcW w:w="860"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A1D15F7" w14:textId="008121FB" w:rsidR="00436B17" w:rsidRPr="00DF1B2B" w:rsidRDefault="00436B17" w:rsidP="00436B17">
            <w:pPr>
              <w:jc w:val="both"/>
              <w:rPr>
                <w:rFonts w:asciiTheme="majorHAnsi" w:hAnsiTheme="majorHAnsi"/>
                <w:sz w:val="20"/>
                <w:szCs w:val="20"/>
              </w:rPr>
            </w:pPr>
            <w:r>
              <w:rPr>
                <w:rFonts w:asciiTheme="majorHAnsi" w:hAnsiTheme="majorHAnsi" w:cs="Times New Roman"/>
                <w:sz w:val="20"/>
                <w:szCs w:val="20"/>
                <w:lang w:val="en-US"/>
              </w:rPr>
              <w:t>Mahasiswa mampu m</w:t>
            </w:r>
            <w:r w:rsidRPr="00DF1B2B">
              <w:rPr>
                <w:rFonts w:asciiTheme="majorHAnsi" w:hAnsiTheme="majorHAnsi" w:cs="Times New Roman"/>
                <w:sz w:val="20"/>
                <w:szCs w:val="20"/>
                <w:lang w:val="en-US"/>
              </w:rPr>
              <w:t xml:space="preserve">enjelaskan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dan mampu</w:t>
            </w:r>
            <w:r>
              <w:rPr>
                <w:rFonts w:asciiTheme="majorHAnsi" w:hAnsiTheme="majorHAnsi" w:cs="Times New Roman"/>
                <w:sz w:val="20"/>
                <w:szCs w:val="20"/>
                <w:lang w:val="en-US"/>
              </w:rPr>
              <w:t xml:space="preserve"> </w:t>
            </w:r>
            <w:r w:rsidRPr="00DF1B2B">
              <w:rPr>
                <w:rFonts w:asciiTheme="majorHAnsi" w:hAnsiTheme="majorHAnsi" w:cs="Times New Roman"/>
                <w:sz w:val="20"/>
                <w:szCs w:val="20"/>
                <w:lang w:val="en-US"/>
              </w:rPr>
              <w:t xml:space="preserve">mempraktikan </w:t>
            </w:r>
            <w:r w:rsidRPr="00DF1B2B">
              <w:rPr>
                <w:rFonts w:asciiTheme="majorHAnsi" w:hAnsiTheme="majorHAnsi"/>
                <w:sz w:val="20"/>
                <w:szCs w:val="20"/>
              </w:rPr>
              <w:t>Pembagian dasar waris</w:t>
            </w:r>
          </w:p>
        </w:tc>
        <w:tc>
          <w:tcPr>
            <w:tcW w:w="2543"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35FC2B0F" w:rsidR="00436B17" w:rsidRDefault="00AD3AD3"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Pengertian waris</w:t>
            </w:r>
          </w:p>
          <w:p w14:paraId="6B8F2BDF" w14:textId="20B1803D" w:rsidR="00436B17" w:rsidRPr="00D7285C" w:rsidRDefault="00545BE5" w:rsidP="00D7285C">
            <w:pPr>
              <w:pStyle w:val="ListParagraph"/>
              <w:numPr>
                <w:ilvl w:val="0"/>
                <w:numId w:val="14"/>
              </w:numPr>
              <w:tabs>
                <w:tab w:val="left" w:pos="3663"/>
              </w:tabs>
              <w:ind w:right="-108"/>
              <w:jc w:val="both"/>
              <w:rPr>
                <w:rFonts w:asciiTheme="majorHAnsi" w:hAnsiTheme="majorHAnsi"/>
                <w:sz w:val="20"/>
                <w:szCs w:val="20"/>
              </w:rPr>
            </w:pPr>
            <w:r w:rsidRPr="00D7285C">
              <w:rPr>
                <w:rFonts w:asciiTheme="majorHAnsi" w:hAnsiTheme="majorHAnsi"/>
                <w:sz w:val="20"/>
                <w:szCs w:val="20"/>
                <w:lang w:val="en-US"/>
              </w:rPr>
              <w:t xml:space="preserve">Menjelaskan </w:t>
            </w:r>
            <w:r w:rsidR="00436B17" w:rsidRPr="00D7285C">
              <w:rPr>
                <w:rFonts w:asciiTheme="majorHAnsi" w:hAnsiTheme="majorHAnsi"/>
                <w:sz w:val="20"/>
                <w:szCs w:val="20"/>
              </w:rPr>
              <w:t xml:space="preserve">Rukun dan syarat waris, </w:t>
            </w:r>
          </w:p>
          <w:p w14:paraId="6E92F695" w14:textId="54915B02" w:rsidR="00436B17" w:rsidRPr="00B9307F"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 xml:space="preserve">Sebab mewarisi </w:t>
            </w:r>
          </w:p>
          <w:p w14:paraId="170A939D" w14:textId="336310BC" w:rsidR="00436B17" w:rsidRDefault="00545BE5" w:rsidP="00D7285C">
            <w:pPr>
              <w:pStyle w:val="ListParagraph"/>
              <w:numPr>
                <w:ilvl w:val="0"/>
                <w:numId w:val="14"/>
              </w:numPr>
              <w:tabs>
                <w:tab w:val="left" w:pos="3663"/>
              </w:tabs>
              <w:ind w:right="-108"/>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Sebab terhalang.</w:t>
            </w:r>
          </w:p>
          <w:p w14:paraId="79330861" w14:textId="77777777" w:rsidR="00D7285C" w:rsidRPr="00B9307F" w:rsidRDefault="00D7285C" w:rsidP="00D7285C">
            <w:pPr>
              <w:pStyle w:val="ListParagraph"/>
              <w:numPr>
                <w:ilvl w:val="0"/>
                <w:numId w:val="14"/>
              </w:numPr>
              <w:ind w:right="-108"/>
              <w:jc w:val="both"/>
              <w:rPr>
                <w:rFonts w:asciiTheme="majorHAnsi" w:hAnsiTheme="majorHAnsi"/>
                <w:sz w:val="20"/>
                <w:szCs w:val="20"/>
              </w:rPr>
            </w:pPr>
            <w:r>
              <w:rPr>
                <w:rFonts w:asciiTheme="majorHAnsi" w:hAnsiTheme="majorHAnsi"/>
                <w:sz w:val="20"/>
                <w:szCs w:val="20"/>
                <w:lang w:val="en-US"/>
              </w:rPr>
              <w:t xml:space="preserve">Menghapal </w:t>
            </w:r>
            <w:r w:rsidRPr="00B9307F">
              <w:rPr>
                <w:rFonts w:asciiTheme="majorHAnsi" w:hAnsiTheme="majorHAnsi"/>
                <w:sz w:val="20"/>
                <w:szCs w:val="20"/>
              </w:rPr>
              <w:t>Dasar hukum waris al-qur’an dan hadis</w:t>
            </w:r>
          </w:p>
          <w:p w14:paraId="7A85C712" w14:textId="77777777" w:rsidR="00D7285C" w:rsidRPr="00B9307F" w:rsidRDefault="00D7285C" w:rsidP="00D7285C">
            <w:pPr>
              <w:pStyle w:val="ListParagraph"/>
              <w:tabs>
                <w:tab w:val="left" w:pos="3663"/>
              </w:tabs>
              <w:ind w:right="-108"/>
              <w:jc w:val="both"/>
              <w:rPr>
                <w:rFonts w:asciiTheme="majorHAnsi" w:hAnsiTheme="majorHAnsi"/>
                <w:sz w:val="20"/>
                <w:szCs w:val="20"/>
              </w:rPr>
            </w:pPr>
          </w:p>
          <w:p w14:paraId="1BF52908" w14:textId="60655DB9" w:rsidR="00436B17" w:rsidRPr="00DF1B2B" w:rsidRDefault="00436B17" w:rsidP="00436B17">
            <w:pPr>
              <w:jc w:val="both"/>
              <w:rPr>
                <w:rFonts w:asciiTheme="majorHAnsi" w:hAnsiTheme="majorHAnsi"/>
                <w:sz w:val="20"/>
                <w:szCs w:val="20"/>
              </w:rPr>
            </w:pPr>
          </w:p>
        </w:tc>
        <w:tc>
          <w:tcPr>
            <w:tcW w:w="1497"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689"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1620F2D8" w14:textId="6C55B3CB"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Rukun dan syarat waris, </w:t>
            </w:r>
          </w:p>
          <w:p w14:paraId="053EC20C" w14:textId="2BA259BD"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10F7D000"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Sebab terhalang.</w:t>
            </w:r>
          </w:p>
          <w:p w14:paraId="7A246F54" w14:textId="77777777" w:rsidR="00AF4637" w:rsidRPr="00B9307F" w:rsidRDefault="00AF4637" w:rsidP="00AF4637">
            <w:pPr>
              <w:pStyle w:val="ListParagraph"/>
              <w:numPr>
                <w:ilvl w:val="0"/>
                <w:numId w:val="28"/>
              </w:numPr>
              <w:ind w:left="335" w:right="-108" w:hanging="284"/>
              <w:jc w:val="both"/>
              <w:rPr>
                <w:rFonts w:asciiTheme="majorHAnsi" w:hAnsiTheme="majorHAnsi"/>
                <w:sz w:val="20"/>
                <w:szCs w:val="20"/>
              </w:rPr>
            </w:pPr>
            <w:r w:rsidRPr="00B9307F">
              <w:rPr>
                <w:rFonts w:asciiTheme="majorHAnsi" w:hAnsiTheme="majorHAnsi"/>
                <w:sz w:val="20"/>
                <w:szCs w:val="20"/>
              </w:rPr>
              <w:t>Dasar hukum waris al-qur’an dan hadis</w:t>
            </w:r>
          </w:p>
          <w:p w14:paraId="0DF347C0" w14:textId="77777777" w:rsidR="00AF4637" w:rsidRPr="00B9307F" w:rsidRDefault="00AF4637" w:rsidP="00AF4637">
            <w:pPr>
              <w:pStyle w:val="ListParagraph"/>
              <w:tabs>
                <w:tab w:val="left" w:pos="3663"/>
              </w:tabs>
              <w:ind w:left="335" w:right="-108" w:hanging="284"/>
              <w:jc w:val="both"/>
              <w:rPr>
                <w:rFonts w:asciiTheme="majorHAnsi" w:hAnsiTheme="majorHAnsi"/>
                <w:sz w:val="20"/>
                <w:szCs w:val="20"/>
              </w:rPr>
            </w:pPr>
          </w:p>
          <w:p w14:paraId="56C26810" w14:textId="77777777" w:rsidR="00436B17" w:rsidRDefault="00436B17" w:rsidP="00AF4637">
            <w:pPr>
              <w:ind w:left="51" w:hanging="479"/>
              <w:jc w:val="center"/>
              <w:rPr>
                <w:rFonts w:asciiTheme="majorHAnsi" w:hAnsiTheme="majorHAnsi" w:cs="Times New Roman"/>
                <w:sz w:val="20"/>
                <w:szCs w:val="20"/>
              </w:rPr>
            </w:pPr>
          </w:p>
        </w:tc>
        <w:tc>
          <w:tcPr>
            <w:tcW w:w="1594"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t>5</w:t>
            </w:r>
          </w:p>
        </w:tc>
      </w:tr>
      <w:tr w:rsidR="00436B17" w:rsidRPr="00DF1B2B" w14:paraId="2AA1D52F" w14:textId="77777777" w:rsidTr="00436B17">
        <w:trPr>
          <w:gridAfter w:val="1"/>
          <w:wAfter w:w="36" w:type="dxa"/>
        </w:trPr>
        <w:tc>
          <w:tcPr>
            <w:tcW w:w="860"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53A650DB" w14:textId="36B6515C" w:rsidR="00436B17" w:rsidRPr="00DF1B2B"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menguraikan dan menjelaskan konsep dasar hukum waris pada masa </w:t>
            </w:r>
            <w:r w:rsidRPr="00DF1B2B">
              <w:rPr>
                <w:rFonts w:asciiTheme="majorHAnsi" w:hAnsiTheme="majorHAnsi"/>
                <w:sz w:val="20"/>
                <w:szCs w:val="20"/>
              </w:rPr>
              <w:t>Sebelum Islam Dan Masa Awal Islam</w:t>
            </w:r>
          </w:p>
        </w:tc>
        <w:tc>
          <w:tcPr>
            <w:tcW w:w="2543" w:type="dxa"/>
          </w:tcPr>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r>
              <w:rPr>
                <w:rFonts w:asciiTheme="majorHAnsi" w:hAnsiTheme="majorHAnsi"/>
                <w:sz w:val="20"/>
                <w:szCs w:val="20"/>
                <w:lang w:val="en-US"/>
              </w:rPr>
              <w:t xml:space="preserve">Membandingkan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497"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lang w:val="en-US"/>
              </w:rPr>
              <w:t>Praktik</w:t>
            </w:r>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(100 menit)</w:t>
            </w:r>
          </w:p>
        </w:tc>
        <w:tc>
          <w:tcPr>
            <w:tcW w:w="2689" w:type="dxa"/>
          </w:tcPr>
          <w:p w14:paraId="2DEDCA52" w14:textId="42D5F8A6" w:rsidR="00436B17" w:rsidRPr="00AF4637" w:rsidRDefault="00436B17" w:rsidP="00AF4637">
            <w:pPr>
              <w:ind w:right="-108"/>
              <w:jc w:val="both"/>
              <w:rPr>
                <w:rFonts w:asciiTheme="majorHAnsi" w:hAnsiTheme="majorHAnsi"/>
                <w:sz w:val="20"/>
                <w:szCs w:val="20"/>
              </w:rPr>
            </w:pPr>
          </w:p>
          <w:p w14:paraId="7D6454BE" w14:textId="77777777" w:rsidR="00AF4637"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 xml:space="preserve">Waris Sebelum Islam </w:t>
            </w:r>
          </w:p>
          <w:p w14:paraId="16776DCE" w14:textId="15387E79" w:rsidR="00436B17" w:rsidRPr="00B9307F" w:rsidRDefault="00AF4637">
            <w:pPr>
              <w:pStyle w:val="ListParagraph"/>
              <w:numPr>
                <w:ilvl w:val="0"/>
                <w:numId w:val="29"/>
              </w:numPr>
              <w:ind w:left="388" w:right="-108"/>
              <w:jc w:val="both"/>
              <w:rPr>
                <w:rFonts w:asciiTheme="majorHAnsi" w:hAnsiTheme="majorHAnsi"/>
                <w:sz w:val="20"/>
                <w:szCs w:val="20"/>
              </w:rPr>
            </w:pPr>
            <w:r>
              <w:rPr>
                <w:rFonts w:asciiTheme="majorHAnsi" w:hAnsiTheme="majorHAnsi"/>
                <w:sz w:val="20"/>
                <w:szCs w:val="20"/>
                <w:lang w:val="en-US"/>
              </w:rPr>
              <w:t>Waris</w:t>
            </w:r>
            <w:r w:rsidR="00436B17" w:rsidRPr="00B9307F">
              <w:rPr>
                <w:rFonts w:asciiTheme="majorHAnsi" w:hAnsiTheme="majorHAnsi"/>
                <w:sz w:val="20"/>
                <w:szCs w:val="20"/>
              </w:rPr>
              <w:t xml:space="preserve">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594"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436B17">
        <w:trPr>
          <w:gridAfter w:val="1"/>
          <w:wAfter w:w="36" w:type="dxa"/>
        </w:trPr>
        <w:tc>
          <w:tcPr>
            <w:tcW w:w="860"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60AEA8CD" w14:textId="77A96F81" w:rsidR="00436B17" w:rsidRPr="002210BF" w:rsidRDefault="00436B17" w:rsidP="00436B17">
            <w:pPr>
              <w:ind w:right="-108"/>
              <w:jc w:val="both"/>
              <w:rPr>
                <w:rFonts w:asciiTheme="majorHAnsi" w:hAnsiTheme="majorHAnsi"/>
                <w:sz w:val="20"/>
                <w:szCs w:val="20"/>
                <w:lang w:val="en-US"/>
              </w:rPr>
            </w:pPr>
            <w:r>
              <w:rPr>
                <w:rFonts w:asciiTheme="majorHAnsi" w:hAnsiTheme="majorHAnsi" w:cs="Times New Roman"/>
                <w:sz w:val="20"/>
                <w:szCs w:val="20"/>
                <w:lang w:val="en-US"/>
              </w:rPr>
              <w:t>Mahasiswa mampu menguraikan dan menjelaskan</w:t>
            </w:r>
            <w:r w:rsidRPr="00DF1B2B">
              <w:rPr>
                <w:rFonts w:asciiTheme="majorHAnsi" w:hAnsiTheme="majorHAnsi"/>
                <w:sz w:val="20"/>
                <w:szCs w:val="20"/>
              </w:rPr>
              <w:t xml:space="preserve">  Ashhabul Furudh </w:t>
            </w:r>
            <w:r>
              <w:rPr>
                <w:rFonts w:asciiTheme="majorHAnsi" w:hAnsiTheme="majorHAnsi"/>
                <w:sz w:val="20"/>
                <w:szCs w:val="20"/>
                <w:lang w:val="en-US"/>
              </w:rPr>
              <w:t>dan bagiannya</w:t>
            </w:r>
          </w:p>
          <w:p w14:paraId="195D38E2" w14:textId="1EC55B43" w:rsidR="00436B17" w:rsidRPr="00DF1B2B" w:rsidRDefault="00436B17" w:rsidP="00436B17">
            <w:pPr>
              <w:rPr>
                <w:rFonts w:asciiTheme="majorHAnsi" w:hAnsiTheme="majorHAnsi" w:cs="Times New Roman"/>
                <w:sz w:val="20"/>
                <w:szCs w:val="20"/>
              </w:rPr>
            </w:pPr>
          </w:p>
        </w:tc>
        <w:tc>
          <w:tcPr>
            <w:tcW w:w="2543"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Menjelaskan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r w:rsidR="00545BE5">
              <w:rPr>
                <w:rFonts w:asciiTheme="majorHAnsi" w:hAnsiTheme="majorHAnsi"/>
                <w:sz w:val="20"/>
                <w:szCs w:val="20"/>
                <w:lang w:val="en-US"/>
              </w:rPr>
              <w:t xml:space="preserve">Menjelaskan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Mempraktekkan</w:t>
            </w:r>
            <w:r w:rsidR="00436B17" w:rsidRPr="00436B17">
              <w:rPr>
                <w:rFonts w:asciiTheme="majorHAnsi" w:hAnsiTheme="majorHAnsi"/>
                <w:sz w:val="20"/>
                <w:szCs w:val="20"/>
              </w:rPr>
              <w:t xml:space="preserve">  cara Pembagian waris</w:t>
            </w:r>
          </w:p>
        </w:tc>
        <w:tc>
          <w:tcPr>
            <w:tcW w:w="1497"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594"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436B17">
        <w:trPr>
          <w:gridAfter w:val="1"/>
          <w:wAfter w:w="36" w:type="dxa"/>
        </w:trPr>
        <w:tc>
          <w:tcPr>
            <w:tcW w:w="860"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5402B47" w14:textId="220F1D26"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menguraikan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memperaktikan </w:t>
            </w:r>
            <w:r w:rsidRPr="00DF1B2B">
              <w:rPr>
                <w:rFonts w:asciiTheme="majorHAnsi" w:hAnsiTheme="majorHAnsi"/>
                <w:sz w:val="20"/>
                <w:szCs w:val="20"/>
              </w:rPr>
              <w:t>Asal Masalah</w:t>
            </w:r>
          </w:p>
        </w:tc>
        <w:tc>
          <w:tcPr>
            <w:tcW w:w="2543"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 xml:space="preserve">Membandingkan </w:t>
            </w:r>
            <w:r w:rsidR="00436B17" w:rsidRPr="009C6A25">
              <w:rPr>
                <w:rFonts w:asciiTheme="majorHAnsi" w:hAnsiTheme="majorHAnsi"/>
                <w:sz w:val="20"/>
                <w:szCs w:val="20"/>
              </w:rPr>
              <w:t xml:space="preserve"> pendapat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545BE5">
              <w:rPr>
                <w:rFonts w:asciiTheme="majorHAnsi" w:hAnsiTheme="majorHAnsi"/>
                <w:sz w:val="20"/>
                <w:szCs w:val="20"/>
              </w:rPr>
              <w:t>raktek</w:t>
            </w:r>
            <w:r>
              <w:rPr>
                <w:rFonts w:asciiTheme="majorHAnsi" w:hAnsiTheme="majorHAnsi"/>
                <w:sz w:val="20"/>
                <w:szCs w:val="20"/>
                <w:lang w:val="en-US"/>
              </w:rPr>
              <w:t>kan</w:t>
            </w:r>
            <w:r w:rsidR="00436B17" w:rsidRPr="00545BE5">
              <w:rPr>
                <w:rFonts w:asciiTheme="majorHAnsi" w:hAnsiTheme="majorHAnsi"/>
                <w:sz w:val="20"/>
                <w:szCs w:val="20"/>
              </w:rPr>
              <w:t xml:space="preserve"> Asal Masalah</w:t>
            </w:r>
          </w:p>
        </w:tc>
        <w:tc>
          <w:tcPr>
            <w:tcW w:w="1497"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594"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7A646AD" w14:textId="77777777" w:rsidTr="00436B17">
        <w:trPr>
          <w:gridAfter w:val="1"/>
          <w:wAfter w:w="36" w:type="dxa"/>
        </w:trPr>
        <w:tc>
          <w:tcPr>
            <w:tcW w:w="860"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40B804A" w14:textId="008525B9"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menguraikan Ashabah dan memperaktikan pembagiannya</w:t>
            </w:r>
          </w:p>
        </w:tc>
        <w:tc>
          <w:tcPr>
            <w:tcW w:w="2543"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Ashabah</w:t>
            </w:r>
          </w:p>
        </w:tc>
        <w:tc>
          <w:tcPr>
            <w:tcW w:w="1497"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594"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436B17">
        <w:trPr>
          <w:gridAfter w:val="1"/>
          <w:wAfter w:w="36" w:type="dxa"/>
        </w:trPr>
        <w:tc>
          <w:tcPr>
            <w:tcW w:w="860"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67F816B" w14:textId="67D2060C"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Mahasiswa  mampu menguraikan tentang Hijab dan mampu meperaktikan nya dalam pembagian waris</w:t>
            </w:r>
          </w:p>
        </w:tc>
        <w:tc>
          <w:tcPr>
            <w:tcW w:w="2543"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r>
              <w:rPr>
                <w:rFonts w:asciiTheme="majorHAnsi" w:hAnsiTheme="majorHAnsi"/>
                <w:sz w:val="20"/>
                <w:szCs w:val="20"/>
                <w:lang w:val="en-US"/>
              </w:rPr>
              <w:t>memp</w:t>
            </w:r>
            <w:r w:rsidR="00436B17" w:rsidRPr="002A0EBA">
              <w:rPr>
                <w:rFonts w:asciiTheme="majorHAnsi" w:hAnsiTheme="majorHAnsi"/>
                <w:sz w:val="20"/>
                <w:szCs w:val="20"/>
              </w:rPr>
              <w:t>raktek</w:t>
            </w:r>
            <w:r>
              <w:rPr>
                <w:rFonts w:asciiTheme="majorHAnsi" w:hAnsiTheme="majorHAnsi"/>
                <w:sz w:val="20"/>
                <w:szCs w:val="20"/>
                <w:lang w:val="en-US"/>
              </w:rPr>
              <w:t>kan</w:t>
            </w:r>
            <w:r w:rsidR="00436B17" w:rsidRPr="002A0EBA">
              <w:rPr>
                <w:rFonts w:asciiTheme="majorHAnsi" w:hAnsiTheme="majorHAnsi"/>
                <w:sz w:val="20"/>
                <w:szCs w:val="20"/>
              </w:rPr>
              <w:t xml:space="preserve"> Hijab</w:t>
            </w:r>
          </w:p>
        </w:tc>
        <w:tc>
          <w:tcPr>
            <w:tcW w:w="1497"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594"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436B17">
        <w:trPr>
          <w:gridAfter w:val="1"/>
          <w:wAfter w:w="36" w:type="dxa"/>
        </w:trPr>
        <w:tc>
          <w:tcPr>
            <w:tcW w:w="860"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2115" w:type="dxa"/>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543"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604"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576"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436B17">
        <w:trPr>
          <w:gridAfter w:val="1"/>
          <w:wAfter w:w="36" w:type="dxa"/>
        </w:trPr>
        <w:tc>
          <w:tcPr>
            <w:tcW w:w="860"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070B924" w14:textId="1C52FAEF"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Mahasiswa  mampu menguraikan aul dan rad serta mampu meperaktikan nya dalam pembagian waris</w:t>
            </w:r>
          </w:p>
        </w:tc>
        <w:tc>
          <w:tcPr>
            <w:tcW w:w="2543"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waris  ‘aul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r>
              <w:rPr>
                <w:rFonts w:asciiTheme="majorHAnsi" w:hAnsiTheme="majorHAnsi"/>
                <w:sz w:val="20"/>
                <w:szCs w:val="20"/>
                <w:lang w:val="en-US"/>
              </w:rPr>
              <w:t xml:space="preserve">Mempraktekkan </w:t>
            </w:r>
            <w:r w:rsidR="00436B17" w:rsidRPr="00436B17">
              <w:rPr>
                <w:rFonts w:asciiTheme="majorHAnsi" w:hAnsiTheme="majorHAnsi"/>
                <w:sz w:val="20"/>
                <w:szCs w:val="20"/>
              </w:rPr>
              <w:t xml:space="preserve"> Aul dan Rad</w:t>
            </w:r>
          </w:p>
        </w:tc>
        <w:tc>
          <w:tcPr>
            <w:tcW w:w="1497"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594"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436B17">
        <w:trPr>
          <w:gridAfter w:val="1"/>
          <w:wAfter w:w="36" w:type="dxa"/>
        </w:trPr>
        <w:tc>
          <w:tcPr>
            <w:tcW w:w="860"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2115" w:type="dxa"/>
          </w:tcPr>
          <w:p w14:paraId="5B58E0D0" w14:textId="378F5C8C"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menguraikan</w:t>
            </w:r>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serta </w:t>
            </w:r>
            <w:r>
              <w:rPr>
                <w:rFonts w:asciiTheme="majorHAnsi" w:hAnsiTheme="majorHAnsi" w:cs="Times New Roman"/>
                <w:sz w:val="20"/>
                <w:szCs w:val="20"/>
                <w:lang w:val="en-US"/>
              </w:rPr>
              <w:lastRenderedPageBreak/>
              <w:t>mampu meperaktikan nya dalam pembagian waris</w:t>
            </w:r>
          </w:p>
        </w:tc>
        <w:tc>
          <w:tcPr>
            <w:tcW w:w="2543"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lastRenderedPageBreak/>
              <w:t xml:space="preserve">Menjelaskan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masalah gharawain</w:t>
            </w:r>
          </w:p>
        </w:tc>
        <w:tc>
          <w:tcPr>
            <w:tcW w:w="1497"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lastRenderedPageBreak/>
              <w:t>Praktek masalah gharawain</w:t>
            </w:r>
          </w:p>
        </w:tc>
        <w:tc>
          <w:tcPr>
            <w:tcW w:w="1594"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11329F60" w14:textId="77777777" w:rsidTr="00436B17">
        <w:trPr>
          <w:gridAfter w:val="1"/>
          <w:wAfter w:w="36" w:type="dxa"/>
        </w:trPr>
        <w:tc>
          <w:tcPr>
            <w:tcW w:w="860"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3079B2A" w14:textId="28120896" w:rsidR="00436B17" w:rsidRPr="001402E1"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menjabarkan dalam masalah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r>
              <w:rPr>
                <w:rFonts w:asciiTheme="majorHAnsi" w:hAnsiTheme="majorHAnsi" w:cs="Times New Roman"/>
                <w:sz w:val="20"/>
                <w:szCs w:val="20"/>
                <w:lang w:val="en-US"/>
              </w:rPr>
              <w:t>serta mampu meperaktikan nya dalam pembagian</w:t>
            </w:r>
          </w:p>
        </w:tc>
        <w:tc>
          <w:tcPr>
            <w:tcW w:w="2543"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Cara penyelesaian masalah kakek bersama </w:t>
            </w:r>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r>
              <w:rPr>
                <w:rFonts w:asciiTheme="majorHAnsi" w:hAnsiTheme="majorHAnsi"/>
                <w:sz w:val="20"/>
                <w:szCs w:val="20"/>
                <w:lang w:val="en-US"/>
              </w:rPr>
              <w:t>memp</w:t>
            </w:r>
            <w:r w:rsidR="00436B17" w:rsidRPr="00E33AD7">
              <w:rPr>
                <w:rFonts w:asciiTheme="majorHAnsi" w:hAnsiTheme="majorHAnsi"/>
                <w:sz w:val="20"/>
                <w:szCs w:val="20"/>
              </w:rPr>
              <w:t>raktek</w:t>
            </w:r>
            <w:r>
              <w:rPr>
                <w:rFonts w:asciiTheme="majorHAnsi" w:hAnsiTheme="majorHAnsi"/>
                <w:sz w:val="20"/>
                <w:szCs w:val="20"/>
                <w:lang w:val="en-US"/>
              </w:rPr>
              <w:t>kan</w:t>
            </w:r>
            <w:r w:rsidR="00436B17" w:rsidRPr="00E33AD7">
              <w:rPr>
                <w:rFonts w:asciiTheme="majorHAnsi" w:hAnsiTheme="majorHAnsi"/>
                <w:sz w:val="20"/>
                <w:szCs w:val="20"/>
              </w:rPr>
              <w:t xml:space="preserve"> pembagian kakek bersama saudara dan akdariyah</w:t>
            </w:r>
          </w:p>
        </w:tc>
        <w:tc>
          <w:tcPr>
            <w:tcW w:w="1497"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594"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436B17">
        <w:trPr>
          <w:gridAfter w:val="1"/>
          <w:wAfter w:w="36" w:type="dxa"/>
        </w:trPr>
        <w:tc>
          <w:tcPr>
            <w:tcW w:w="860"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0C4069C3" w14:textId="7240E88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 xml:space="preserve">Mahasiswa mampu memaparkan dalam masalah </w:t>
            </w:r>
            <w:r w:rsidRPr="00DF1B2B">
              <w:rPr>
                <w:rFonts w:asciiTheme="majorHAnsi" w:hAnsiTheme="majorHAnsi" w:cs="Times New Roman"/>
                <w:sz w:val="20"/>
                <w:szCs w:val="20"/>
              </w:rPr>
              <w:t>Kewarisan  Orang Hilang Dan Orang Yang Mati Bersama</w:t>
            </w:r>
          </w:p>
          <w:p w14:paraId="7C9939C1" w14:textId="4F8A6B3A"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serta mampu meperaktikan nya dalam pembagian</w:t>
            </w:r>
          </w:p>
        </w:tc>
        <w:tc>
          <w:tcPr>
            <w:tcW w:w="2543"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r>
              <w:rPr>
                <w:rFonts w:asciiTheme="majorHAnsi" w:hAnsiTheme="majorHAnsi"/>
                <w:sz w:val="20"/>
                <w:szCs w:val="20"/>
                <w:lang w:val="en-US"/>
              </w:rPr>
              <w:t>Mempraktekkan</w:t>
            </w:r>
            <w:r w:rsidR="00436B17" w:rsidRPr="00E33AD7">
              <w:rPr>
                <w:rFonts w:asciiTheme="majorHAnsi" w:hAnsiTheme="majorHAnsi"/>
                <w:sz w:val="20"/>
                <w:szCs w:val="20"/>
              </w:rPr>
              <w:t xml:space="preserve"> pembagian waris</w:t>
            </w:r>
          </w:p>
        </w:tc>
        <w:tc>
          <w:tcPr>
            <w:tcW w:w="1497"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594"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436B17">
        <w:trPr>
          <w:gridAfter w:val="1"/>
          <w:wAfter w:w="36" w:type="dxa"/>
        </w:trPr>
        <w:tc>
          <w:tcPr>
            <w:tcW w:w="860"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2115" w:type="dxa"/>
          </w:tcPr>
          <w:p w14:paraId="3B463C11" w14:textId="098DFB71" w:rsidR="00436B17" w:rsidRPr="009F07E5" w:rsidRDefault="00436B17" w:rsidP="00436B17">
            <w:pPr>
              <w:rPr>
                <w:rFonts w:asciiTheme="majorHAnsi" w:hAnsiTheme="majorHAnsi" w:cs="Times New Roman"/>
                <w:sz w:val="20"/>
                <w:szCs w:val="20"/>
                <w:lang w:val="en-US"/>
              </w:rPr>
            </w:pPr>
            <w:r>
              <w:rPr>
                <w:rFonts w:asciiTheme="majorHAnsi" w:hAnsiTheme="majorHAnsi" w:cs="Times New Roman"/>
                <w:sz w:val="20"/>
                <w:szCs w:val="20"/>
                <w:lang w:val="en-US"/>
              </w:rPr>
              <w:t xml:space="preserve">Mahasiswa mampu memaparkan </w:t>
            </w:r>
            <w:r w:rsidRPr="00DF1B2B">
              <w:rPr>
                <w:rFonts w:asciiTheme="majorHAnsi" w:hAnsiTheme="majorHAnsi"/>
                <w:sz w:val="20"/>
                <w:szCs w:val="20"/>
              </w:rPr>
              <w:t xml:space="preserve">Kewarisan Janin Dalam Kandungan, Khuntsa </w:t>
            </w:r>
          </w:p>
        </w:tc>
        <w:tc>
          <w:tcPr>
            <w:tcW w:w="2543" w:type="dxa"/>
          </w:tcPr>
          <w:p w14:paraId="67FA5694" w14:textId="092FC0DE" w:rsidR="00436B1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497"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594"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436B17">
        <w:trPr>
          <w:gridAfter w:val="1"/>
          <w:wAfter w:w="36" w:type="dxa"/>
          <w:trHeight w:val="2082"/>
        </w:trPr>
        <w:tc>
          <w:tcPr>
            <w:tcW w:w="860"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CCA2FC4" w14:textId="712A6BB0"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Warisan Anak Zina, Anak Li’an Dan Anak Angkat</w:t>
            </w:r>
          </w:p>
        </w:tc>
        <w:tc>
          <w:tcPr>
            <w:tcW w:w="2543" w:type="dxa"/>
          </w:tcPr>
          <w:p w14:paraId="24EC0A04" w14:textId="19575E9F"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Pr>
                <w:rFonts w:asciiTheme="majorHAnsi" w:hAnsiTheme="majorHAnsi"/>
                <w:sz w:val="20"/>
                <w:szCs w:val="20"/>
                <w:lang w:val="en-US"/>
              </w:rPr>
              <w:t xml:space="preserve">Kewarisan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r>
              <w:rPr>
                <w:rFonts w:asciiTheme="majorHAnsi" w:hAnsiTheme="majorHAnsi"/>
                <w:sz w:val="20"/>
                <w:szCs w:val="20"/>
                <w:lang w:val="en-US"/>
              </w:rPr>
              <w:t xml:space="preserve">Menjelaskan </w:t>
            </w:r>
            <w:r w:rsidR="00436B17" w:rsidRPr="00E33AD7">
              <w:rPr>
                <w:rFonts w:asciiTheme="majorHAnsi" w:hAnsiTheme="majorHAnsi"/>
                <w:sz w:val="20"/>
                <w:szCs w:val="20"/>
                <w:lang w:val="en-US"/>
              </w:rPr>
              <w:t xml:space="preserve">Kewarisan </w:t>
            </w:r>
            <w:r w:rsidR="00436B17" w:rsidRPr="00E33AD7">
              <w:rPr>
                <w:rFonts w:asciiTheme="majorHAnsi" w:hAnsiTheme="majorHAnsi"/>
                <w:sz w:val="20"/>
                <w:szCs w:val="20"/>
              </w:rPr>
              <w:t>Anak angkat</w:t>
            </w:r>
          </w:p>
        </w:tc>
        <w:tc>
          <w:tcPr>
            <w:tcW w:w="1497"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angkat</w:t>
            </w:r>
          </w:p>
        </w:tc>
        <w:tc>
          <w:tcPr>
            <w:tcW w:w="1594"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436B17">
        <w:tc>
          <w:tcPr>
            <w:tcW w:w="860"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E4801F2" w14:textId="50773F34" w:rsidR="00436B17" w:rsidRPr="00DF1B2B" w:rsidRDefault="00436B17" w:rsidP="00436B17">
            <w:pPr>
              <w:rPr>
                <w:rFonts w:asciiTheme="majorHAnsi" w:hAnsiTheme="majorHAnsi" w:cs="Times New Roman"/>
                <w:sz w:val="20"/>
                <w:szCs w:val="20"/>
              </w:rPr>
            </w:pPr>
            <w:r>
              <w:rPr>
                <w:rFonts w:asciiTheme="majorHAnsi" w:hAnsiTheme="majorHAnsi" w:cs="Times New Roman"/>
                <w:sz w:val="20"/>
                <w:szCs w:val="20"/>
                <w:lang w:val="en-US"/>
              </w:rPr>
              <w:t>Mahasiswa mampu memaparkan</w:t>
            </w:r>
            <w:r w:rsidRPr="00DF1B2B">
              <w:rPr>
                <w:rFonts w:asciiTheme="majorHAnsi" w:hAnsiTheme="majorHAnsi"/>
                <w:sz w:val="20"/>
                <w:szCs w:val="20"/>
              </w:rPr>
              <w:t xml:space="preserve"> Tentang Wasiat</w:t>
            </w:r>
          </w:p>
        </w:tc>
        <w:tc>
          <w:tcPr>
            <w:tcW w:w="2543" w:type="dxa"/>
          </w:tcPr>
          <w:p w14:paraId="71795174" w14:textId="340D9261" w:rsidR="00436B17" w:rsidRDefault="00ED7BEA">
            <w:pPr>
              <w:pStyle w:val="ListParagraph"/>
              <w:numPr>
                <w:ilvl w:val="0"/>
                <w:numId w:val="27"/>
              </w:numPr>
              <w:ind w:left="394" w:hanging="283"/>
              <w:jc w:val="both"/>
              <w:rPr>
                <w:rFonts w:asciiTheme="majorHAnsi" w:hAnsiTheme="majorHAnsi"/>
                <w:sz w:val="20"/>
                <w:szCs w:val="20"/>
              </w:rPr>
            </w:pPr>
            <w:r>
              <w:rPr>
                <w:rFonts w:asciiTheme="majorHAnsi" w:hAnsiTheme="majorHAnsi"/>
                <w:sz w:val="20"/>
                <w:szCs w:val="20"/>
                <w:lang w:val="en-US"/>
              </w:rPr>
              <w:t xml:space="preserve">Menjelaskan </w:t>
            </w:r>
            <w:r w:rsidR="00436B17" w:rsidRPr="009C6A25">
              <w:rPr>
                <w:rFonts w:asciiTheme="majorHAnsi" w:hAnsiTheme="majorHAnsi"/>
                <w:sz w:val="20"/>
                <w:szCs w:val="20"/>
              </w:rPr>
              <w:t xml:space="preserve">Pengertian </w:t>
            </w:r>
            <w:r w:rsidR="00D57135">
              <w:rPr>
                <w:rFonts w:asciiTheme="majorHAnsi" w:hAnsiTheme="majorHAnsi"/>
                <w:sz w:val="20"/>
                <w:szCs w:val="20"/>
                <w:lang w:val="en-US"/>
              </w:rPr>
              <w:t>wasiat</w:t>
            </w:r>
          </w:p>
          <w:p w14:paraId="324AB75D" w14:textId="0833F7CE" w:rsidR="00E33AD7" w:rsidRDefault="00D57135">
            <w:pPr>
              <w:pStyle w:val="ListParagraph"/>
              <w:numPr>
                <w:ilvl w:val="0"/>
                <w:numId w:val="27"/>
              </w:numPr>
              <w:ind w:left="443"/>
              <w:jc w:val="both"/>
              <w:rPr>
                <w:rFonts w:asciiTheme="majorHAnsi" w:hAnsiTheme="majorHAnsi"/>
                <w:sz w:val="20"/>
                <w:szCs w:val="20"/>
              </w:rPr>
            </w:pPr>
            <w:r>
              <w:rPr>
                <w:rFonts w:asciiTheme="majorHAnsi" w:hAnsiTheme="majorHAnsi"/>
                <w:sz w:val="20"/>
                <w:szCs w:val="20"/>
                <w:lang w:val="en-US"/>
              </w:rPr>
              <w:t>Menjelaskan dasar hukum wasiat</w:t>
            </w:r>
          </w:p>
          <w:p w14:paraId="22B90282" w14:textId="77777777" w:rsidR="00436B17" w:rsidRPr="00D57135"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r w:rsidR="00D57135">
              <w:rPr>
                <w:rFonts w:asciiTheme="majorHAnsi" w:hAnsiTheme="majorHAnsi"/>
                <w:sz w:val="20"/>
                <w:szCs w:val="20"/>
              </w:rPr>
              <w:t>Menjelaskan Batasan</w:t>
            </w:r>
            <w:r w:rsidR="00D57135">
              <w:rPr>
                <w:rFonts w:asciiTheme="majorHAnsi" w:hAnsiTheme="majorHAnsi"/>
                <w:sz w:val="20"/>
                <w:szCs w:val="20"/>
                <w:lang w:val="en-US"/>
              </w:rPr>
              <w:t xml:space="preserve"> wasiat</w:t>
            </w:r>
          </w:p>
          <w:p w14:paraId="6B5584A1" w14:textId="0BBB34E0" w:rsidR="00D57135" w:rsidRPr="00E33AD7" w:rsidRDefault="00D57135">
            <w:pPr>
              <w:pStyle w:val="ListParagraph"/>
              <w:numPr>
                <w:ilvl w:val="0"/>
                <w:numId w:val="27"/>
              </w:numPr>
              <w:ind w:left="443"/>
              <w:jc w:val="both"/>
              <w:rPr>
                <w:rFonts w:asciiTheme="majorHAnsi" w:hAnsiTheme="majorHAnsi"/>
                <w:sz w:val="20"/>
                <w:szCs w:val="20"/>
              </w:rPr>
            </w:pPr>
            <w:r>
              <w:rPr>
                <w:rFonts w:asciiTheme="majorHAnsi" w:hAnsiTheme="majorHAnsi"/>
                <w:sz w:val="20"/>
                <w:szCs w:val="20"/>
                <w:lang w:val="en-US"/>
              </w:rPr>
              <w:t>Menjelaskan cara pembagian wasiat</w:t>
            </w:r>
          </w:p>
        </w:tc>
        <w:tc>
          <w:tcPr>
            <w:tcW w:w="1497"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menit)</w:t>
            </w:r>
          </w:p>
        </w:tc>
        <w:tc>
          <w:tcPr>
            <w:tcW w:w="2689"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630"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436B17">
        <w:tc>
          <w:tcPr>
            <w:tcW w:w="860"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2115" w:type="dxa"/>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543"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604"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6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lastRenderedPageBreak/>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411ACB04"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xml:space="preserve">: </w:t>
      </w:r>
      <w:r w:rsidR="0019083B">
        <w:rPr>
          <w:rFonts w:asciiTheme="majorBidi" w:hAnsiTheme="majorBidi" w:cstheme="majorBidi"/>
          <w:lang w:val="en-US"/>
        </w:rPr>
        <w:t>3</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Fiqh Mawaris</w:t>
      </w:r>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Dr. Yusmita, M.Ag</w:t>
      </w:r>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r>
              <w:rPr>
                <w:rFonts w:asciiTheme="majorBidi" w:hAnsiTheme="majorBidi" w:cstheme="majorBidi"/>
                <w:lang w:val="en-US"/>
              </w:rPr>
              <w:t>Tugas Ke</w:t>
            </w:r>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r>
              <w:rPr>
                <w:rFonts w:asciiTheme="majorBidi" w:hAnsiTheme="majorBidi" w:cstheme="majorBidi"/>
                <w:lang w:val="en-US"/>
              </w:rPr>
              <w:t>Metode/Cara/dan Acuan Tugas</w:t>
            </w:r>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r>
              <w:rPr>
                <w:rFonts w:asciiTheme="majorBidi" w:hAnsiTheme="majorBidi" w:cstheme="majorBidi"/>
                <w:lang w:val="en-US"/>
              </w:rPr>
              <w:t>Kriteria Penilaian</w:t>
            </w:r>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r>
              <w:rPr>
                <w:rFonts w:asciiTheme="majorBidi" w:hAnsiTheme="majorBidi" w:cstheme="majorBidi"/>
                <w:lang w:val="en-US"/>
              </w:rPr>
              <w:t>Dst</w:t>
            </w:r>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Catatan: Setiap tugas dapat dibuat pada lembar tersendiri</w:t>
      </w:r>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r>
              <w:rPr>
                <w:rFonts w:asciiTheme="majorBidi" w:hAnsiTheme="majorBidi" w:cstheme="majorBidi"/>
                <w:lang w:val="en-US"/>
              </w:rPr>
              <w:t>Unsur</w:t>
            </w:r>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r>
              <w:rPr>
                <w:rFonts w:asciiTheme="majorBidi" w:hAnsiTheme="majorBidi" w:cstheme="majorBidi"/>
                <w:lang w:val="en-US"/>
              </w:rPr>
              <w:t>Penjelasan</w:t>
            </w:r>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r>
              <w:rPr>
                <w:rFonts w:asciiTheme="majorBidi" w:hAnsiTheme="majorBidi" w:cstheme="majorBidi"/>
                <w:lang w:val="en-ID"/>
              </w:rPr>
              <w:t>Rumusan kemampuan yang diharapkan dapat dicapai oleh mahasiswa bila ia berhasil mengerjakan tugas ini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r>
              <w:rPr>
                <w:rFonts w:asciiTheme="majorBidi" w:hAnsiTheme="majorBidi" w:cstheme="majorBidi"/>
                <w:lang w:val="en-US"/>
              </w:rPr>
              <w:t>Objek Tugas</w:t>
            </w:r>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deskripsi obyek material yang akan dipelajari dalam tugas ini (misal teori manusia menurut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Batasan Pengerjaan Tugas</w:t>
            </w:r>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r>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r>
              <w:rPr>
                <w:rFonts w:asciiTheme="majorBidi" w:hAnsiTheme="majorBidi" w:cstheme="majorBidi"/>
                <w:lang w:val="en-US"/>
              </w:rPr>
              <w:t>Metod/Cara dan Acuan Tugas</w:t>
            </w:r>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r>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r>
              <w:rPr>
                <w:rFonts w:asciiTheme="majorBidi" w:hAnsiTheme="majorBidi" w:cstheme="majorBidi"/>
                <w:lang w:val="en-US"/>
              </w:rPr>
              <w:t>Deskripsi Luaran Tugas</w:t>
            </w:r>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r>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r>
              <w:rPr>
                <w:rFonts w:asciiTheme="majorBidi" w:hAnsiTheme="majorBidi" w:cstheme="majorBidi"/>
                <w:lang w:val="en-ID"/>
              </w:rPr>
              <w:t>Kriteria Penilaian</w:t>
            </w:r>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r>
              <w:rPr>
                <w:rFonts w:asciiTheme="majorBidi" w:hAnsiTheme="majorBidi" w:cstheme="majorBidi"/>
                <w:lang w:val="en-ID"/>
              </w:rPr>
              <w:t>Berisi butir-butir indikator yang dapat menunjukan tingkat keberhasilan mahasiswa dalam usaha mencapai kemampuan yang telah dirumuskan</w:t>
            </w:r>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Rubrik penilaian</w:t>
      </w:r>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Jenjang/Grade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Deskripsi/Indikator Kerja</w:t>
            </w:r>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 xml:space="preserve">Isi secara umum akurat, tetapi tidak lengkap. Para pendengar bisa mempelajari fakta </w:t>
            </w:r>
            <w:r>
              <w:rPr>
                <w:rFonts w:asciiTheme="majorBidi" w:hAnsiTheme="majorBidi" w:cstheme="majorBidi"/>
              </w:rPr>
              <w:lastRenderedPageBreak/>
              <w:t>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Isinya kurang akurat, karena tidak ada data faktual, tidak menambah </w:t>
            </w:r>
            <w:r>
              <w:rPr>
                <w:rFonts w:asciiTheme="majorBidi" w:hAnsiTheme="majorBidi" w:cstheme="majorBidi"/>
              </w:rPr>
              <w:lastRenderedPageBreak/>
              <w:t>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lastRenderedPageBreak/>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C070C0">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8B47" w14:textId="77777777" w:rsidR="008D59FB" w:rsidRDefault="008D59FB" w:rsidP="00857913">
      <w:pPr>
        <w:spacing w:after="0" w:line="240" w:lineRule="auto"/>
      </w:pPr>
      <w:r>
        <w:separator/>
      </w:r>
    </w:p>
  </w:endnote>
  <w:endnote w:type="continuationSeparator" w:id="0">
    <w:p w14:paraId="5CB20C35" w14:textId="77777777" w:rsidR="008D59FB" w:rsidRDefault="008D59FB"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AFAB" w14:textId="77777777" w:rsidR="008D59FB" w:rsidRDefault="008D59FB" w:rsidP="00857913">
      <w:pPr>
        <w:spacing w:after="0" w:line="240" w:lineRule="auto"/>
      </w:pPr>
      <w:r>
        <w:separator/>
      </w:r>
    </w:p>
  </w:footnote>
  <w:footnote w:type="continuationSeparator" w:id="0">
    <w:p w14:paraId="6A07BD46" w14:textId="77777777" w:rsidR="008D59FB" w:rsidRDefault="008D59FB"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B73C16"/>
    <w:multiLevelType w:val="hybridMultilevel"/>
    <w:tmpl w:val="9E1C36AA"/>
    <w:lvl w:ilvl="0" w:tplc="68FAB84E">
      <w:start w:val="1"/>
      <w:numFmt w:val="decimal"/>
      <w:lvlText w:val="%1."/>
      <w:lvlJc w:val="left"/>
      <w:pPr>
        <w:ind w:left="720" w:hanging="360"/>
      </w:pPr>
      <w:rPr>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7" w15:restartNumberingAfterBreak="0">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6"/>
  </w:num>
  <w:num w:numId="3" w16cid:durableId="151532969">
    <w:abstractNumId w:val="12"/>
  </w:num>
  <w:num w:numId="4" w16cid:durableId="2092853538">
    <w:abstractNumId w:val="16"/>
  </w:num>
  <w:num w:numId="5" w16cid:durableId="1139877569">
    <w:abstractNumId w:val="36"/>
  </w:num>
  <w:num w:numId="6" w16cid:durableId="721949787">
    <w:abstractNumId w:val="22"/>
  </w:num>
  <w:num w:numId="7" w16cid:durableId="87966263">
    <w:abstractNumId w:val="9"/>
  </w:num>
  <w:num w:numId="8" w16cid:durableId="283972288">
    <w:abstractNumId w:val="30"/>
  </w:num>
  <w:num w:numId="9" w16cid:durableId="864752757">
    <w:abstractNumId w:val="29"/>
  </w:num>
  <w:num w:numId="10" w16cid:durableId="833494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7"/>
  </w:num>
  <w:num w:numId="12" w16cid:durableId="1809784190">
    <w:abstractNumId w:val="15"/>
  </w:num>
  <w:num w:numId="13" w16cid:durableId="2002929665">
    <w:abstractNumId w:val="0"/>
  </w:num>
  <w:num w:numId="14" w16cid:durableId="552501144">
    <w:abstractNumId w:val="8"/>
  </w:num>
  <w:num w:numId="15" w16cid:durableId="1956475799">
    <w:abstractNumId w:val="33"/>
  </w:num>
  <w:num w:numId="16" w16cid:durableId="1692301210">
    <w:abstractNumId w:val="7"/>
  </w:num>
  <w:num w:numId="17" w16cid:durableId="785538569">
    <w:abstractNumId w:val="28"/>
  </w:num>
  <w:num w:numId="18" w16cid:durableId="1804888737">
    <w:abstractNumId w:val="4"/>
  </w:num>
  <w:num w:numId="19" w16cid:durableId="624116294">
    <w:abstractNumId w:val="40"/>
  </w:num>
  <w:num w:numId="20" w16cid:durableId="1815175701">
    <w:abstractNumId w:val="39"/>
  </w:num>
  <w:num w:numId="21" w16cid:durableId="230123181">
    <w:abstractNumId w:val="13"/>
  </w:num>
  <w:num w:numId="22" w16cid:durableId="417019240">
    <w:abstractNumId w:val="14"/>
  </w:num>
  <w:num w:numId="23" w16cid:durableId="287441457">
    <w:abstractNumId w:val="18"/>
  </w:num>
  <w:num w:numId="24" w16cid:durableId="844436464">
    <w:abstractNumId w:val="25"/>
  </w:num>
  <w:num w:numId="25" w16cid:durableId="261691424">
    <w:abstractNumId w:val="10"/>
  </w:num>
  <w:num w:numId="26" w16cid:durableId="2063407148">
    <w:abstractNumId w:val="38"/>
  </w:num>
  <w:num w:numId="27" w16cid:durableId="1035276909">
    <w:abstractNumId w:val="1"/>
  </w:num>
  <w:num w:numId="28" w16cid:durableId="1710106524">
    <w:abstractNumId w:val="20"/>
  </w:num>
  <w:num w:numId="29" w16cid:durableId="28728544">
    <w:abstractNumId w:val="21"/>
  </w:num>
  <w:num w:numId="30" w16cid:durableId="738789063">
    <w:abstractNumId w:val="32"/>
  </w:num>
  <w:num w:numId="31" w16cid:durableId="1345549146">
    <w:abstractNumId w:val="2"/>
  </w:num>
  <w:num w:numId="32" w16cid:durableId="1808550263">
    <w:abstractNumId w:val="23"/>
  </w:num>
  <w:num w:numId="33" w16cid:durableId="1463576149">
    <w:abstractNumId w:val="24"/>
  </w:num>
  <w:num w:numId="34" w16cid:durableId="651257029">
    <w:abstractNumId w:val="35"/>
  </w:num>
  <w:num w:numId="35" w16cid:durableId="982350791">
    <w:abstractNumId w:val="34"/>
  </w:num>
  <w:num w:numId="36" w16cid:durableId="111873671">
    <w:abstractNumId w:val="17"/>
  </w:num>
  <w:num w:numId="37" w16cid:durableId="1148018353">
    <w:abstractNumId w:val="11"/>
  </w:num>
  <w:num w:numId="38" w16cid:durableId="777213150">
    <w:abstractNumId w:val="3"/>
  </w:num>
  <w:num w:numId="39" w16cid:durableId="1755663794">
    <w:abstractNumId w:val="31"/>
  </w:num>
  <w:num w:numId="40" w16cid:durableId="540479754">
    <w:abstractNumId w:val="27"/>
  </w:num>
  <w:num w:numId="41" w16cid:durableId="190035600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9083B"/>
    <w:rsid w:val="001A1579"/>
    <w:rsid w:val="001A3ED2"/>
    <w:rsid w:val="001B1EF5"/>
    <w:rsid w:val="001B75B5"/>
    <w:rsid w:val="001C6190"/>
    <w:rsid w:val="001D7C3D"/>
    <w:rsid w:val="001E217B"/>
    <w:rsid w:val="001E5D65"/>
    <w:rsid w:val="001E6F96"/>
    <w:rsid w:val="00204A20"/>
    <w:rsid w:val="00206E9C"/>
    <w:rsid w:val="00215DD2"/>
    <w:rsid w:val="00217CF4"/>
    <w:rsid w:val="00220146"/>
    <w:rsid w:val="002210BF"/>
    <w:rsid w:val="00222138"/>
    <w:rsid w:val="00250EA1"/>
    <w:rsid w:val="00256D9D"/>
    <w:rsid w:val="00286501"/>
    <w:rsid w:val="00290540"/>
    <w:rsid w:val="00293981"/>
    <w:rsid w:val="00296FDE"/>
    <w:rsid w:val="002974EF"/>
    <w:rsid w:val="002A0EBA"/>
    <w:rsid w:val="002A517B"/>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7FF8"/>
    <w:rsid w:val="00464D0F"/>
    <w:rsid w:val="00477BEC"/>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52243"/>
    <w:rsid w:val="005644DC"/>
    <w:rsid w:val="00567999"/>
    <w:rsid w:val="00570FFE"/>
    <w:rsid w:val="005805BE"/>
    <w:rsid w:val="00580F69"/>
    <w:rsid w:val="00585B54"/>
    <w:rsid w:val="005A6066"/>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637C"/>
    <w:rsid w:val="007754BA"/>
    <w:rsid w:val="00782A6B"/>
    <w:rsid w:val="00787F8F"/>
    <w:rsid w:val="007A0DDF"/>
    <w:rsid w:val="007A4EDC"/>
    <w:rsid w:val="007C4E4A"/>
    <w:rsid w:val="007D0565"/>
    <w:rsid w:val="007D699A"/>
    <w:rsid w:val="007F7B37"/>
    <w:rsid w:val="0081080B"/>
    <w:rsid w:val="00813FEC"/>
    <w:rsid w:val="00830F60"/>
    <w:rsid w:val="00831B9B"/>
    <w:rsid w:val="00832780"/>
    <w:rsid w:val="00841053"/>
    <w:rsid w:val="0084299D"/>
    <w:rsid w:val="008432C9"/>
    <w:rsid w:val="00857913"/>
    <w:rsid w:val="00863DE4"/>
    <w:rsid w:val="00885430"/>
    <w:rsid w:val="008A1B83"/>
    <w:rsid w:val="008A63B8"/>
    <w:rsid w:val="008A65B0"/>
    <w:rsid w:val="008A7F81"/>
    <w:rsid w:val="008C43BD"/>
    <w:rsid w:val="008D07CE"/>
    <w:rsid w:val="008D59FB"/>
    <w:rsid w:val="008E0FAC"/>
    <w:rsid w:val="009004E8"/>
    <w:rsid w:val="009049A4"/>
    <w:rsid w:val="00905FD9"/>
    <w:rsid w:val="00906815"/>
    <w:rsid w:val="009071BB"/>
    <w:rsid w:val="00910EAF"/>
    <w:rsid w:val="0093149C"/>
    <w:rsid w:val="00933F7E"/>
    <w:rsid w:val="00936FDF"/>
    <w:rsid w:val="00937B3A"/>
    <w:rsid w:val="00945BCA"/>
    <w:rsid w:val="009578B5"/>
    <w:rsid w:val="0096049A"/>
    <w:rsid w:val="009772CC"/>
    <w:rsid w:val="0099155A"/>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D3AD3"/>
    <w:rsid w:val="00AD4150"/>
    <w:rsid w:val="00AE0D66"/>
    <w:rsid w:val="00AE21E6"/>
    <w:rsid w:val="00AF4637"/>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257D7"/>
    <w:rsid w:val="00D32ED3"/>
    <w:rsid w:val="00D349C1"/>
    <w:rsid w:val="00D539D8"/>
    <w:rsid w:val="00D57135"/>
    <w:rsid w:val="00D57372"/>
    <w:rsid w:val="00D6026E"/>
    <w:rsid w:val="00D61A60"/>
    <w:rsid w:val="00D7285C"/>
    <w:rsid w:val="00D743ED"/>
    <w:rsid w:val="00D74D04"/>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5F4"/>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3</cp:revision>
  <cp:lastPrinted>2018-03-05T03:11:00Z</cp:lastPrinted>
  <dcterms:created xsi:type="dcterms:W3CDTF">2023-09-04T10:37:00Z</dcterms:created>
  <dcterms:modified xsi:type="dcterms:W3CDTF">2023-09-04T10:40:00Z</dcterms:modified>
</cp:coreProperties>
</file>