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CE" w:rsidRPr="00B8718A" w:rsidRDefault="00DE53CE" w:rsidP="00DE53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718A">
        <w:rPr>
          <w:rFonts w:ascii="Times New Roman" w:hAnsi="Times New Roman" w:cs="Times New Roman"/>
          <w:b/>
          <w:sz w:val="40"/>
          <w:szCs w:val="40"/>
        </w:rPr>
        <w:t>SILABUS MATA KULIAH</w:t>
      </w:r>
    </w:p>
    <w:p w:rsidR="00DE53CE" w:rsidRPr="00BA6342" w:rsidRDefault="00DE53CE" w:rsidP="00DE5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3CE" w:rsidRPr="00F87E93" w:rsidRDefault="00DE53CE" w:rsidP="00DE53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Identitas Mata Kuliah :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Mata Kuliah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: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Fiqh </w:t>
      </w:r>
    </w:p>
    <w:p w:rsidR="00DE53CE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Studi/Jur</w:t>
      </w:r>
      <w:r w:rsidR="003F2D02">
        <w:rPr>
          <w:rFonts w:ascii="Times New Roman" w:hAnsi="Times New Roman" w:cs="Times New Roman"/>
          <w:sz w:val="24"/>
          <w:szCs w:val="24"/>
        </w:rPr>
        <w:t>usan</w:t>
      </w:r>
      <w:r w:rsidR="003F2D02">
        <w:rPr>
          <w:rFonts w:ascii="Times New Roman" w:hAnsi="Times New Roman" w:cs="Times New Roman"/>
          <w:sz w:val="24"/>
          <w:szCs w:val="24"/>
        </w:rPr>
        <w:tab/>
        <w:t>: Ilmu al-Qur’an dan Tafsir</w:t>
      </w:r>
      <w:r>
        <w:rPr>
          <w:rFonts w:ascii="Times New Roman" w:hAnsi="Times New Roman" w:cs="Times New Roman"/>
          <w:sz w:val="24"/>
          <w:szCs w:val="24"/>
        </w:rPr>
        <w:t xml:space="preserve">/Ushuluddin </w:t>
      </w:r>
      <w:r w:rsidRPr="00BA6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akultas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A63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shuluddin </w:t>
      </w:r>
      <w:r w:rsidRPr="00BA63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dab dan </w:t>
      </w:r>
      <w:r w:rsidRPr="00BA63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akwah</w:t>
      </w:r>
      <w:r w:rsidRPr="00BA6342">
        <w:rPr>
          <w:rFonts w:ascii="Times New Roman" w:hAnsi="Times New Roman" w:cs="Times New Roman"/>
          <w:sz w:val="24"/>
          <w:szCs w:val="24"/>
        </w:rPr>
        <w:t xml:space="preserve"> IAIN Bengkulu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Semester/Kode/SKS</w:t>
      </w:r>
      <w:r>
        <w:rPr>
          <w:rFonts w:ascii="Times New Roman" w:hAnsi="Times New Roman" w:cs="Times New Roman"/>
          <w:sz w:val="24"/>
          <w:szCs w:val="24"/>
        </w:rPr>
        <w:tab/>
        <w:t>: I (Satu</w:t>
      </w:r>
      <w:r w:rsidRPr="00BA6342">
        <w:rPr>
          <w:rFonts w:ascii="Times New Roman" w:hAnsi="Times New Roman" w:cs="Times New Roman"/>
          <w:sz w:val="24"/>
          <w:szCs w:val="24"/>
        </w:rPr>
        <w:t>)/</w:t>
      </w:r>
      <w:r w:rsidR="00AF3925">
        <w:rPr>
          <w:rFonts w:ascii="Times New Roman" w:hAnsi="Times New Roman" w:cs="Times New Roman"/>
          <w:sz w:val="24"/>
          <w:szCs w:val="24"/>
          <w:lang w:val="id-ID"/>
        </w:rPr>
        <w:t>STA-201</w:t>
      </w:r>
      <w:r w:rsidR="00AF392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="00AF3925">
        <w:rPr>
          <w:rFonts w:ascii="Times New Roman" w:hAnsi="Times New Roman" w:cs="Times New Roman"/>
          <w:sz w:val="24"/>
          <w:szCs w:val="24"/>
        </w:rPr>
        <w:t>2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SKS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Dos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A6342">
        <w:rPr>
          <w:rFonts w:ascii="Times New Roman" w:hAnsi="Times New Roman" w:cs="Times New Roman"/>
          <w:sz w:val="24"/>
          <w:szCs w:val="24"/>
        </w:rPr>
        <w:t>/Asisten Dosen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ab/>
        <w:t>: Drs. H. Henderi Kusmidi, M.H</w:t>
      </w:r>
      <w:r w:rsidRPr="00BA6342"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Lokal </w:t>
      </w:r>
      <w:r>
        <w:rPr>
          <w:rFonts w:ascii="Times New Roman" w:hAnsi="Times New Roman" w:cs="Times New Roman"/>
          <w:sz w:val="24"/>
          <w:szCs w:val="24"/>
        </w:rPr>
        <w:t>/Semester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="003F2D02">
        <w:rPr>
          <w:rFonts w:ascii="Times New Roman" w:hAnsi="Times New Roman" w:cs="Times New Roman"/>
          <w:sz w:val="24"/>
          <w:szCs w:val="24"/>
        </w:rPr>
        <w:t xml:space="preserve"> D.7.1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342">
        <w:rPr>
          <w:rFonts w:ascii="Times New Roman" w:hAnsi="Times New Roman" w:cs="Times New Roman"/>
          <w:sz w:val="24"/>
          <w:szCs w:val="24"/>
        </w:rPr>
        <w:t>Semester I</w:t>
      </w:r>
    </w:p>
    <w:p w:rsidR="00DE53CE" w:rsidRDefault="003F2D02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FB11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DE53CE" w:rsidRPr="00BA6342" w:rsidRDefault="00DE53CE" w:rsidP="00DE53C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Standar Kompetensi :</w:t>
      </w:r>
    </w:p>
    <w:p w:rsidR="00DE53CE" w:rsidRPr="00BA6342" w:rsidRDefault="00DE53CE" w:rsidP="00DE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4AAC1" wp14:editId="1B379AD6">
                <wp:simplePos x="0" y="0"/>
                <wp:positionH relativeFrom="column">
                  <wp:posOffset>80010</wp:posOffset>
                </wp:positionH>
                <wp:positionV relativeFrom="paragraph">
                  <wp:posOffset>194945</wp:posOffset>
                </wp:positionV>
                <wp:extent cx="8462645" cy="2669540"/>
                <wp:effectExtent l="13335" t="1397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645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3CE" w:rsidRPr="00885FEB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 mengidentifikasi dan menjelaskan konsep-konsep dasar tentang pengertian fiqh, obyek kajian fiqh, faedah mempelajari fiqh, perkembangan fiqh dan sebab-sebabnya.</w:t>
                            </w:r>
                          </w:p>
                          <w:p w:rsidR="00DE53CE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menjelaskan madzhab-madzhab ahli sunnah dalam fiqh : Madzhab Hanafi,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Madzhab Maliki, Madzhab Syafe’</w:t>
                            </w:r>
                            <w:r w:rsidRPr="00DE53CE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dan Madzhab Hanbali.</w:t>
                            </w:r>
                          </w:p>
                          <w:p w:rsidR="00DE53CE" w:rsidRPr="00A41193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ahasiswa dapat menjelaskan konsep-konsep dasar tentang tentang thoharoh, wudhu, mandi, tayamum, sholat, jenazah, zakat, puasa, haji dan umrah.</w:t>
                            </w:r>
                          </w:p>
                          <w:p w:rsidR="00DE53CE" w:rsidRPr="008A6BEE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memahami berbagai pendapat ulama’ fiqh dalam bidang thoharoh, wudhu’, mandi, tayammum, sholat, janazah, zakat, puasa, haji dan umrah.</w:t>
                            </w:r>
                          </w:p>
                          <w:p w:rsidR="00DE53CE" w:rsidRPr="00A41193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mampu mengaplikasikannya dalam kehidupan sehari-hari tentang ketentuan-ketentuan pokok dalam thoharoh, wudhu’, mandi, tayamum, sholat, janazah, zakat, puasa, haji dan umrah.</w:t>
                            </w:r>
                          </w:p>
                          <w:p w:rsidR="00DE53CE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Pr="005407B1" w:rsidRDefault="00DE53CE" w:rsidP="00DE53CE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DE53CE" w:rsidRPr="00E43212" w:rsidRDefault="00DE53CE" w:rsidP="00DE53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DE53CE" w:rsidRPr="001A75B5" w:rsidRDefault="00DE53CE" w:rsidP="00DE53CE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3pt;margin-top:15.35pt;width:666.35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">
                <v:textbox>
                  <w:txbxContent>
                    <w:p w:rsidR="00DE53CE" w:rsidRPr="00885FEB" w:rsidRDefault="00DE53CE" w:rsidP="00DE53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 mengidentifikasi dan menjelaskan konsep-konsep dasar tentang pengertian fiqh, obyek kajian fiqh, faedah mempelajari fiqh, perkembangan fiqh dan sebab-sebabnya.</w:t>
                      </w:r>
                    </w:p>
                    <w:p w:rsidR="00DE53CE" w:rsidRDefault="00DE53CE" w:rsidP="00DE53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menjelaskan madzhab-madzhab ahli sunnah dalam fiqh : Madzhab Hanafi,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Madzhab Maliki, Madzhab Syafe’</w:t>
                      </w:r>
                      <w:r w:rsidRPr="00DE53CE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dan Madzhab Hanbali.</w:t>
                      </w:r>
                    </w:p>
                    <w:p w:rsidR="00DE53CE" w:rsidRPr="00A41193" w:rsidRDefault="00DE53CE" w:rsidP="00DE53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ahasiswa dapat menjelaskan konsep-konsep dasar tentang tentang thoharoh, wudhu, mandi, tayamum, sholat, jenazah, zakat, puasa, haji dan umrah.</w:t>
                      </w:r>
                    </w:p>
                    <w:p w:rsidR="00DE53CE" w:rsidRPr="008A6BEE" w:rsidRDefault="00DE53CE" w:rsidP="00DE53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memahami berbagai pendapat ulama’ fiqh dalam bidang thoharoh, wudhu’, mandi, tayammum, sholat, janazah, zakat, puasa, haji dan umrah.</w:t>
                      </w:r>
                    </w:p>
                    <w:p w:rsidR="00DE53CE" w:rsidRPr="00A41193" w:rsidRDefault="00DE53CE" w:rsidP="00DE53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mampu mengaplikasikannya dalam kehidupan sehari-hari tentang ketentuan-ketentuan pokok dalam thoharoh, wudhu’, mandi, tayamum, sholat, janazah, zakat, puasa, haji dan umrah.</w:t>
                      </w:r>
                    </w:p>
                    <w:p w:rsidR="00DE53CE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Pr="005407B1" w:rsidRDefault="00DE53CE" w:rsidP="00DE53CE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DE53CE" w:rsidRPr="00E43212" w:rsidRDefault="00DE53CE" w:rsidP="00DE53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DE53CE" w:rsidRPr="001A75B5" w:rsidRDefault="00DE53CE" w:rsidP="00DE53CE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53CE" w:rsidRPr="00BA6342" w:rsidRDefault="00DE53CE" w:rsidP="00DE5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3CE" w:rsidRPr="00BA6342" w:rsidRDefault="00DE53CE" w:rsidP="00DE53CE">
      <w:pPr>
        <w:rPr>
          <w:rFonts w:ascii="Times New Roman" w:hAnsi="Times New Roman" w:cs="Times New Roman"/>
          <w:sz w:val="24"/>
          <w:szCs w:val="24"/>
        </w:rPr>
      </w:pPr>
    </w:p>
    <w:p w:rsidR="00DE53CE" w:rsidRPr="00BA6342" w:rsidRDefault="00DE53CE" w:rsidP="00DE53CE">
      <w:pPr>
        <w:rPr>
          <w:rFonts w:ascii="Times New Roman" w:hAnsi="Times New Roman" w:cs="Times New Roman"/>
          <w:sz w:val="24"/>
          <w:szCs w:val="24"/>
        </w:rPr>
      </w:pPr>
    </w:p>
    <w:p w:rsidR="00DE53CE" w:rsidRPr="00BA6342" w:rsidRDefault="00DE53CE" w:rsidP="00DE53CE">
      <w:pPr>
        <w:rPr>
          <w:rFonts w:ascii="Times New Roman" w:hAnsi="Times New Roman" w:cs="Times New Roman"/>
          <w:sz w:val="24"/>
          <w:szCs w:val="24"/>
        </w:rPr>
      </w:pPr>
    </w:p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342">
        <w:rPr>
          <w:rFonts w:ascii="Times New Roman" w:hAnsi="Times New Roman" w:cs="Times New Roman"/>
          <w:sz w:val="24"/>
          <w:szCs w:val="24"/>
        </w:rPr>
        <w:t>4.  Mahasiswa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dapat mengetahui dan memahami berbagai pendapat ulama’ fiqh dalam bidang thaharah, </w:t>
      </w:r>
    </w:p>
    <w:p w:rsidR="00DE53CE" w:rsidRPr="00BA6342" w:rsidRDefault="00DE53CE" w:rsidP="00DE53CE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Wudhu, mandi, tayamum, sholat,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jenazah ,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zakat, puasa, haji dan umrah</w:t>
      </w:r>
    </w:p>
    <w:p w:rsidR="00DE53CE" w:rsidRPr="00BA6342" w:rsidRDefault="00DE53CE" w:rsidP="00DE53C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5. Mahasiswa mampu mengaplikasikan dalam kehidupan sehari-hari tentang ketentuan-ketentuan pokok </w:t>
      </w:r>
    </w:p>
    <w:p w:rsidR="00DE53CE" w:rsidRPr="00BA6342" w:rsidRDefault="00DE53CE" w:rsidP="00DE53C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thaharah, wudhu, mandi, tayamum, sholat, jenazah, zakat, puasa, haji dan umrah</w:t>
      </w:r>
    </w:p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Deskripsi Singkat Mata Kuliah:</w:t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</w:p>
    <w:p w:rsidR="00DE53CE" w:rsidRPr="00BA6342" w:rsidRDefault="00DE53CE" w:rsidP="00DE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DE53CE" w:rsidRPr="00BA6342" w:rsidTr="00A43E1F">
        <w:trPr>
          <w:trHeight w:val="70"/>
        </w:trPr>
        <w:tc>
          <w:tcPr>
            <w:tcW w:w="13158" w:type="dxa"/>
          </w:tcPr>
          <w:p w:rsidR="00DE53CE" w:rsidRPr="00BA6342" w:rsidRDefault="00DE53CE" w:rsidP="00A43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Ibadah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prasyarat  bagi mata kuliah ini  termasuk mata kuliah dasar bagi pengembangan keilmuan di bidang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harus diikuti seluruh mahasiswa IAIN Bengkulu. Mata Kuliah ini disajikan untuk membekali mahasiswa agar mengetahui teori-teori dan dapat mengapresiasi  keilmuan ini, serta dapat menerapkan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fiqh, obyek kajian fiqh, faedah mempelajari fiqh dan perkembangannya, dan madzhab-madzhab ahli sunnah dalam fiqh.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thoharoh, wudhu’, mandi, tayamum, sholat, janazah, puasa, zakat, haji dan umrah</w:t>
            </w:r>
          </w:p>
          <w:p w:rsidR="00DE53CE" w:rsidRPr="00BA6342" w:rsidRDefault="00DE53CE" w:rsidP="00A43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Rencana Pembelajaran :</w:t>
      </w:r>
    </w:p>
    <w:p w:rsidR="00DE53CE" w:rsidRPr="00BA6342" w:rsidRDefault="00DE53CE" w:rsidP="00DE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2268"/>
        <w:gridCol w:w="2127"/>
        <w:gridCol w:w="3402"/>
        <w:gridCol w:w="850"/>
      </w:tblGrid>
      <w:tr w:rsidR="00DE53CE" w:rsidRPr="00BA6342" w:rsidTr="00A43E1F">
        <w:trPr>
          <w:trHeight w:val="270"/>
        </w:trPr>
        <w:tc>
          <w:tcPr>
            <w:tcW w:w="851" w:type="dxa"/>
            <w:vMerge w:val="restart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E24">
              <w:rPr>
                <w:rFonts w:ascii="Times New Roman" w:hAnsi="Times New Roman" w:cs="Times New Roman"/>
                <w:b/>
                <w:sz w:val="18"/>
                <w:szCs w:val="18"/>
              </w:rPr>
              <w:t>Minggu</w:t>
            </w:r>
          </w:p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Ke…</w:t>
            </w:r>
          </w:p>
        </w:tc>
        <w:tc>
          <w:tcPr>
            <w:tcW w:w="1984" w:type="dxa"/>
            <w:vMerge w:val="restart"/>
          </w:tcPr>
          <w:p w:rsidR="00DE53CE" w:rsidRDefault="00DE53CE" w:rsidP="00A43E1F">
            <w:pPr>
              <w:rPr>
                <w:rFonts w:ascii="Times New Roman" w:hAnsi="Times New Roman" w:cs="Times New Roman"/>
                <w:b/>
              </w:rPr>
            </w:pPr>
          </w:p>
          <w:p w:rsidR="00DE53CE" w:rsidRPr="00BA7E24" w:rsidRDefault="00DE53CE" w:rsidP="00A43E1F">
            <w:pPr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3969" w:type="dxa"/>
            <w:gridSpan w:val="2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Strategi</w:t>
            </w:r>
          </w:p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Bobot Nilai</w:t>
            </w:r>
          </w:p>
        </w:tc>
      </w:tr>
      <w:tr w:rsidR="00DE53CE" w:rsidRPr="00BA6342" w:rsidTr="00A43E1F">
        <w:trPr>
          <w:trHeight w:val="270"/>
        </w:trPr>
        <w:tc>
          <w:tcPr>
            <w:tcW w:w="851" w:type="dxa"/>
            <w:vMerge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Pokok Bahasan</w:t>
            </w:r>
          </w:p>
        </w:tc>
        <w:tc>
          <w:tcPr>
            <w:tcW w:w="2268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53CE" w:rsidRPr="00BA6342" w:rsidTr="00A43E1F">
        <w:tc>
          <w:tcPr>
            <w:tcW w:w="851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E53CE" w:rsidRPr="00BA7E24" w:rsidRDefault="00DE53CE" w:rsidP="00A43E1F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7</w:t>
            </w:r>
          </w:p>
        </w:tc>
      </w:tr>
      <w:tr w:rsidR="00DE53CE" w:rsidRPr="00BA6342" w:rsidTr="00A43E1F">
        <w:tc>
          <w:tcPr>
            <w:tcW w:w="851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1295"/>
        </w:trPr>
        <w:tc>
          <w:tcPr>
            <w:tcW w:w="85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memahami berbagai macam istilah dalam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Fiqh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lain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gertian secara etimologi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secara terminologi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Obyek kajian Fiqh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Curah pendapat.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pengertian-pengertian fiqh dari berbagai macam tinjauan bahasa, istilah dan pendapat ulama’ fiqh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3CE" w:rsidRPr="00BA6342" w:rsidTr="00A43E1F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Faedah mempelajari fiqh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Perkembangan fiqh dan sebab-sebabnya</w:t>
            </w:r>
          </w:p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obyek fiqh dan faedah mempelajarinya fiqh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enjelas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kan perkembangan fiqh dan sebab-sebabnya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3CE" w:rsidRPr="00D7232B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dapat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mengetahui dan memahami berbagai pendapat ulama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Madzhab-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madzhab ahli sunnah dalam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Madzhab Hanafi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Menejelaskan tentang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madzhab hanafi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Maliki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Maliki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585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Syafe’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hanbali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Syafi’i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1289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Hanbali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mengindentifikasi dan menjelaskan konsep-konsep dasar thoharoh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tentang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T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najis dan hadats serta cara membersihkannya menurut kreteria najis dan hadats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(Al-Qur’an &amp; Al-Hadits</w:t>
            </w:r>
          </w:p>
          <w:p w:rsidR="00DE53CE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Pengertian istinja’, cara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alat yang digunakan</w:t>
            </w:r>
          </w:p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deskripsikan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630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E157A2" w:rsidRDefault="00DE53CE" w:rsidP="00DE53C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57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njelaskan pengertian najis dan hadats serta cara membersihkannya berdasarkan kreteria najis dan hadats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990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E157A2" w:rsidRDefault="00DE53CE" w:rsidP="00DE53C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dasar hukum thoharo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h menurut Al-Qu’ran dan Al-Hadits</w:t>
            </w:r>
          </w:p>
          <w:p w:rsidR="00DE53CE" w:rsidRDefault="00DE53CE" w:rsidP="00A43E1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D140CF" w:rsidRDefault="00DE53CE" w:rsidP="00DE53C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CF">
              <w:rPr>
                <w:rFonts w:ascii="Times New Roman" w:hAnsi="Times New Roman" w:cs="Times New Roman"/>
                <w:sz w:val="24"/>
                <w:szCs w:val="24"/>
              </w:rPr>
              <w:t xml:space="preserve">Menjelaskan istinja’, cara dan alat yang </w:t>
            </w:r>
            <w:r w:rsidRPr="00D1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menjelaskan konsep-konsep dasar wudhu’ dan mengaplikasikan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Wudhu’</w:t>
            </w:r>
          </w:p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Workshop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proofErr w:type="gramStart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 umpan</w:t>
            </w:r>
            <w:proofErr w:type="gramEnd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wudhu’ menurut Al-Qur’an dan Al- Hadits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wudhu’ dan keutamaannya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Aplikasi wudhu’ dalam praktek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wudhu’ dan keutamaannya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2479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Mempraktekkan wudhu’ dengan benar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</w:p>
        </w:tc>
      </w:tr>
      <w:tr w:rsidR="00DE53CE" w:rsidRPr="00BA6342" w:rsidTr="00A43E1F">
        <w:tc>
          <w:tcPr>
            <w:tcW w:w="85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memahami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menjelaskan konsep-konsep dasar tentang mandi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 tayamum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Mahasiswa mem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ahami dan menjelaskan konsep-konsep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sholat dan mengaplikasikan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pengurusan  janazah dengan benar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memahami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memahami 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umroh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dan menjelaskan serta mengaplikasikan dalam kehidupan sehari-hari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Janazah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Umrah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Lanjutan dan pendalaman materi dan praktek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mandi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 yang diakhiri dengan pemberian tugas latihan pengembangan silabus dan SAP.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Eksplorasi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sumber.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8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Menyebutkan dan menjelaskan dasar hukum mandi (Al-qur’an &amp; Hadits)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dan macam-macam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Menjeelaskan pengertian dan macam-macam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Perkara-perkara 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mandi dan Sunnah Mandi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diharamkan dilakukan jika belum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perkara-perkara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mandi dan sunnah mandi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hal-hal yang tidak boleh dilakukan sebelum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Tayamum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dan sebab-sebab dibolehkan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tayamum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tayamum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sebab-sebab di bolehkan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Tata Cara dan hal-hal yang membatalkan tayamum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Ibadah yang boleh diakukan dengan bertayamum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tata cara dan hal-hal yang membatalkan 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ibadah yang boleh dilakukan dengan bertayamum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Hukum Sholat menurut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(Alqur’an dan Al-Hadits)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sholat, syarat-syarat dan rukun sholat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sholat menurut Al-Qur’an dan Al-Hadits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sholat, syarat-syarat dan rukun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Waktu-waktu yang dilarang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Tertidur dan lupa mengerjakan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Menjama’ dan mengqoshar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Sujud syukur dan sujud sahwi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Mengerjakan sholat dalam keadaan tidak normal (dalam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kenderaan, sakit dll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360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membatalkan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waktu-waktu yang dilarang melakukan sholat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tertidur dan lupa mengerjakan sholat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menjama’ dan mengqashar sholat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syujud syukur dan sujud sahwi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cara mengerjakan sholat dalam keadaan tidak normal (dalam kenderaan, sakit, dll)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pelaksanaan pengurusan janazah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dilakukan jika ada yang meninggal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Hukum dan tata cara memandikan, mengapani dan menyolatkan janazah</w:t>
            </w:r>
          </w:p>
        </w:tc>
        <w:tc>
          <w:tcPr>
            <w:tcW w:w="2127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silabus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pelaksnaan pengurusan janazah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dilakukan jika ada yang meninggal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hukum, tata cara memandikan, mengapani dan menyolatkan janazah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2685"/>
        </w:trPr>
        <w:tc>
          <w:tcPr>
            <w:tcW w:w="85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dan pengertian zakat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zakat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Benda-benda yang dizakatkan (jenis harta) dan tata cara perhitungan nishab dan kadar yang dizakatkan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puasa (Al-qur’an dan Al-Hadits)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Keutaaman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Membayar fidyah dan qadho puasa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haji dan umrah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, Wajib haji dan syarat haji dan umrah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Mahrom haji dan keutamaan haji dan umrah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Ihrom,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wukuf serta hal-hal yang berhubungan dengan haji dan umrah</w:t>
            </w: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DE53C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  <w:p w:rsidR="00DE53CE" w:rsidRDefault="00DE53CE" w:rsidP="00DE53C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DE53CE" w:rsidRPr="00137955" w:rsidRDefault="00DE53CE" w:rsidP="00DE53C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Orientasi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SAP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DE53CE" w:rsidRPr="00BA6342" w:rsidRDefault="00DE53CE" w:rsidP="00DE53C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zakat menurut Al-Qur’an dan Al-hadits</w:t>
            </w:r>
          </w:p>
          <w:p w:rsidR="00DE53CE" w:rsidRPr="00BA6342" w:rsidRDefault="00DE53CE" w:rsidP="00A43E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 –macam zakat</w:t>
            </w:r>
          </w:p>
          <w:p w:rsidR="00DE53CE" w:rsidRPr="00BA6342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jenis harta yang di zakatkan, tata cara perhitungan nishab dan kadar yang di zakatkan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FB390E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0E">
              <w:rPr>
                <w:rFonts w:ascii="Times New Roman" w:hAnsi="Times New Roman" w:cs="Times New Roman"/>
                <w:sz w:val="24"/>
                <w:szCs w:val="24"/>
              </w:rPr>
              <w:t>Menjelaskan dasar hukum puasa menurut Al-Qur’an dan Al-hadist)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Menguraikan rukun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keutamaam puasa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membayar fidyah dan qadho puasa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137955" w:rsidRDefault="00DE53CE" w:rsidP="00DE53C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haji dan umroh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haji, wajib haji dan syarat haji dan umroh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mahrom haji dan keutamaan haji dan umrah</w:t>
            </w:r>
          </w:p>
          <w:p w:rsidR="00DE53CE" w:rsidRPr="00BA6342" w:rsidRDefault="00DE53CE" w:rsidP="00DE53C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, wukuf dan melempar jumrah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Default="00DE53CE" w:rsidP="00A43E1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EE1E6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Mengaplikasikan dalam praktek ibadah dengan benar dalam kehidupan sehari-hari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56"/>
        </w:trPr>
        <w:tc>
          <w:tcPr>
            <w:tcW w:w="851" w:type="dxa"/>
            <w:shd w:val="clear" w:color="auto" w:fill="FFFFFF" w:themeFill="background1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</w:p>
        </w:tc>
      </w:tr>
    </w:tbl>
    <w:p w:rsidR="00DE53CE" w:rsidRDefault="00DE53CE" w:rsidP="00DE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3CE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F751E8" w:rsidRDefault="00DE53CE" w:rsidP="00DE53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1E8">
        <w:rPr>
          <w:rFonts w:ascii="Times New Roman" w:hAnsi="Times New Roman" w:cs="Times New Roman"/>
          <w:b/>
          <w:sz w:val="24"/>
          <w:szCs w:val="24"/>
        </w:rPr>
        <w:lastRenderedPageBreak/>
        <w:t>Penilaian :</w:t>
      </w:r>
    </w:p>
    <w:p w:rsidR="00DE53CE" w:rsidRPr="00BA6342" w:rsidRDefault="00DE53CE" w:rsidP="00DE53C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Jenis Penilaian : Proses dan Hasil</w:t>
      </w:r>
    </w:p>
    <w:p w:rsidR="00DE53CE" w:rsidRPr="00BA6342" w:rsidRDefault="00DE53CE" w:rsidP="00DE53C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Instrumen yang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Digunakan :</w:t>
      </w:r>
      <w:proofErr w:type="gramEnd"/>
    </w:p>
    <w:p w:rsidR="00DE53CE" w:rsidRPr="00BA6342" w:rsidRDefault="00DE53CE" w:rsidP="00DE53CE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Partisipasi :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Aktivitas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Perilaku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DE53CE" w:rsidRPr="00BA6342" w:rsidRDefault="00DE53CE" w:rsidP="00DE53CE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Tugas :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Makalah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Diskusi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Presentasi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DE53CE" w:rsidRPr="00BA6342" w:rsidRDefault="00DE53CE" w:rsidP="00DE53CE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Produk Kuliah</w:t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DE53CE" w:rsidRPr="00BA6342" w:rsidRDefault="00DE53CE" w:rsidP="00DE53CE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UTS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DE53CE" w:rsidRPr="00BA6342" w:rsidRDefault="00DE53CE" w:rsidP="00DE53CE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UAS</w:t>
      </w:r>
      <w:r w:rsidRPr="00BA6342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6342">
        <w:rPr>
          <w:rFonts w:ascii="Times New Roman" w:hAnsi="Times New Roman" w:cs="Times New Roman"/>
          <w:sz w:val="24"/>
          <w:szCs w:val="24"/>
        </w:rPr>
        <w:t xml:space="preserve">  (Soal/tes)</w:t>
      </w:r>
    </w:p>
    <w:p w:rsidR="00DE53CE" w:rsidRPr="00BA6342" w:rsidRDefault="00DE53CE" w:rsidP="00DE53C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Kriteria Penilaian :</w:t>
      </w:r>
    </w:p>
    <w:p w:rsidR="00DE53CE" w:rsidRPr="00BA6342" w:rsidRDefault="00DE53CE" w:rsidP="00DE53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DE53CE" w:rsidRPr="00BA6342" w:rsidTr="00A43E1F">
        <w:trPr>
          <w:jc w:val="center"/>
        </w:trPr>
        <w:tc>
          <w:tcPr>
            <w:tcW w:w="675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DE53CE" w:rsidRPr="00BA6342" w:rsidTr="00A43E1F">
        <w:trPr>
          <w:jc w:val="center"/>
        </w:trPr>
        <w:tc>
          <w:tcPr>
            <w:tcW w:w="675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E53CE" w:rsidRPr="00BA6342" w:rsidTr="00A43E1F">
        <w:trPr>
          <w:jc w:val="center"/>
        </w:trPr>
        <w:tc>
          <w:tcPr>
            <w:tcW w:w="675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E53CE" w:rsidRPr="00BA6342" w:rsidTr="00A43E1F">
        <w:trPr>
          <w:jc w:val="center"/>
        </w:trPr>
        <w:tc>
          <w:tcPr>
            <w:tcW w:w="675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E53CE" w:rsidRPr="00BA6342" w:rsidTr="00A43E1F">
        <w:trPr>
          <w:jc w:val="center"/>
        </w:trPr>
        <w:tc>
          <w:tcPr>
            <w:tcW w:w="675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E53CE" w:rsidRPr="00BA6342" w:rsidTr="00A43E1F">
        <w:trPr>
          <w:jc w:val="center"/>
        </w:trPr>
        <w:tc>
          <w:tcPr>
            <w:tcW w:w="4503" w:type="dxa"/>
            <w:gridSpan w:val="2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DE53CE" w:rsidRPr="00BA6342" w:rsidRDefault="00DE53CE" w:rsidP="00A4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E53CE" w:rsidRDefault="00DE53CE" w:rsidP="00DE53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53CE" w:rsidRPr="00BA6342" w:rsidRDefault="00DE53CE" w:rsidP="00DE53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DE53CE" w:rsidRPr="00BA6342" w:rsidTr="00A43E1F">
        <w:trPr>
          <w:trHeight w:val="558"/>
          <w:jc w:val="center"/>
        </w:trPr>
        <w:tc>
          <w:tcPr>
            <w:tcW w:w="10060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Fiqh 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2D02">
              <w:rPr>
                <w:rFonts w:ascii="Times New Roman" w:hAnsi="Times New Roman" w:cs="Times New Roman"/>
                <w:sz w:val="24"/>
                <w:szCs w:val="24"/>
              </w:rPr>
              <w:t>I (Satu)/2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Tujuan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 Mahasi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swa dapat mengetahui dan memahami berbagai pendapat ulama’ fiqh   dalam bidang thoharoh, wudhu’, mandi, tayamum, sholat, zakat, puasa, haji dan umrah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Uraian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Desainlah mata pelajaran/kuliah yang Saudara ampu dengan mengaplikasikan prosedur pengembangan instruksional yang telah dipelajari sehingga menghasilkan perangkat sistem pembelajaran yang menjadi acuan Saudara dalam melaksanakan tugas pembelajaran.</w:t>
            </w: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Presentasikan.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CE" w:rsidRPr="00BA6342" w:rsidRDefault="00DE53CE" w:rsidP="00A43E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DE53CE" w:rsidRPr="00BA6342" w:rsidTr="00A43E1F">
              <w:trPr>
                <w:jc w:val="center"/>
              </w:trPr>
              <w:tc>
                <w:tcPr>
                  <w:tcW w:w="10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DE53CE" w:rsidRPr="00BA6342" w:rsidTr="00A43E1F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DE53CE" w:rsidRPr="00BA6342" w:rsidTr="00A43E1F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E53CE" w:rsidRPr="00BA6342" w:rsidTr="00A43E1F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E53CE" w:rsidRPr="00BA6342" w:rsidTr="00A43E1F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E53CE" w:rsidRPr="00BA6342" w:rsidTr="00A43E1F">
              <w:trPr>
                <w:jc w:val="center"/>
              </w:trPr>
              <w:tc>
                <w:tcPr>
                  <w:tcW w:w="10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E53CE" w:rsidRPr="00BA6342" w:rsidTr="00A43E1F">
              <w:trPr>
                <w:jc w:val="center"/>
              </w:trPr>
              <w:tc>
                <w:tcPr>
                  <w:tcW w:w="10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DE53CE" w:rsidRPr="00BA6342" w:rsidTr="00A43E1F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DE53CE" w:rsidRPr="00BA6342" w:rsidTr="00A43E1F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DE53CE" w:rsidRPr="00BA6342" w:rsidRDefault="00DE53CE" w:rsidP="00A43E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DE53CE" w:rsidRPr="00BA6342" w:rsidRDefault="00DE53CE" w:rsidP="00A43E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CE" w:rsidRPr="00BA6342" w:rsidTr="00A43E1F">
        <w:trPr>
          <w:trHeight w:val="558"/>
          <w:jc w:val="center"/>
        </w:trPr>
        <w:tc>
          <w:tcPr>
            <w:tcW w:w="10060" w:type="dxa"/>
          </w:tcPr>
          <w:p w:rsidR="00DE53CE" w:rsidRPr="00BA6342" w:rsidRDefault="00DE53CE" w:rsidP="00A4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3CE" w:rsidRDefault="00DE53CE" w:rsidP="00DE53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53CE" w:rsidRDefault="00DE53CE" w:rsidP="00DE53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246">
        <w:rPr>
          <w:rFonts w:ascii="Times New Roman" w:hAnsi="Times New Roman" w:cs="Times New Roman"/>
          <w:b/>
          <w:sz w:val="24"/>
          <w:szCs w:val="24"/>
        </w:rPr>
        <w:lastRenderedPageBreak/>
        <w:t>REFERENSI :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T. M. Hasby Ash-Shidieqy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Pengantar Ilmu Fiqh, </w:t>
      </w:r>
      <w:r w:rsidRPr="00755EE3">
        <w:rPr>
          <w:rFonts w:ascii="Times New Roman" w:hAnsi="Times New Roman" w:cs="Times New Roman"/>
          <w:sz w:val="24"/>
          <w:szCs w:val="24"/>
        </w:rPr>
        <w:t>Penerbit Bulan Bintang, Jakarta, 1967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Alaiddin Koto, </w:t>
      </w:r>
      <w:r w:rsidRPr="00755EE3">
        <w:rPr>
          <w:rFonts w:ascii="Times New Roman" w:hAnsi="Times New Roman" w:cs="Times New Roman"/>
          <w:i/>
          <w:sz w:val="24"/>
          <w:szCs w:val="24"/>
        </w:rPr>
        <w:t>Ilmu Fiqh dan Ushul Fiqh (Sebuah Pengantar),</w:t>
      </w:r>
      <w:r w:rsidRPr="00755EE3">
        <w:rPr>
          <w:rFonts w:ascii="Times New Roman" w:hAnsi="Times New Roman" w:cs="Times New Roman"/>
          <w:sz w:val="24"/>
          <w:szCs w:val="24"/>
        </w:rPr>
        <w:t xml:space="preserve"> Penerbit Raja Grafindo Persada, 2004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Amir Syarifuddin,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Garis-garis Fiqh, </w:t>
      </w:r>
      <w:r w:rsidRPr="00755EE3">
        <w:rPr>
          <w:rFonts w:ascii="Times New Roman" w:hAnsi="Times New Roman" w:cs="Times New Roman"/>
          <w:sz w:val="24"/>
          <w:szCs w:val="24"/>
        </w:rPr>
        <w:t>Penerbit Prenada Media Group, Jakarta, 2010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Mukhtar Yahya/Fatchurrahman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Dasar-Dasar Pembinaan Hukum Islam,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1986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Sayyid Sabiq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Sunnah jilid 1 s/d 5,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1993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755EE3">
        <w:rPr>
          <w:rFonts w:ascii="Times New Roman" w:hAnsi="Times New Roman" w:cs="Times New Roman"/>
          <w:sz w:val="24"/>
          <w:szCs w:val="24"/>
        </w:rPr>
        <w:t>ustofa Dibul Bigha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Syafi’i  (terjemah ST Tahdzib), </w:t>
      </w:r>
      <w:r w:rsidRPr="00755EE3">
        <w:rPr>
          <w:rFonts w:ascii="Times New Roman" w:hAnsi="Times New Roman" w:cs="Times New Roman"/>
          <w:sz w:val="24"/>
          <w:szCs w:val="24"/>
        </w:rPr>
        <w:t>Penerbit Bintang Pelajar, 1984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, Fiqh Shiyam,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 Penerbit Daarush Shahwah, Darul Wafa’, Penerjemah Ma’aruf Abdul Jalil, Wahid Ahmadi, 2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Muhammad Jawad Mughniyah, Penerjemah Masykur A.B, Afif Muhammad, Idrus Alkaff, Cet. 2, 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Fiqh Lima Madzhab</w:t>
      </w:r>
      <w:r>
        <w:rPr>
          <w:rFonts w:ascii="Times New Roman" w:hAnsi="Times New Roman" w:cs="Times New Roman"/>
          <w:sz w:val="24"/>
          <w:szCs w:val="24"/>
          <w:lang w:val="id-ID"/>
        </w:rPr>
        <w:t>, Penerbit Lentera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Basritama, Jakarta, 1996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Muhammad Nashiruddin Al-Albani, Alih Bahasa Muhammad Thalib, </w:t>
      </w:r>
      <w:r w:rsidRPr="00755EE3">
        <w:rPr>
          <w:rFonts w:ascii="Times New Roman" w:hAnsi="Times New Roman" w:cs="Times New Roman"/>
          <w:i/>
          <w:sz w:val="24"/>
          <w:szCs w:val="24"/>
        </w:rPr>
        <w:t>Sifat Shalat Nabi SAW</w:t>
      </w:r>
      <w:r w:rsidRPr="00755EE3">
        <w:rPr>
          <w:rFonts w:ascii="Times New Roman" w:hAnsi="Times New Roman" w:cs="Times New Roman"/>
          <w:sz w:val="24"/>
          <w:szCs w:val="24"/>
        </w:rPr>
        <w:t>, Penerbit media Hidayah, tahun 2000,Yogyakarta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Ibnu Rusyd, </w:t>
      </w:r>
      <w:r w:rsidRPr="00755EE3">
        <w:rPr>
          <w:rFonts w:ascii="Times New Roman" w:hAnsi="Times New Roman" w:cs="Times New Roman"/>
          <w:i/>
          <w:sz w:val="24"/>
          <w:szCs w:val="24"/>
        </w:rPr>
        <w:t>Terjemah Bidayatul Mujtahid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Hasby Ash-Shiddieqy, </w:t>
      </w:r>
      <w:r w:rsidRPr="00755EE3">
        <w:rPr>
          <w:rFonts w:ascii="Times New Roman" w:hAnsi="Times New Roman" w:cs="Times New Roman"/>
          <w:i/>
          <w:sz w:val="24"/>
          <w:szCs w:val="24"/>
        </w:rPr>
        <w:t>Pedoman Sholat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Hasby Ash-Shiddieqy,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 Pedoman Puasa</w:t>
      </w:r>
    </w:p>
    <w:p w:rsidR="00DE53CE" w:rsidRPr="00755EE3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</w:rPr>
        <w:t>, Fiqh Zakat</w:t>
      </w:r>
    </w:p>
    <w:p w:rsidR="00DE53CE" w:rsidRPr="00B73998" w:rsidRDefault="00DE53CE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Himpunan Fatwa Ulama Indonesia Pusat</w:t>
      </w:r>
    </w:p>
    <w:p w:rsidR="00B73998" w:rsidRPr="00755EE3" w:rsidRDefault="00B73998" w:rsidP="00DE53C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Kamus Fiqh</w:t>
      </w:r>
    </w:p>
    <w:p w:rsidR="00DE53CE" w:rsidRPr="00755EE3" w:rsidRDefault="00DE53CE" w:rsidP="00DE53C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3CE" w:rsidRDefault="00407FD9" w:rsidP="00DE53CE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  Oktober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E53CE" w:rsidRPr="00BA6342">
        <w:rPr>
          <w:rFonts w:ascii="Times New Roman" w:hAnsi="Times New Roman" w:cs="Times New Roman"/>
          <w:sz w:val="24"/>
          <w:szCs w:val="24"/>
        </w:rPr>
        <w:tab/>
      </w:r>
      <w:r w:rsidR="00DE53CE" w:rsidRPr="00BA6342">
        <w:rPr>
          <w:rFonts w:ascii="Times New Roman" w:hAnsi="Times New Roman" w:cs="Times New Roman"/>
          <w:sz w:val="24"/>
          <w:szCs w:val="24"/>
        </w:rPr>
        <w:tab/>
      </w:r>
      <w:r w:rsidR="00DE53CE" w:rsidRPr="00BA6342">
        <w:rPr>
          <w:rFonts w:ascii="Times New Roman" w:hAnsi="Times New Roman" w:cs="Times New Roman"/>
          <w:sz w:val="24"/>
          <w:szCs w:val="24"/>
        </w:rPr>
        <w:tab/>
      </w:r>
      <w:r w:rsidR="00DE53CE" w:rsidRPr="00BA6342">
        <w:rPr>
          <w:rFonts w:ascii="Times New Roman" w:hAnsi="Times New Roman" w:cs="Times New Roman"/>
          <w:sz w:val="24"/>
          <w:szCs w:val="24"/>
        </w:rPr>
        <w:tab/>
      </w:r>
    </w:p>
    <w:p w:rsidR="00DE53CE" w:rsidRPr="00CE1E3F" w:rsidRDefault="00DE53CE" w:rsidP="00DE53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F7316E">
        <w:rPr>
          <w:rFonts w:ascii="Times New Roman" w:hAnsi="Times New Roman" w:cs="Times New Roman"/>
          <w:sz w:val="24"/>
          <w:szCs w:val="24"/>
        </w:rPr>
        <w:t>Mengetahui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Dosen Pembimbing</w:t>
      </w:r>
    </w:p>
    <w:p w:rsidR="00DE53CE" w:rsidRPr="00BA6342" w:rsidRDefault="00407FD9" w:rsidP="00DE53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Prodi Ilmu al-Qur’an dan Tafsir</w:t>
      </w:r>
    </w:p>
    <w:p w:rsidR="00DE53CE" w:rsidRDefault="00DE53CE" w:rsidP="00DE5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3CE" w:rsidRDefault="00DE53CE" w:rsidP="00DE5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3CE" w:rsidRDefault="00DE53CE" w:rsidP="00DE5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3CE" w:rsidRPr="00531B91" w:rsidRDefault="00407FD9" w:rsidP="00407FD9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Syukraini Ahmad, MA</w:t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  <w:t>Drs. H. Henderi Kusmidi, M.H.I</w:t>
      </w:r>
    </w:p>
    <w:p w:rsidR="00DE53CE" w:rsidRPr="00531B91" w:rsidRDefault="00407FD9" w:rsidP="00DE53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</w:t>
      </w:r>
      <w:r w:rsidR="00FD51F8">
        <w:rPr>
          <w:rFonts w:ascii="Times New Roman" w:hAnsi="Times New Roman" w:cs="Times New Roman"/>
          <w:sz w:val="24"/>
          <w:szCs w:val="24"/>
        </w:rPr>
        <w:t>7809062009121002</w:t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ab/>
      </w:r>
      <w:r w:rsidR="00FD51F8">
        <w:rPr>
          <w:rFonts w:ascii="Times New Roman" w:hAnsi="Times New Roman" w:cs="Times New Roman"/>
          <w:sz w:val="24"/>
          <w:szCs w:val="24"/>
        </w:rPr>
        <w:tab/>
      </w:r>
      <w:r w:rsidR="00DE53CE" w:rsidRPr="00531B91">
        <w:rPr>
          <w:rFonts w:ascii="Times New Roman" w:hAnsi="Times New Roman" w:cs="Times New Roman"/>
          <w:sz w:val="24"/>
          <w:szCs w:val="24"/>
        </w:rPr>
        <w:t>NIP. 196907061994031002</w:t>
      </w:r>
    </w:p>
    <w:p w:rsidR="00DE53CE" w:rsidRDefault="00DE53CE" w:rsidP="00DE53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E53CE" w:rsidRPr="00F7316E" w:rsidRDefault="00DE53CE" w:rsidP="00DE53CE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4388" w:rsidRDefault="00A94388"/>
    <w:sectPr w:rsidR="00A94388" w:rsidSect="00DE53CE">
      <w:foot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C3" w:rsidRDefault="009959C3" w:rsidP="00690971">
      <w:pPr>
        <w:spacing w:after="0" w:line="240" w:lineRule="auto"/>
      </w:pPr>
      <w:r>
        <w:separator/>
      </w:r>
    </w:p>
  </w:endnote>
  <w:endnote w:type="continuationSeparator" w:id="0">
    <w:p w:rsidR="009959C3" w:rsidRDefault="009959C3" w:rsidP="0069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690971" w:rsidRPr="00690971">
      <w:tc>
        <w:tcPr>
          <w:tcW w:w="918" w:type="dxa"/>
        </w:tcPr>
        <w:p w:rsidR="00690971" w:rsidRPr="00690971" w:rsidRDefault="00690971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69097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69097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69097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73998" w:rsidRPr="00B73998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12</w:t>
          </w:r>
          <w:r w:rsidRPr="00690971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90971" w:rsidRPr="00690971" w:rsidRDefault="00690971" w:rsidP="00690971">
          <w:pPr>
            <w:pStyle w:val="Footer"/>
            <w:tabs>
              <w:tab w:val="clear" w:pos="4680"/>
              <w:tab w:val="clear" w:pos="9360"/>
              <w:tab w:val="left" w:pos="1074"/>
            </w:tabs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690971">
            <w:rPr>
              <w:rFonts w:asciiTheme="majorBidi" w:hAnsiTheme="majorBidi" w:cstheme="majorBidi"/>
              <w:b/>
              <w:bCs/>
              <w:sz w:val="20"/>
              <w:szCs w:val="20"/>
            </w:rPr>
            <w:t>Silabus Matakuliah Fiqih Prodi  IQT Jurusan Ushuluddin FUAD IAIN Bengkulu, Dosen Drs. H. Henderi Kusmidi, M.H.I 2020/2021</w:t>
          </w:r>
        </w:p>
      </w:tc>
    </w:tr>
  </w:tbl>
  <w:p w:rsidR="00690971" w:rsidRDefault="00690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C3" w:rsidRDefault="009959C3" w:rsidP="00690971">
      <w:pPr>
        <w:spacing w:after="0" w:line="240" w:lineRule="auto"/>
      </w:pPr>
      <w:r>
        <w:separator/>
      </w:r>
    </w:p>
  </w:footnote>
  <w:footnote w:type="continuationSeparator" w:id="0">
    <w:p w:rsidR="009959C3" w:rsidRDefault="009959C3" w:rsidP="0069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F8"/>
    <w:multiLevelType w:val="hybridMultilevel"/>
    <w:tmpl w:val="66E24B38"/>
    <w:lvl w:ilvl="0" w:tplc="02DE7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682"/>
    <w:multiLevelType w:val="hybridMultilevel"/>
    <w:tmpl w:val="5CD4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01FFF"/>
    <w:multiLevelType w:val="hybridMultilevel"/>
    <w:tmpl w:val="5B9C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83A67"/>
    <w:multiLevelType w:val="hybridMultilevel"/>
    <w:tmpl w:val="E10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B0AF5"/>
    <w:multiLevelType w:val="hybridMultilevel"/>
    <w:tmpl w:val="DF24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3B4"/>
    <w:multiLevelType w:val="hybridMultilevel"/>
    <w:tmpl w:val="CF48AC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A515F"/>
    <w:multiLevelType w:val="hybridMultilevel"/>
    <w:tmpl w:val="622C8BC2"/>
    <w:lvl w:ilvl="0" w:tplc="6EC27336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558EA"/>
    <w:multiLevelType w:val="hybridMultilevel"/>
    <w:tmpl w:val="37FC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F683F"/>
    <w:multiLevelType w:val="hybridMultilevel"/>
    <w:tmpl w:val="94562C62"/>
    <w:lvl w:ilvl="0" w:tplc="C688C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F4E74"/>
    <w:multiLevelType w:val="hybridMultilevel"/>
    <w:tmpl w:val="86E6A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4305E"/>
    <w:multiLevelType w:val="hybridMultilevel"/>
    <w:tmpl w:val="9F12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530"/>
    <w:multiLevelType w:val="hybridMultilevel"/>
    <w:tmpl w:val="B9AA5732"/>
    <w:lvl w:ilvl="0" w:tplc="773E1D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B6F"/>
    <w:multiLevelType w:val="hybridMultilevel"/>
    <w:tmpl w:val="E04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D9B"/>
    <w:multiLevelType w:val="hybridMultilevel"/>
    <w:tmpl w:val="C51E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101B1"/>
    <w:multiLevelType w:val="hybridMultilevel"/>
    <w:tmpl w:val="C666E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125F"/>
    <w:multiLevelType w:val="hybridMultilevel"/>
    <w:tmpl w:val="655E3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EA5ACD"/>
    <w:multiLevelType w:val="hybridMultilevel"/>
    <w:tmpl w:val="BDD2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E5748B"/>
    <w:multiLevelType w:val="hybridMultilevel"/>
    <w:tmpl w:val="BE9AAC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167BD"/>
    <w:multiLevelType w:val="hybridMultilevel"/>
    <w:tmpl w:val="A196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4E491B"/>
    <w:multiLevelType w:val="hybridMultilevel"/>
    <w:tmpl w:val="8DC6580A"/>
    <w:lvl w:ilvl="0" w:tplc="00007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BD1BEE"/>
    <w:multiLevelType w:val="hybridMultilevel"/>
    <w:tmpl w:val="F3081624"/>
    <w:lvl w:ilvl="0" w:tplc="A730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555671"/>
    <w:multiLevelType w:val="hybridMultilevel"/>
    <w:tmpl w:val="0DFA7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29"/>
  </w:num>
  <w:num w:numId="5">
    <w:abstractNumId w:val="3"/>
  </w:num>
  <w:num w:numId="6">
    <w:abstractNumId w:val="35"/>
  </w:num>
  <w:num w:numId="7">
    <w:abstractNumId w:val="33"/>
  </w:num>
  <w:num w:numId="8">
    <w:abstractNumId w:val="5"/>
  </w:num>
  <w:num w:numId="9">
    <w:abstractNumId w:val="24"/>
  </w:num>
  <w:num w:numId="10">
    <w:abstractNumId w:val="14"/>
  </w:num>
  <w:num w:numId="11">
    <w:abstractNumId w:val="31"/>
  </w:num>
  <w:num w:numId="12">
    <w:abstractNumId w:val="7"/>
  </w:num>
  <w:num w:numId="13">
    <w:abstractNumId w:val="19"/>
  </w:num>
  <w:num w:numId="14">
    <w:abstractNumId w:val="36"/>
  </w:num>
  <w:num w:numId="15">
    <w:abstractNumId w:val="20"/>
  </w:num>
  <w:num w:numId="16">
    <w:abstractNumId w:val="12"/>
  </w:num>
  <w:num w:numId="17">
    <w:abstractNumId w:val="17"/>
  </w:num>
  <w:num w:numId="18">
    <w:abstractNumId w:val="23"/>
  </w:num>
  <w:num w:numId="19">
    <w:abstractNumId w:val="9"/>
  </w:num>
  <w:num w:numId="20">
    <w:abstractNumId w:val="27"/>
  </w:num>
  <w:num w:numId="21">
    <w:abstractNumId w:val="8"/>
  </w:num>
  <w:num w:numId="22">
    <w:abstractNumId w:val="1"/>
  </w:num>
  <w:num w:numId="23">
    <w:abstractNumId w:val="28"/>
  </w:num>
  <w:num w:numId="24">
    <w:abstractNumId w:val="4"/>
  </w:num>
  <w:num w:numId="25">
    <w:abstractNumId w:val="11"/>
  </w:num>
  <w:num w:numId="26">
    <w:abstractNumId w:val="16"/>
  </w:num>
  <w:num w:numId="27">
    <w:abstractNumId w:val="13"/>
  </w:num>
  <w:num w:numId="28">
    <w:abstractNumId w:val="34"/>
  </w:num>
  <w:num w:numId="29">
    <w:abstractNumId w:val="6"/>
  </w:num>
  <w:num w:numId="30">
    <w:abstractNumId w:val="15"/>
  </w:num>
  <w:num w:numId="31">
    <w:abstractNumId w:val="22"/>
  </w:num>
  <w:num w:numId="32">
    <w:abstractNumId w:val="25"/>
  </w:num>
  <w:num w:numId="33">
    <w:abstractNumId w:val="30"/>
  </w:num>
  <w:num w:numId="34">
    <w:abstractNumId w:val="0"/>
  </w:num>
  <w:num w:numId="35">
    <w:abstractNumId w:val="21"/>
  </w:num>
  <w:num w:numId="36">
    <w:abstractNumId w:val="3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CE"/>
    <w:rsid w:val="000D3C98"/>
    <w:rsid w:val="00147BB7"/>
    <w:rsid w:val="003F2D02"/>
    <w:rsid w:val="00407FD9"/>
    <w:rsid w:val="00435A61"/>
    <w:rsid w:val="004B2D01"/>
    <w:rsid w:val="00585027"/>
    <w:rsid w:val="006366AB"/>
    <w:rsid w:val="00646A87"/>
    <w:rsid w:val="00690971"/>
    <w:rsid w:val="008205F0"/>
    <w:rsid w:val="00847770"/>
    <w:rsid w:val="009959C3"/>
    <w:rsid w:val="00A94388"/>
    <w:rsid w:val="00AA40CC"/>
    <w:rsid w:val="00AF3925"/>
    <w:rsid w:val="00B6060B"/>
    <w:rsid w:val="00B73998"/>
    <w:rsid w:val="00C21ADA"/>
    <w:rsid w:val="00DC1FB1"/>
    <w:rsid w:val="00DE53CE"/>
    <w:rsid w:val="00F05942"/>
    <w:rsid w:val="00F62309"/>
    <w:rsid w:val="00FB1198"/>
    <w:rsid w:val="00FD297C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53CE"/>
    <w:pPr>
      <w:ind w:left="720"/>
      <w:contextualSpacing/>
    </w:pPr>
  </w:style>
  <w:style w:type="paragraph" w:styleId="NoSpacing">
    <w:name w:val="No Spacing"/>
    <w:uiPriority w:val="1"/>
    <w:qFormat/>
    <w:rsid w:val="00DE53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71"/>
  </w:style>
  <w:style w:type="paragraph" w:styleId="Footer">
    <w:name w:val="footer"/>
    <w:basedOn w:val="Normal"/>
    <w:link w:val="FooterChar"/>
    <w:uiPriority w:val="99"/>
    <w:unhideWhenUsed/>
    <w:rsid w:val="0069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53CE"/>
    <w:pPr>
      <w:ind w:left="720"/>
      <w:contextualSpacing/>
    </w:pPr>
  </w:style>
  <w:style w:type="paragraph" w:styleId="NoSpacing">
    <w:name w:val="No Spacing"/>
    <w:uiPriority w:val="1"/>
    <w:qFormat/>
    <w:rsid w:val="00DE53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71"/>
  </w:style>
  <w:style w:type="paragraph" w:styleId="Footer">
    <w:name w:val="footer"/>
    <w:basedOn w:val="Normal"/>
    <w:link w:val="FooterChar"/>
    <w:uiPriority w:val="99"/>
    <w:unhideWhenUsed/>
    <w:rsid w:val="0069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1812</Words>
  <Characters>10330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2020-09-15T01:11:00Z</dcterms:created>
  <dcterms:modified xsi:type="dcterms:W3CDTF">2020-09-28T02:49:00Z</dcterms:modified>
</cp:coreProperties>
</file>