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360"/>
        <w:gridCol w:w="264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52500" cy="952500"/>
                  <wp:effectExtent l="0" t="0" r="0" b="0"/>
                  <wp:docPr id="1903310012" name="Picture">
</wp:docPr>
                  <a:graphic>
                    <a:graphicData uri="http://schemas.openxmlformats.org/drawingml/2006/picture">
                      <pic:pic>
                        <pic:nvPicPr>
                          <pic:cNvPr id="1903310012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RENCANA PEMBELAJARAN SEMESTER (RPS)</w:t>
              <w:br/>
              <w:t xml:space="preserve">PASCASARJANA</w:t>
              <w:br/>
              <w:t xml:space="preserve">Semester Genap Tahun Akademik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Dr. Buyung Surahman, M.Pd., Nurlaili, S.Ag., M.Pd.I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2015106101, 2002077501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Perkembangan Alat Peraga Edukatif__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Capaian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Mahasiswa mampu menjelaskan hakikat media pembelajaran, sumber belajar, APE, desain instruksional, beberapa model desain instruksional dalam pembelajaran.</w:t>
              <w:br/>
              <w:t xml:space="preserve">Mahasiswa mampu mengklasifikasikan media pembelajaran, sumber belajar, APE, desain instruksional, beberapa model desain instruksional dalam pembelajaran.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menjelaskan Kegiatan Instruksional sebagai sistem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Kegiatan Instruksional sebagai sistem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Kegiatan Instruksional sebagai sistem , Ketepatan menyebutkan Kegiatan Instruksional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Kegiatan Instruksional sebagai sistem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Kustandi; darmawan, Pengembangan Media Pembelajaran, Kencana,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Model-model Desain Instruksional; Dick; Dick &amp; Carey, ASSURE, ADDIE, Model Pengembangan Instruksional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Model-model Desain Instruksional; Dick; Dick &amp; Carey, ASSURE, ADDIE,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Model-model Desain Instruksional; Dick; Dick &amp; Carey, ASSURE, ADDIE, Model Pengembangan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Kustandi; darmawan, Pengembangan Media Pembelajaran, Kencana,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apa yang dimaksud dengan Konsep  Media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apa yang dimaksud dengan Konsep  Media Pembelajaran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apa yang dimaksud dengan Konsep  Media Pembelajaran, Ketepatan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apa yang dimaksud dengan Konsep  Media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Kustandi; darmawan, Pengembangan Media Pembelajaran, Kencana,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 menjelaskan Sumber Belajar AUD;  APE untuk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menjelaskan Sumber Belajar AUD;  APE untuk AUD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menjelaskan Sumber Belajar AUD;  APE untuk AUD, Ketepatan menyebutkan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menjelaskan Sumber Belajar AUD;  APE untuk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file:///C:/Users/asus/AppData/Local/Temp/GABUNGAN%20AUD%20BAGUUUUUS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Pengembangan Media, sumber belajar dan APE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Pengembangan Media, sumber belajar dan APE AUD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Pengembangan Media, sumber belajar dan APE AUD , Ketepatan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Pengembangan Media, sumber belajar dan APE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file:///C:/Users/asus/AppData/Local/Temp/GABUNGAN%20AUD%20BAGUUUUUS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Media Pengembangan seni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Media Pengembangan seni AUD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Media Pengembangan seni AUD, Ketepatan menyebutkan Media Pengembangan seni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Media Pengembangan seni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file:///C:/Users/asus/AppData/Local/Temp/GABUNGAN%20AUD%20BAGUUUUUS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Pengembangan APE “ Kartu Baca Ngaji Asyik”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Pengembangan APE “ Kartu Baca Ngaji Asyik”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Pengembangan APE “ Kartu Baca Ngaji Asyik”, Ketepatan menyebutkan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Pengembangan APE “ Kartu Baca Ngaji Asyik”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UTS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menyusun Analisis Kebutuhan dan Studi Pustaka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menyusun Analisis Kebutuhan dan Studi Pustaka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menyusun Analisis Kebutuhan dan Studi Pustaka , Ketepatan menyebutkan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menyusun Analisis Kebutuhan dan Studi Pustaka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Dick, Carey and Carey, The Systematic Desaign of Instruction,  PEARSON, USA,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menyusun Identifikasi tujuan instruksional umum; Analisis Instruksional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menyusun Identifikasi tujuan instruksional umum; Analisis Instruksional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menyusun Identifikasi tujuan instruksional umum; Analisis Instruksional,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menyusun Identifikasi tujuan instruksional umum; Analisis Instruksional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Dick, Carey and Carey, The Systematic Desaign of Instruction,  PEARSON, USA,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menganalisis karakteristik dan kemampuan awal peserta didik; Merumuskan tujuan Instruksional khusus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menganalisis karakteristik dan kemampuan awal peserta didik;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menganalisis karakteristik dan kemampuan awal peserta didik;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menganalisis karakteristik dan kemampuan awal peserta didik; Merumuskan tujuan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Dick, Carey and Carey, The Systematic Desaign of Instruction,  PEARSON, USA,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Mengembangkan strategi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Mengembangkan strategi pembelajaran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Mengembangkan strategi pembelajaran, Ketepatan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Mengembangkan strategi 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Dick, Carey and Carey, The Systematic Desaign of Instruction,  PEARSON, USA,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440"/>
        <w:gridCol w:w="432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Mengembangkan instrumen penilaian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Mengembangkan instrumen penilaian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Mengembangkan instrumen penilaian, Ketepatan menyebutkan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Mengembangkan instrumen penilaian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Dick, Carey and Carey, The Systematic Desaign of Instruction,  PEARSON, USA,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Mengembangkan bahan ajar/materi/media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Mengembangkan bahan ajar/materi/media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Mengembangkan bahan ajar/materi/media, Ketepatan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Mengembangkan bahan ajar/materi/media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Dick, Carey and Carey, The Systematic Desaign of Instruction,  PEARSON, USA,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Pembahasan tentang menyusun Validasi, Evaluasi, revisi (Evaluasi pakar, evaluasi kelompok kecil, evaluasi lapangan, uji efektifitas)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Tanya jawab, ceramah,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menyusun Validasi, Evaluasi, revisi (Evaluasi pakar, evaluasi kelompok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menyusun Validasi, Evaluasi, revisi (Evaluasi pakar, evaluasi kelompok kecil, evaluasi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UAS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Nelly Marhayati, M.Si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2008037801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2015106101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